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E77C" w14:textId="36D83EED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bookmarkStart w:id="0" w:name="_Hlk137624625"/>
      <w:bookmarkStart w:id="1" w:name="_Hlk137624704"/>
    </w:p>
    <w:p w14:paraId="00923793" w14:textId="36C37888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146D7B7F" wp14:editId="15CAC912">
            <wp:extent cx="5274310" cy="5555615"/>
            <wp:effectExtent l="0" t="0" r="2540" b="6985"/>
            <wp:docPr id="530499342" name="Picture 17" descr="A group of black and whit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99342" name="Picture 17" descr="A group of black and white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7B85" w14:textId="4A036DA5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 xml:space="preserve">Supplemental Figure 1. EGFR mediates the upregulation of PTX3 induced by AREG or EREG in </w:t>
      </w:r>
      <w:proofErr w:type="spellStart"/>
      <w:r w:rsidRPr="00B02FAF">
        <w:rPr>
          <w:rFonts w:ascii="Times New Roman" w:hAnsi="Times New Roman" w:cs="Times New Roman"/>
          <w:b/>
          <w:bCs/>
          <w:sz w:val="22"/>
        </w:rPr>
        <w:t>hGL</w:t>
      </w:r>
      <w:proofErr w:type="spellEnd"/>
      <w:r w:rsidRPr="00B02FAF">
        <w:rPr>
          <w:rFonts w:ascii="Times New Roman" w:hAnsi="Times New Roman" w:cs="Times New Roman"/>
          <w:b/>
          <w:bCs/>
          <w:sz w:val="22"/>
        </w:rPr>
        <w:t xml:space="preserve"> cells. </w:t>
      </w:r>
      <w:r w:rsidRPr="00B02FAF">
        <w:rPr>
          <w:rFonts w:ascii="Times New Roman" w:hAnsi="Times New Roman" w:cs="Times New Roman"/>
          <w:sz w:val="22"/>
        </w:rPr>
        <w:t xml:space="preserve">(A, B) SVOG cells were pretreated with either dimethyl sulfoxide (DMSO) or the specific EGFR inhibitor, AG1478 (10 </w:t>
      </w:r>
      <w:proofErr w:type="spellStart"/>
      <w:r w:rsidRPr="00B02FAF">
        <w:rPr>
          <w:rFonts w:ascii="Times New Roman" w:hAnsi="Times New Roman" w:cs="Times New Roman"/>
          <w:sz w:val="22"/>
        </w:rPr>
        <w:t>μM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) for 1 h and then treated with either vehicle control or 50 ng/mL of AREG (A) or EREG (B) for an additional 6 h. The PTX3 mRNA levels were examined using RT-qPCR. (C, D) Primary </w:t>
      </w:r>
      <w:proofErr w:type="spellStart"/>
      <w:r w:rsidRPr="00B02FAF">
        <w:rPr>
          <w:rFonts w:ascii="Times New Roman" w:hAnsi="Times New Roman" w:cs="Times New Roman"/>
          <w:sz w:val="22"/>
        </w:rPr>
        <w:t>hGL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cells were pretreated with either DMSO or the specific EGFR inhibitor, AG1478 (10 </w:t>
      </w:r>
      <w:proofErr w:type="spellStart"/>
      <w:r w:rsidRPr="00B02FAF">
        <w:rPr>
          <w:rFonts w:ascii="Times New Roman" w:hAnsi="Times New Roman" w:cs="Times New Roman"/>
          <w:sz w:val="22"/>
        </w:rPr>
        <w:t>μM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) for 1 h and then treated with either vehicle control or 50 ng/mL of AREG (C) or EREG (D) for an additional 6 h. The PTX3 mRNA levels </w:t>
      </w:r>
      <w:r w:rsidRPr="00B02FAF">
        <w:rPr>
          <w:rFonts w:ascii="Times New Roman" w:hAnsi="Times New Roman" w:cs="Times New Roman"/>
          <w:sz w:val="22"/>
        </w:rPr>
        <w:lastRenderedPageBreak/>
        <w:t xml:space="preserve">were examined using RT-qPCR. </w:t>
      </w:r>
      <w:bookmarkStart w:id="2" w:name="_Hlk141652731"/>
      <w:r w:rsidRPr="00B02FAF">
        <w:rPr>
          <w:rFonts w:ascii="Times New Roman" w:hAnsi="Times New Roman" w:cs="Times New Roman"/>
          <w:sz w:val="22"/>
        </w:rPr>
        <w:t>The data presented are the mean ± SEM of at least three independent experiments. Values labeled with different letters are significantly different (P&lt; 0.05).</w:t>
      </w:r>
      <w:bookmarkEnd w:id="2"/>
      <w:r w:rsidRPr="00B02FAF">
        <w:rPr>
          <w:rFonts w:ascii="Times New Roman" w:hAnsi="Times New Roman" w:cs="Times New Roman"/>
          <w:sz w:val="22"/>
        </w:rPr>
        <w:t xml:space="preserve"> AREG, amphiregulin; EREG, epiregulin; Ctrl, control.</w:t>
      </w:r>
    </w:p>
    <w:p w14:paraId="5DD84BBD" w14:textId="77777777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0494329" w14:textId="39DF86A4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4464FF5E" wp14:editId="426E1FE7">
            <wp:extent cx="5274310" cy="5555615"/>
            <wp:effectExtent l="0" t="0" r="2540" b="6985"/>
            <wp:docPr id="1659382832" name="Picture 18" descr="A group of black and whit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82832" name="Picture 18" descr="A group of black and white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F804C" w14:textId="4F8945D8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 xml:space="preserve">Supplemental Figure 2. EGFR mediates the upregulation of PTX3 induced by AREG or EREG in SVOG cells. </w:t>
      </w:r>
      <w:r w:rsidRPr="00B02FAF">
        <w:rPr>
          <w:rFonts w:ascii="Times New Roman" w:hAnsi="Times New Roman" w:cs="Times New Roman"/>
          <w:sz w:val="22"/>
        </w:rPr>
        <w:t xml:space="preserve">SVOG cells were transfected with either </w:t>
      </w:r>
      <w:proofErr w:type="spellStart"/>
      <w:r w:rsidRPr="00B02FAF">
        <w:rPr>
          <w:rFonts w:ascii="Times New Roman" w:hAnsi="Times New Roman" w:cs="Times New Roman"/>
          <w:sz w:val="22"/>
        </w:rPr>
        <w:t>siCtrl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or </w:t>
      </w:r>
      <w:proofErr w:type="spellStart"/>
      <w:r w:rsidRPr="00B02FAF">
        <w:rPr>
          <w:rFonts w:ascii="Times New Roman" w:hAnsi="Times New Roman" w:cs="Times New Roman"/>
          <w:sz w:val="22"/>
        </w:rPr>
        <w:t>siEGFR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for 48 h and then treated with either vehicle control or 50 ng/mL of AREG (A) or EREG (B) for an additional 6 h. The PTX3 mRNA levels were examined using RT-qPCR. (C, D) The knockdown efficiency </w:t>
      </w:r>
      <w:r w:rsidRPr="00B02FAF">
        <w:rPr>
          <w:rFonts w:ascii="Times New Roman" w:hAnsi="Times New Roman" w:cs="Times New Roman"/>
          <w:sz w:val="22"/>
        </w:rPr>
        <w:lastRenderedPageBreak/>
        <w:t xml:space="preserve">and specificity of </w:t>
      </w:r>
      <w:proofErr w:type="spellStart"/>
      <w:r w:rsidRPr="00B02FAF">
        <w:rPr>
          <w:rFonts w:ascii="Times New Roman" w:hAnsi="Times New Roman" w:cs="Times New Roman"/>
          <w:sz w:val="22"/>
        </w:rPr>
        <w:t>siEGFR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were examined using RT-qPCR. The results are expressed as the mean ± SEM of at least three independent experiments. Values marked with different letters are significantly different (P&lt; 0.05). AREG, amphiregulin; EREG, epiregulin; Ctrl, control.</w:t>
      </w:r>
    </w:p>
    <w:p w14:paraId="62619A24" w14:textId="77777777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1ED0BB69" w14:textId="7E0217D0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4EE7F1D7" wp14:editId="22CA355E">
            <wp:extent cx="5274310" cy="5555615"/>
            <wp:effectExtent l="0" t="0" r="2540" b="6985"/>
            <wp:docPr id="1139892535" name="Picture 19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92535" name="Picture 19" descr="A group of black and white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BB81" w14:textId="029164B2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 xml:space="preserve">Supplemental Figure 3. EGFR mediates the upregulation of PTX3 induced by AREG or EREG in primary </w:t>
      </w:r>
      <w:proofErr w:type="spellStart"/>
      <w:r w:rsidRPr="00B02FAF">
        <w:rPr>
          <w:rFonts w:ascii="Times New Roman" w:hAnsi="Times New Roman" w:cs="Times New Roman"/>
          <w:b/>
          <w:bCs/>
          <w:sz w:val="22"/>
        </w:rPr>
        <w:t>hGL</w:t>
      </w:r>
      <w:proofErr w:type="spellEnd"/>
      <w:r w:rsidRPr="00B02FAF">
        <w:rPr>
          <w:rFonts w:ascii="Times New Roman" w:hAnsi="Times New Roman" w:cs="Times New Roman"/>
          <w:b/>
          <w:bCs/>
          <w:sz w:val="22"/>
        </w:rPr>
        <w:t xml:space="preserve"> cells. </w:t>
      </w:r>
      <w:r w:rsidRPr="00B02FAF">
        <w:rPr>
          <w:rFonts w:ascii="Times New Roman" w:hAnsi="Times New Roman" w:cs="Times New Roman"/>
          <w:sz w:val="22"/>
        </w:rPr>
        <w:t xml:space="preserve">Primary </w:t>
      </w:r>
      <w:proofErr w:type="spellStart"/>
      <w:r w:rsidRPr="00B02FAF">
        <w:rPr>
          <w:rFonts w:ascii="Times New Roman" w:hAnsi="Times New Roman" w:cs="Times New Roman"/>
          <w:sz w:val="22"/>
        </w:rPr>
        <w:t>hGL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cells were transfected with either </w:t>
      </w:r>
      <w:proofErr w:type="spellStart"/>
      <w:r w:rsidRPr="00B02FAF">
        <w:rPr>
          <w:rFonts w:ascii="Times New Roman" w:hAnsi="Times New Roman" w:cs="Times New Roman"/>
          <w:sz w:val="22"/>
        </w:rPr>
        <w:t>siCtrl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or </w:t>
      </w:r>
      <w:proofErr w:type="spellStart"/>
      <w:r w:rsidRPr="00B02FAF">
        <w:rPr>
          <w:rFonts w:ascii="Times New Roman" w:hAnsi="Times New Roman" w:cs="Times New Roman"/>
          <w:sz w:val="22"/>
        </w:rPr>
        <w:t>siEGFR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for 48 h and then treated with either vehicle control or 50 ng/mL of AREG (A) or EREG (B) for an additional 6 h. The PTX3 mRNA levels were examined using RT-qPCR. (C, D) The </w:t>
      </w:r>
      <w:r w:rsidRPr="00B02FAF">
        <w:rPr>
          <w:rFonts w:ascii="Times New Roman" w:hAnsi="Times New Roman" w:cs="Times New Roman"/>
          <w:sz w:val="22"/>
        </w:rPr>
        <w:lastRenderedPageBreak/>
        <w:t xml:space="preserve">knockdown efficiency and specificity of </w:t>
      </w:r>
      <w:proofErr w:type="spellStart"/>
      <w:r w:rsidRPr="00B02FAF">
        <w:rPr>
          <w:rFonts w:ascii="Times New Roman" w:hAnsi="Times New Roman" w:cs="Times New Roman"/>
          <w:sz w:val="22"/>
        </w:rPr>
        <w:t>siEGFR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were examined using RT-qPCR. The data presented are the mean ± SEM of at least three independent experiments. Values labeled with different letters are significantly different (P&lt; 0.05). AREG, amphiregulin; EREG, epiregulin; Ctrl, control.</w:t>
      </w:r>
    </w:p>
    <w:p w14:paraId="5E942540" w14:textId="77777777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D9D9A15" w14:textId="369804FD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3028EC03" wp14:editId="7810423E">
            <wp:extent cx="5274310" cy="5555615"/>
            <wp:effectExtent l="0" t="0" r="2540" b="6985"/>
            <wp:docPr id="1309039055" name="Picture 20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39055" name="Picture 20" descr="A screenshot of a test resul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AF9CF" w14:textId="4109BCD2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 xml:space="preserve">Supplemental Figure 4. AREG or EREG activates MEK/ERK signaling pathway in SVOG cells. </w:t>
      </w:r>
      <w:r w:rsidRPr="00B02FAF">
        <w:rPr>
          <w:rFonts w:ascii="Times New Roman" w:hAnsi="Times New Roman" w:cs="Times New Roman"/>
          <w:sz w:val="22"/>
        </w:rPr>
        <w:t xml:space="preserve">(A, B) SVOG cells were treated with either vehicle control or 50 ng/mL AREG (A) or EREG (B) for 10 min or 30 min. (C, D) SVOG cells were pretreated with either DMSO </w:t>
      </w:r>
      <w:r w:rsidRPr="00B02FAF">
        <w:rPr>
          <w:rFonts w:ascii="Times New Roman" w:hAnsi="Times New Roman" w:cs="Times New Roman"/>
          <w:sz w:val="22"/>
        </w:rPr>
        <w:lastRenderedPageBreak/>
        <w:t xml:space="preserve">or the MEK inhibitor, U0126 (10 </w:t>
      </w:r>
      <w:proofErr w:type="spellStart"/>
      <w:r w:rsidRPr="00B02FAF">
        <w:rPr>
          <w:rFonts w:ascii="Times New Roman" w:hAnsi="Times New Roman" w:cs="Times New Roman"/>
          <w:sz w:val="22"/>
        </w:rPr>
        <w:t>μM</w:t>
      </w:r>
      <w:proofErr w:type="spellEnd"/>
      <w:r w:rsidRPr="00B02FAF">
        <w:rPr>
          <w:rFonts w:ascii="Times New Roman" w:hAnsi="Times New Roman" w:cs="Times New Roman"/>
          <w:sz w:val="22"/>
        </w:rPr>
        <w:t>) for 1 h before the treatment with either vehicle control or 50 ng/mL AREG (C) or EREG (D) for an additional 30 min. The phosphorylated protein levels of ERK1/2 were examined using Western blot analysis. The data presented are the mean ± SEM of at least three independent experiments. Values labeled with different letters are significantly different (P&lt; 0.05). AREG, amphiregulin; EREG, epiregulin; Ctrl, control.</w:t>
      </w:r>
    </w:p>
    <w:p w14:paraId="7C703664" w14:textId="77777777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56088D6" w14:textId="18B930F0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084641AF" wp14:editId="411259EA">
            <wp:extent cx="5274310" cy="5555615"/>
            <wp:effectExtent l="0" t="0" r="2540" b="6985"/>
            <wp:docPr id="2101088127" name="Picture 21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88127" name="Picture 21" descr="A screenshot of a test resul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7203" w14:textId="6FFA0361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 xml:space="preserve">Supplemental Figure 5. EGFR is needed for the activation of the MEK/ERK signaling pathway induced by AREG or EREG in SVOG cells. </w:t>
      </w:r>
      <w:r w:rsidRPr="00B02FAF">
        <w:rPr>
          <w:rFonts w:ascii="Times New Roman" w:hAnsi="Times New Roman" w:cs="Times New Roman"/>
          <w:sz w:val="22"/>
        </w:rPr>
        <w:t xml:space="preserve">(A, B) SVOG cells were pretreated </w:t>
      </w:r>
      <w:r w:rsidRPr="00B02FAF">
        <w:rPr>
          <w:rFonts w:ascii="Times New Roman" w:hAnsi="Times New Roman" w:cs="Times New Roman"/>
          <w:sz w:val="22"/>
        </w:rPr>
        <w:lastRenderedPageBreak/>
        <w:t xml:space="preserve">with either DMSO or the EGFR inhibitor, AG1478 (10 </w:t>
      </w:r>
      <w:proofErr w:type="spellStart"/>
      <w:r w:rsidRPr="00B02FAF">
        <w:rPr>
          <w:rFonts w:ascii="Times New Roman" w:hAnsi="Times New Roman" w:cs="Times New Roman"/>
          <w:sz w:val="22"/>
        </w:rPr>
        <w:t>μM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) for 1 h before the treatment with either vehicle control or 50 ng/mL AREG (A) or EREG (B) for an additional 30 min. (C, D) SVOG cells were transfected with either </w:t>
      </w:r>
      <w:proofErr w:type="spellStart"/>
      <w:r w:rsidRPr="00B02FAF">
        <w:rPr>
          <w:rFonts w:ascii="Times New Roman" w:hAnsi="Times New Roman" w:cs="Times New Roman"/>
          <w:sz w:val="22"/>
        </w:rPr>
        <w:t>siCtrl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or </w:t>
      </w:r>
      <w:proofErr w:type="spellStart"/>
      <w:r w:rsidRPr="00B02FAF">
        <w:rPr>
          <w:rFonts w:ascii="Times New Roman" w:hAnsi="Times New Roman" w:cs="Times New Roman"/>
          <w:sz w:val="22"/>
        </w:rPr>
        <w:t>siEGFR</w:t>
      </w:r>
      <w:proofErr w:type="spellEnd"/>
      <w:r w:rsidRPr="00B02FAF">
        <w:rPr>
          <w:rFonts w:ascii="Times New Roman" w:hAnsi="Times New Roman" w:cs="Times New Roman"/>
          <w:sz w:val="22"/>
        </w:rPr>
        <w:t xml:space="preserve"> for 48 h before the treatment with either vehicle control or 50 ng/mL AREG (C) or EREG (D) for an additional 30 min. The phosphorylated protein levels of ERK1/2 were examined using Western blot analysis. The data presented are the mean ± SEM of at least three independent experiments. Values labeled with different letters are significantly different (P&lt; 0.05). AREG, amphiregulin; EREG, epiregulin; Ctrl, control.</w:t>
      </w:r>
    </w:p>
    <w:p w14:paraId="1FB0312D" w14:textId="77777777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1BAD4AB" w14:textId="05ECD69C" w:rsidR="00B80F85" w:rsidRDefault="00B80F85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lastRenderedPageBreak/>
        <w:drawing>
          <wp:inline distT="0" distB="0" distL="0" distR="0" wp14:anchorId="19B36915" wp14:editId="744CCAF0">
            <wp:extent cx="5274310" cy="5555615"/>
            <wp:effectExtent l="0" t="0" r="2540" b="6985"/>
            <wp:docPr id="1270422829" name="Picture 22" descr="A graph of a number of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22829" name="Picture 22" descr="A graph of a number of different types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A1A7" w14:textId="2AF986F3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B02FAF">
        <w:rPr>
          <w:rFonts w:ascii="Times New Roman" w:hAnsi="Times New Roman" w:cs="Times New Roman"/>
          <w:b/>
          <w:bCs/>
          <w:sz w:val="22"/>
        </w:rPr>
        <w:t>Supplemental Figure 6. The activation of MEK/ERK signaling pathway induced by AREG or EREG mediates the upregulation of PTX3 in SVOG cells.</w:t>
      </w:r>
    </w:p>
    <w:p w14:paraId="5F4E3EDC" w14:textId="77777777" w:rsidR="00B02FAF" w:rsidRPr="00B02FAF" w:rsidRDefault="00B02FAF" w:rsidP="00B02FAF">
      <w:pPr>
        <w:spacing w:line="480" w:lineRule="auto"/>
        <w:rPr>
          <w:rFonts w:ascii="Times New Roman" w:hAnsi="Times New Roman" w:cs="Times New Roman"/>
          <w:sz w:val="22"/>
        </w:rPr>
      </w:pPr>
      <w:r w:rsidRPr="00B02FAF">
        <w:rPr>
          <w:rFonts w:ascii="Times New Roman" w:hAnsi="Times New Roman" w:cs="Times New Roman"/>
          <w:sz w:val="22"/>
        </w:rPr>
        <w:t xml:space="preserve">SVOG cells were pretreated with either DMSO or the MEK inhibitor, U0126 (10 </w:t>
      </w:r>
      <w:proofErr w:type="spellStart"/>
      <w:r w:rsidRPr="00B02FAF">
        <w:rPr>
          <w:rFonts w:ascii="Times New Roman" w:hAnsi="Times New Roman" w:cs="Times New Roman"/>
          <w:sz w:val="22"/>
        </w:rPr>
        <w:t>μM</w:t>
      </w:r>
      <w:proofErr w:type="spellEnd"/>
      <w:r w:rsidRPr="00B02FAF">
        <w:rPr>
          <w:rFonts w:ascii="Times New Roman" w:hAnsi="Times New Roman" w:cs="Times New Roman"/>
          <w:sz w:val="22"/>
        </w:rPr>
        <w:t>) for 1 h before the treatment with either vehicle control or 50 ng/mL AREG (A) or EREG (B) for an additional 6 h. The PTX3 mRNA levels were examined using RT-qPCR. The data presented are the mean ± SEM of at least three independent experiments. Values labeled with different letters are significantly different (P&lt; 0.05). AREG, amphiregulin; EREG, epiregulin; Ctrl, control.</w:t>
      </w:r>
      <w:bookmarkEnd w:id="0"/>
      <w:bookmarkEnd w:id="1"/>
    </w:p>
    <w:p w14:paraId="2D6C9C23" w14:textId="23B7E9CB" w:rsidR="00B02FAF" w:rsidRPr="009378DE" w:rsidRDefault="00B02FAF" w:rsidP="00C01E45">
      <w:pPr>
        <w:spacing w:line="480" w:lineRule="auto"/>
        <w:rPr>
          <w:rFonts w:ascii="Times New Roman" w:hAnsi="Times New Roman" w:cs="Times New Roman"/>
          <w:sz w:val="22"/>
        </w:rPr>
      </w:pPr>
    </w:p>
    <w:sectPr w:rsidR="00B02FAF" w:rsidRPr="009378DE" w:rsidSect="00E43D8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B780" w14:textId="77777777" w:rsidR="00E43D87" w:rsidRDefault="00E43D87" w:rsidP="00F964F5">
      <w:r>
        <w:separator/>
      </w:r>
    </w:p>
  </w:endnote>
  <w:endnote w:type="continuationSeparator" w:id="0">
    <w:p w14:paraId="5A1DD2C7" w14:textId="77777777" w:rsidR="00E43D87" w:rsidRDefault="00E43D87" w:rsidP="00F9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14D70" w14:textId="77777777" w:rsidR="00E43D87" w:rsidRDefault="00E43D87" w:rsidP="00F964F5">
      <w:r>
        <w:separator/>
      </w:r>
    </w:p>
  </w:footnote>
  <w:footnote w:type="continuationSeparator" w:id="0">
    <w:p w14:paraId="56359DFC" w14:textId="77777777" w:rsidR="00E43D87" w:rsidRDefault="00E43D87" w:rsidP="00F9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7B39"/>
    <w:multiLevelType w:val="hybridMultilevel"/>
    <w:tmpl w:val="A5F402FE"/>
    <w:lvl w:ilvl="0" w:tplc="2864C78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9CD7FAA"/>
    <w:multiLevelType w:val="multilevel"/>
    <w:tmpl w:val="DC16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6B64C3"/>
    <w:multiLevelType w:val="hybridMultilevel"/>
    <w:tmpl w:val="EB6040F8"/>
    <w:lvl w:ilvl="0" w:tplc="17603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B35D1B"/>
    <w:multiLevelType w:val="hybridMultilevel"/>
    <w:tmpl w:val="F7BEC0C4"/>
    <w:lvl w:ilvl="0" w:tplc="0DF48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4B83B4B"/>
    <w:multiLevelType w:val="multilevel"/>
    <w:tmpl w:val="DC16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21869890">
    <w:abstractNumId w:val="2"/>
  </w:num>
  <w:num w:numId="2" w16cid:durableId="1641106370">
    <w:abstractNumId w:val="0"/>
  </w:num>
  <w:num w:numId="3" w16cid:durableId="2013679584">
    <w:abstractNumId w:val="3"/>
  </w:num>
  <w:num w:numId="4" w16cid:durableId="1360275431">
    <w:abstractNumId w:val="1"/>
  </w:num>
  <w:num w:numId="5" w16cid:durableId="1954969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p9p5x0w0d25te9wravpsr8v9f9trvstrsw&quot;&gt;My EndNote Library Copy&lt;record-ids&gt;&lt;item&gt;114&lt;/item&gt;&lt;item&gt;145&lt;/item&gt;&lt;item&gt;162&lt;/item&gt;&lt;item&gt;167&lt;/item&gt;&lt;item&gt;212&lt;/item&gt;&lt;item&gt;254&lt;/item&gt;&lt;item&gt;260&lt;/item&gt;&lt;item&gt;306&lt;/item&gt;&lt;item&gt;344&lt;/item&gt;&lt;item&gt;352&lt;/item&gt;&lt;item&gt;361&lt;/item&gt;&lt;item&gt;387&lt;/item&gt;&lt;item&gt;480&lt;/item&gt;&lt;item&gt;485&lt;/item&gt;&lt;item&gt;545&lt;/item&gt;&lt;item&gt;549&lt;/item&gt;&lt;item&gt;1140&lt;/item&gt;&lt;item&gt;1141&lt;/item&gt;&lt;item&gt;1142&lt;/item&gt;&lt;item&gt;1144&lt;/item&gt;&lt;item&gt;1145&lt;/item&gt;&lt;item&gt;1146&lt;/item&gt;&lt;item&gt;1148&lt;/item&gt;&lt;item&gt;1149&lt;/item&gt;&lt;item&gt;1150&lt;/item&gt;&lt;item&gt;1151&lt;/item&gt;&lt;item&gt;1154&lt;/item&gt;&lt;item&gt;1156&lt;/item&gt;&lt;item&gt;1157&lt;/item&gt;&lt;item&gt;1158&lt;/item&gt;&lt;/record-ids&gt;&lt;/item&gt;&lt;/Libraries&gt;"/>
  </w:docVars>
  <w:rsids>
    <w:rsidRoot w:val="00531B93"/>
    <w:rsid w:val="0000072D"/>
    <w:rsid w:val="00015286"/>
    <w:rsid w:val="00022F1B"/>
    <w:rsid w:val="000346E5"/>
    <w:rsid w:val="0003641E"/>
    <w:rsid w:val="0003786E"/>
    <w:rsid w:val="000424F5"/>
    <w:rsid w:val="00042687"/>
    <w:rsid w:val="000439A0"/>
    <w:rsid w:val="00054B71"/>
    <w:rsid w:val="000618F1"/>
    <w:rsid w:val="00061BE8"/>
    <w:rsid w:val="00062202"/>
    <w:rsid w:val="00062B7B"/>
    <w:rsid w:val="000702CD"/>
    <w:rsid w:val="00070F76"/>
    <w:rsid w:val="0007418C"/>
    <w:rsid w:val="000802DF"/>
    <w:rsid w:val="00093025"/>
    <w:rsid w:val="00094904"/>
    <w:rsid w:val="000B556D"/>
    <w:rsid w:val="000D11B2"/>
    <w:rsid w:val="000D41DE"/>
    <w:rsid w:val="000D5540"/>
    <w:rsid w:val="000D7871"/>
    <w:rsid w:val="000E655B"/>
    <w:rsid w:val="000E7CA0"/>
    <w:rsid w:val="0010226E"/>
    <w:rsid w:val="00114F81"/>
    <w:rsid w:val="00121244"/>
    <w:rsid w:val="00140FF7"/>
    <w:rsid w:val="00142FA6"/>
    <w:rsid w:val="00144E9C"/>
    <w:rsid w:val="00145662"/>
    <w:rsid w:val="00150A9A"/>
    <w:rsid w:val="00171003"/>
    <w:rsid w:val="00174193"/>
    <w:rsid w:val="00194AFC"/>
    <w:rsid w:val="001A3A5D"/>
    <w:rsid w:val="001B09A2"/>
    <w:rsid w:val="001B106C"/>
    <w:rsid w:val="001B7400"/>
    <w:rsid w:val="001C0092"/>
    <w:rsid w:val="001C1379"/>
    <w:rsid w:val="001C1390"/>
    <w:rsid w:val="001C7CD2"/>
    <w:rsid w:val="001D019B"/>
    <w:rsid w:val="001F181B"/>
    <w:rsid w:val="001F5C3C"/>
    <w:rsid w:val="002004CD"/>
    <w:rsid w:val="00202830"/>
    <w:rsid w:val="00204295"/>
    <w:rsid w:val="0020536A"/>
    <w:rsid w:val="00250186"/>
    <w:rsid w:val="00260CA1"/>
    <w:rsid w:val="002625CD"/>
    <w:rsid w:val="00263BFB"/>
    <w:rsid w:val="002747EA"/>
    <w:rsid w:val="0029771D"/>
    <w:rsid w:val="002B29E9"/>
    <w:rsid w:val="002C0B07"/>
    <w:rsid w:val="002C2EBE"/>
    <w:rsid w:val="002D3EBC"/>
    <w:rsid w:val="002E124C"/>
    <w:rsid w:val="002E2CC1"/>
    <w:rsid w:val="002F2045"/>
    <w:rsid w:val="0030298A"/>
    <w:rsid w:val="00312FE7"/>
    <w:rsid w:val="00342DB7"/>
    <w:rsid w:val="00361ED5"/>
    <w:rsid w:val="0036497F"/>
    <w:rsid w:val="0038017D"/>
    <w:rsid w:val="0039538A"/>
    <w:rsid w:val="003A0DB1"/>
    <w:rsid w:val="003A5D5F"/>
    <w:rsid w:val="003B38B6"/>
    <w:rsid w:val="003C67B9"/>
    <w:rsid w:val="003D22DC"/>
    <w:rsid w:val="003E20D1"/>
    <w:rsid w:val="003F0100"/>
    <w:rsid w:val="00401333"/>
    <w:rsid w:val="00404234"/>
    <w:rsid w:val="00410F50"/>
    <w:rsid w:val="00413B66"/>
    <w:rsid w:val="004202B0"/>
    <w:rsid w:val="00424993"/>
    <w:rsid w:val="0042796F"/>
    <w:rsid w:val="004300B1"/>
    <w:rsid w:val="00430BF7"/>
    <w:rsid w:val="004332D9"/>
    <w:rsid w:val="00433C0F"/>
    <w:rsid w:val="00443707"/>
    <w:rsid w:val="00447525"/>
    <w:rsid w:val="00483345"/>
    <w:rsid w:val="00494B58"/>
    <w:rsid w:val="004A1721"/>
    <w:rsid w:val="004B1EBA"/>
    <w:rsid w:val="004D34F0"/>
    <w:rsid w:val="004E79EF"/>
    <w:rsid w:val="004F1125"/>
    <w:rsid w:val="00502BB6"/>
    <w:rsid w:val="00505AC9"/>
    <w:rsid w:val="00514929"/>
    <w:rsid w:val="00516EEE"/>
    <w:rsid w:val="00531B93"/>
    <w:rsid w:val="00543F0A"/>
    <w:rsid w:val="005560C7"/>
    <w:rsid w:val="00563C4F"/>
    <w:rsid w:val="005746CC"/>
    <w:rsid w:val="00595AD8"/>
    <w:rsid w:val="005A43BF"/>
    <w:rsid w:val="005A74F6"/>
    <w:rsid w:val="005A7795"/>
    <w:rsid w:val="005B0E78"/>
    <w:rsid w:val="005C6B30"/>
    <w:rsid w:val="005E3133"/>
    <w:rsid w:val="0062546F"/>
    <w:rsid w:val="0062746A"/>
    <w:rsid w:val="00646064"/>
    <w:rsid w:val="00666087"/>
    <w:rsid w:val="00674197"/>
    <w:rsid w:val="00676D66"/>
    <w:rsid w:val="006B77C0"/>
    <w:rsid w:val="006C2C27"/>
    <w:rsid w:val="006D57AE"/>
    <w:rsid w:val="006D7E95"/>
    <w:rsid w:val="006E0CE9"/>
    <w:rsid w:val="006E679F"/>
    <w:rsid w:val="00705838"/>
    <w:rsid w:val="007079EE"/>
    <w:rsid w:val="00711938"/>
    <w:rsid w:val="00721A85"/>
    <w:rsid w:val="0074022B"/>
    <w:rsid w:val="00747F38"/>
    <w:rsid w:val="00753CDC"/>
    <w:rsid w:val="00762F86"/>
    <w:rsid w:val="00767559"/>
    <w:rsid w:val="007730ED"/>
    <w:rsid w:val="00796925"/>
    <w:rsid w:val="007A04A2"/>
    <w:rsid w:val="007A4E4D"/>
    <w:rsid w:val="007B770D"/>
    <w:rsid w:val="007C7992"/>
    <w:rsid w:val="007D2B2C"/>
    <w:rsid w:val="007D2B8C"/>
    <w:rsid w:val="007E255F"/>
    <w:rsid w:val="007E71EB"/>
    <w:rsid w:val="007F128C"/>
    <w:rsid w:val="007F5A04"/>
    <w:rsid w:val="007F6EBB"/>
    <w:rsid w:val="00803627"/>
    <w:rsid w:val="008039F2"/>
    <w:rsid w:val="00831F56"/>
    <w:rsid w:val="00846F22"/>
    <w:rsid w:val="0085599D"/>
    <w:rsid w:val="00866EFC"/>
    <w:rsid w:val="00873038"/>
    <w:rsid w:val="00876CAA"/>
    <w:rsid w:val="00883091"/>
    <w:rsid w:val="00884C3C"/>
    <w:rsid w:val="0088740A"/>
    <w:rsid w:val="00896098"/>
    <w:rsid w:val="008A0C62"/>
    <w:rsid w:val="008B4485"/>
    <w:rsid w:val="008B7B2B"/>
    <w:rsid w:val="008C0280"/>
    <w:rsid w:val="008C0A01"/>
    <w:rsid w:val="008C35AD"/>
    <w:rsid w:val="008D13E1"/>
    <w:rsid w:val="008E01FA"/>
    <w:rsid w:val="008F1385"/>
    <w:rsid w:val="008F4B3E"/>
    <w:rsid w:val="00903574"/>
    <w:rsid w:val="00910CE3"/>
    <w:rsid w:val="009138A1"/>
    <w:rsid w:val="009172DD"/>
    <w:rsid w:val="009378DE"/>
    <w:rsid w:val="00957027"/>
    <w:rsid w:val="00985922"/>
    <w:rsid w:val="00986747"/>
    <w:rsid w:val="00990C28"/>
    <w:rsid w:val="00991517"/>
    <w:rsid w:val="00996A89"/>
    <w:rsid w:val="009A3253"/>
    <w:rsid w:val="009A3B64"/>
    <w:rsid w:val="009C0007"/>
    <w:rsid w:val="009C278C"/>
    <w:rsid w:val="009D1DDC"/>
    <w:rsid w:val="009E4481"/>
    <w:rsid w:val="009F2BC7"/>
    <w:rsid w:val="009F4E42"/>
    <w:rsid w:val="00A13AAE"/>
    <w:rsid w:val="00A222D2"/>
    <w:rsid w:val="00A34D00"/>
    <w:rsid w:val="00A406BA"/>
    <w:rsid w:val="00A85E00"/>
    <w:rsid w:val="00A94C63"/>
    <w:rsid w:val="00A966D3"/>
    <w:rsid w:val="00AA4468"/>
    <w:rsid w:val="00AC70AE"/>
    <w:rsid w:val="00AD05AB"/>
    <w:rsid w:val="00AE3FE5"/>
    <w:rsid w:val="00B02FAF"/>
    <w:rsid w:val="00B031E9"/>
    <w:rsid w:val="00B15B99"/>
    <w:rsid w:val="00B23C74"/>
    <w:rsid w:val="00B33DA0"/>
    <w:rsid w:val="00B47D41"/>
    <w:rsid w:val="00B5068B"/>
    <w:rsid w:val="00B51DB9"/>
    <w:rsid w:val="00B522ED"/>
    <w:rsid w:val="00B610B8"/>
    <w:rsid w:val="00B71D04"/>
    <w:rsid w:val="00B80F85"/>
    <w:rsid w:val="00B82108"/>
    <w:rsid w:val="00B91DC9"/>
    <w:rsid w:val="00B928B0"/>
    <w:rsid w:val="00B940B2"/>
    <w:rsid w:val="00BA20EC"/>
    <w:rsid w:val="00BB1666"/>
    <w:rsid w:val="00BC244A"/>
    <w:rsid w:val="00BD6120"/>
    <w:rsid w:val="00C01E45"/>
    <w:rsid w:val="00C03AA3"/>
    <w:rsid w:val="00C041B9"/>
    <w:rsid w:val="00C06F9B"/>
    <w:rsid w:val="00C14316"/>
    <w:rsid w:val="00C1525A"/>
    <w:rsid w:val="00C224F6"/>
    <w:rsid w:val="00C2309C"/>
    <w:rsid w:val="00C4348A"/>
    <w:rsid w:val="00C44112"/>
    <w:rsid w:val="00C60443"/>
    <w:rsid w:val="00C73AF7"/>
    <w:rsid w:val="00C85F45"/>
    <w:rsid w:val="00C863A7"/>
    <w:rsid w:val="00C969A3"/>
    <w:rsid w:val="00CA7E42"/>
    <w:rsid w:val="00CB1402"/>
    <w:rsid w:val="00CB3B76"/>
    <w:rsid w:val="00CB47EE"/>
    <w:rsid w:val="00CC146E"/>
    <w:rsid w:val="00CC7060"/>
    <w:rsid w:val="00CD0008"/>
    <w:rsid w:val="00CD247B"/>
    <w:rsid w:val="00D12913"/>
    <w:rsid w:val="00D166E7"/>
    <w:rsid w:val="00D16C1C"/>
    <w:rsid w:val="00D5229D"/>
    <w:rsid w:val="00D52A0A"/>
    <w:rsid w:val="00D561C2"/>
    <w:rsid w:val="00D63B85"/>
    <w:rsid w:val="00D73F59"/>
    <w:rsid w:val="00D748A7"/>
    <w:rsid w:val="00D74AEA"/>
    <w:rsid w:val="00D970BA"/>
    <w:rsid w:val="00DA5D7C"/>
    <w:rsid w:val="00DB0C82"/>
    <w:rsid w:val="00DB53D0"/>
    <w:rsid w:val="00DC1B06"/>
    <w:rsid w:val="00DC4373"/>
    <w:rsid w:val="00DD1249"/>
    <w:rsid w:val="00DE3BF7"/>
    <w:rsid w:val="00DE4E35"/>
    <w:rsid w:val="00DE6C32"/>
    <w:rsid w:val="00E1108A"/>
    <w:rsid w:val="00E32398"/>
    <w:rsid w:val="00E35839"/>
    <w:rsid w:val="00E40371"/>
    <w:rsid w:val="00E43D87"/>
    <w:rsid w:val="00E462EC"/>
    <w:rsid w:val="00E50C61"/>
    <w:rsid w:val="00E54CDF"/>
    <w:rsid w:val="00E62709"/>
    <w:rsid w:val="00E732CE"/>
    <w:rsid w:val="00E8376B"/>
    <w:rsid w:val="00EA3A7A"/>
    <w:rsid w:val="00EA7E00"/>
    <w:rsid w:val="00EB018C"/>
    <w:rsid w:val="00EB42D8"/>
    <w:rsid w:val="00EC06B9"/>
    <w:rsid w:val="00EC26F1"/>
    <w:rsid w:val="00EC32D3"/>
    <w:rsid w:val="00EC4DEF"/>
    <w:rsid w:val="00EF6912"/>
    <w:rsid w:val="00F143FD"/>
    <w:rsid w:val="00F179CF"/>
    <w:rsid w:val="00F23925"/>
    <w:rsid w:val="00F34824"/>
    <w:rsid w:val="00F34A2A"/>
    <w:rsid w:val="00F458C9"/>
    <w:rsid w:val="00F553E3"/>
    <w:rsid w:val="00F55510"/>
    <w:rsid w:val="00F577BE"/>
    <w:rsid w:val="00F73FE7"/>
    <w:rsid w:val="00F74D98"/>
    <w:rsid w:val="00F93F8C"/>
    <w:rsid w:val="00F964F5"/>
    <w:rsid w:val="00F96ECA"/>
    <w:rsid w:val="00F97E7B"/>
    <w:rsid w:val="00FA7327"/>
    <w:rsid w:val="00FB188C"/>
    <w:rsid w:val="00FB3D77"/>
    <w:rsid w:val="00FD098F"/>
    <w:rsid w:val="00FD2421"/>
    <w:rsid w:val="00FD3B1E"/>
    <w:rsid w:val="00FE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74B3B"/>
  <w15:chartTrackingRefBased/>
  <w15:docId w15:val="{F23DA12C-3B76-4DD6-9CE9-DD551F2F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A2A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Char"/>
    <w:rsid w:val="006C2C27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C27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6C2C27"/>
    <w:rPr>
      <w:rFonts w:ascii="DengXian" w:eastAsia="DengXian" w:hAnsi="DengXi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C2C27"/>
    <w:rPr>
      <w:rFonts w:ascii="DengXian" w:eastAsia="DengXian" w:hAnsi="DengXian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E50C61"/>
  </w:style>
  <w:style w:type="paragraph" w:styleId="Revision">
    <w:name w:val="Revision"/>
    <w:hidden/>
    <w:uiPriority w:val="99"/>
    <w:semiHidden/>
    <w:rsid w:val="00E32398"/>
  </w:style>
  <w:style w:type="paragraph" w:styleId="NormalWeb">
    <w:name w:val="Normal (Web)"/>
    <w:basedOn w:val="Normal"/>
    <w:uiPriority w:val="99"/>
    <w:semiHidden/>
    <w:unhideWhenUsed/>
    <w:rsid w:val="009378D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64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4F5"/>
  </w:style>
  <w:style w:type="paragraph" w:styleId="Footer">
    <w:name w:val="footer"/>
    <w:basedOn w:val="Normal"/>
    <w:link w:val="FooterChar"/>
    <w:uiPriority w:val="99"/>
    <w:unhideWhenUsed/>
    <w:rsid w:val="00F964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4F5"/>
  </w:style>
  <w:style w:type="character" w:styleId="Hyperlink">
    <w:name w:val="Hyperlink"/>
    <w:basedOn w:val="DefaultParagraphFont"/>
    <w:uiPriority w:val="99"/>
    <w:unhideWhenUsed/>
    <w:rsid w:val="007B77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968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0384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88881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81026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984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266839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1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733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6060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743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5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79448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31735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096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060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3799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18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3211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01961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7684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31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034806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328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9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6891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1852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83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7054174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68023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06494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992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026532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5154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896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8233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159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6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52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780281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679021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189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802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7324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D0B6-4F29-4B11-80B5-FDC1A737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705</Words>
  <Characters>3520</Characters>
  <Application>Microsoft Office Word</Application>
  <DocSecurity>0</DocSecurity>
  <Lines>62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羽曦</dc:creator>
  <cp:keywords/>
  <dc:description/>
  <cp:lastModifiedBy>Chang William</cp:lastModifiedBy>
  <cp:revision>3</cp:revision>
  <dcterms:created xsi:type="dcterms:W3CDTF">2024-01-14T06:57:00Z</dcterms:created>
  <dcterms:modified xsi:type="dcterms:W3CDTF">2024-01-14T06:58:00Z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b43ac27ca07f9180b9c71add2214734ce04ab11a85b0404330d132780232d643</vt:lpwstr>
  </property>
</Properties>
</file>