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97FC1" w:rsidRPr="00A54C7B" w:rsidRDefault="00A54C7B" w:rsidP="00A54C7B">
      <w:pPr>
        <w:spacing w:after="120"/>
        <w:jc w:val="both"/>
        <w:rPr>
          <w:rFonts w:ascii="Times New Roman" w:hAnsi="Times New Roman" w:cs="Times New Roman"/>
          <w:color w:val="000000" w:themeColor="text1"/>
          <w:lang w:val="en-US"/>
        </w:rPr>
      </w:pPr>
      <w:r w:rsidRPr="00A54C7B">
        <w:rPr>
          <w:rFonts w:ascii="Times New Roman" w:hAnsi="Times New Roman" w:cs="Times New Roman"/>
          <w:b/>
          <w:bCs/>
          <w:color w:val="000000" w:themeColor="text1"/>
          <w:lang w:val="en-US"/>
        </w:rPr>
        <w:t xml:space="preserve">Supplementary Information </w:t>
      </w:r>
      <w:r w:rsidRPr="00E04ED2">
        <w:rPr>
          <w:rFonts w:ascii="Times New Roman" w:hAnsi="Times New Roman" w:cs="Times New Roman"/>
          <w:color w:val="000000" w:themeColor="text1"/>
          <w:lang w:val="en-US"/>
        </w:rPr>
        <w:t>f</w:t>
      </w:r>
      <w:r w:rsidRPr="00A54C7B">
        <w:rPr>
          <w:rFonts w:ascii="Times New Roman" w:hAnsi="Times New Roman" w:cs="Times New Roman"/>
          <w:color w:val="000000" w:themeColor="text1"/>
          <w:lang w:val="en-US"/>
        </w:rPr>
        <w:t xml:space="preserve">or </w:t>
      </w:r>
      <w:r>
        <w:rPr>
          <w:rFonts w:ascii="Times New Roman" w:hAnsi="Times New Roman" w:cs="Times New Roman"/>
          <w:b/>
          <w:bCs/>
          <w:color w:val="000000" w:themeColor="text1"/>
          <w:lang w:val="en-US"/>
        </w:rPr>
        <w:t>“</w:t>
      </w:r>
      <w:r w:rsidR="00A97FC1" w:rsidRPr="00A54C7B">
        <w:rPr>
          <w:rFonts w:ascii="Times New Roman" w:hAnsi="Times New Roman" w:cs="Times New Roman"/>
          <w:color w:val="000000" w:themeColor="text1"/>
          <w:lang w:val="en-US"/>
        </w:rPr>
        <w:t>Persisting influence of continental</w:t>
      </w:r>
      <w:r w:rsidRPr="00A54C7B">
        <w:rPr>
          <w:rFonts w:ascii="Times New Roman" w:hAnsi="Times New Roman" w:cs="Times New Roman"/>
          <w:color w:val="000000" w:themeColor="text1"/>
          <w:lang w:val="en-US"/>
        </w:rPr>
        <w:t xml:space="preserve"> </w:t>
      </w:r>
      <w:r w:rsidR="00A97FC1" w:rsidRPr="00A54C7B">
        <w:rPr>
          <w:rFonts w:ascii="Times New Roman" w:hAnsi="Times New Roman" w:cs="Times New Roman"/>
          <w:color w:val="000000" w:themeColor="text1"/>
          <w:lang w:val="en-US"/>
        </w:rPr>
        <w:t>inheritance on early oceanic spreading</w:t>
      </w:r>
      <w:r>
        <w:rPr>
          <w:rFonts w:ascii="Times New Roman" w:hAnsi="Times New Roman" w:cs="Times New Roman"/>
          <w:color w:val="000000" w:themeColor="text1"/>
          <w:lang w:val="en-US"/>
        </w:rPr>
        <w:t>”</w:t>
      </w:r>
    </w:p>
    <w:p w:rsidR="00A97FC1" w:rsidRDefault="00A97FC1" w:rsidP="00A54C7B">
      <w:pPr>
        <w:spacing w:after="120"/>
        <w:jc w:val="both"/>
        <w:rPr>
          <w:rFonts w:ascii="Times New Roman" w:hAnsi="Times New Roman" w:cs="Times New Roman"/>
          <w:lang w:val="en-US"/>
        </w:rPr>
      </w:pPr>
    </w:p>
    <w:p w:rsidR="00A54C7B" w:rsidRDefault="00A54C7B" w:rsidP="00A54C7B">
      <w:pPr>
        <w:spacing w:after="120"/>
        <w:jc w:val="both"/>
        <w:rPr>
          <w:rFonts w:ascii="Times New Roman" w:hAnsi="Times New Roman" w:cs="Times New Roman"/>
          <w:sz w:val="22"/>
          <w:szCs w:val="22"/>
          <w:lang w:val="en-US"/>
        </w:rPr>
      </w:pPr>
      <w:r w:rsidRPr="00592D46">
        <w:rPr>
          <w:rFonts w:ascii="Times New Roman" w:hAnsi="Times New Roman" w:cs="Times New Roman"/>
          <w:sz w:val="22"/>
          <w:szCs w:val="22"/>
          <w:lang w:val="en-US"/>
        </w:rPr>
        <w:t>Adrien Moulin</w:t>
      </w:r>
      <w:r w:rsidRPr="00592D46">
        <w:rPr>
          <w:rFonts w:ascii="Times New Roman" w:hAnsi="Times New Roman" w:cs="Times New Roman"/>
          <w:sz w:val="22"/>
          <w:szCs w:val="22"/>
          <w:vertAlign w:val="superscript"/>
          <w:lang w:val="en-US"/>
        </w:rPr>
        <w:t>1</w:t>
      </w:r>
      <w:r w:rsidRPr="00592D46">
        <w:rPr>
          <w:rFonts w:ascii="Times New Roman" w:hAnsi="Times New Roman" w:cs="Times New Roman"/>
          <w:sz w:val="22"/>
          <w:szCs w:val="22"/>
          <w:lang w:val="en-US"/>
        </w:rPr>
        <w:t xml:space="preserve">, </w:t>
      </w:r>
      <w:proofErr w:type="spellStart"/>
      <w:r>
        <w:rPr>
          <w:rFonts w:ascii="Times New Roman" w:hAnsi="Times New Roman" w:cs="Times New Roman"/>
          <w:sz w:val="22"/>
          <w:szCs w:val="22"/>
          <w:lang w:val="en-US"/>
        </w:rPr>
        <w:t>Sigurjón</w:t>
      </w:r>
      <w:proofErr w:type="spellEnd"/>
      <w:r>
        <w:rPr>
          <w:rFonts w:ascii="Times New Roman" w:hAnsi="Times New Roman" w:cs="Times New Roman"/>
          <w:sz w:val="22"/>
          <w:szCs w:val="22"/>
          <w:lang w:val="en-US"/>
        </w:rPr>
        <w:t xml:space="preserve"> Jónsson</w:t>
      </w:r>
      <w:r w:rsidRPr="0007655B">
        <w:rPr>
          <w:rFonts w:ascii="Times New Roman" w:hAnsi="Times New Roman" w:cs="Times New Roman"/>
          <w:sz w:val="22"/>
          <w:szCs w:val="22"/>
          <w:vertAlign w:val="superscript"/>
          <w:lang w:val="en-US"/>
        </w:rPr>
        <w:t>1</w:t>
      </w:r>
    </w:p>
    <w:p w:rsidR="00A54C7B" w:rsidRPr="0007655B" w:rsidRDefault="00A54C7B" w:rsidP="00A54C7B">
      <w:pPr>
        <w:spacing w:after="120"/>
        <w:jc w:val="both"/>
        <w:rPr>
          <w:rFonts w:ascii="Times New Roman" w:hAnsi="Times New Roman" w:cs="Times New Roman"/>
          <w:sz w:val="22"/>
          <w:szCs w:val="22"/>
          <w:lang w:val="en-US"/>
        </w:rPr>
      </w:pPr>
      <w:r w:rsidRPr="0007655B">
        <w:rPr>
          <w:rFonts w:ascii="Times New Roman" w:hAnsi="Times New Roman" w:cs="Times New Roman"/>
          <w:sz w:val="22"/>
          <w:szCs w:val="22"/>
          <w:vertAlign w:val="superscript"/>
          <w:lang w:val="en-US"/>
        </w:rPr>
        <w:t>1</w:t>
      </w:r>
      <w:r w:rsidRPr="0007655B">
        <w:rPr>
          <w:rFonts w:ascii="Times New Roman" w:hAnsi="Times New Roman" w:cs="Times New Roman"/>
          <w:sz w:val="22"/>
          <w:szCs w:val="22"/>
        </w:rPr>
        <w:t>King Abdullah University of Science and Technology (KAUST), Thuwal, Saudi Arabia</w:t>
      </w:r>
    </w:p>
    <w:p w:rsidR="00A54C7B" w:rsidRDefault="00A54C7B" w:rsidP="00B741E9">
      <w:pPr>
        <w:spacing w:after="120"/>
        <w:ind w:firstLine="720"/>
        <w:jc w:val="both"/>
        <w:rPr>
          <w:rFonts w:ascii="Times New Roman" w:hAnsi="Times New Roman" w:cs="Times New Roman"/>
          <w:lang w:val="en-US"/>
        </w:rPr>
      </w:pPr>
    </w:p>
    <w:p w:rsidR="00A54C7B" w:rsidRDefault="00A54C7B" w:rsidP="00B741E9">
      <w:pPr>
        <w:spacing w:after="120"/>
        <w:ind w:firstLine="720"/>
        <w:jc w:val="both"/>
        <w:rPr>
          <w:rFonts w:ascii="Times New Roman" w:hAnsi="Times New Roman" w:cs="Times New Roman"/>
          <w:lang w:val="en-US"/>
        </w:rPr>
      </w:pPr>
    </w:p>
    <w:p w:rsidR="00A54C7B" w:rsidRDefault="00A54C7B" w:rsidP="00B741E9">
      <w:pPr>
        <w:spacing w:after="120"/>
        <w:ind w:firstLine="720"/>
        <w:jc w:val="both"/>
        <w:rPr>
          <w:rFonts w:ascii="Times New Roman" w:hAnsi="Times New Roman" w:cs="Times New Roman"/>
          <w:lang w:val="en-US"/>
        </w:rPr>
      </w:pPr>
    </w:p>
    <w:p w:rsidR="00A54C7B" w:rsidRDefault="00A54C7B" w:rsidP="00B741E9">
      <w:pPr>
        <w:spacing w:after="120"/>
        <w:ind w:firstLine="720"/>
        <w:jc w:val="both"/>
        <w:rPr>
          <w:rFonts w:ascii="Times New Roman" w:hAnsi="Times New Roman" w:cs="Times New Roman"/>
          <w:lang w:val="en-US"/>
        </w:rPr>
      </w:pPr>
    </w:p>
    <w:p w:rsidR="00A54C7B" w:rsidRDefault="00A54C7B" w:rsidP="00A54C7B">
      <w:pPr>
        <w:spacing w:after="120"/>
        <w:jc w:val="both"/>
        <w:rPr>
          <w:rFonts w:ascii="Times New Roman" w:hAnsi="Times New Roman" w:cs="Times New Roman"/>
          <w:b/>
          <w:bCs/>
          <w:lang w:val="en-US"/>
        </w:rPr>
      </w:pPr>
      <w:r>
        <w:rPr>
          <w:rFonts w:ascii="Times New Roman" w:hAnsi="Times New Roman" w:cs="Times New Roman"/>
          <w:b/>
          <w:bCs/>
          <w:lang w:val="en-US"/>
        </w:rPr>
        <w:t>Supplementary Figures</w:t>
      </w:r>
      <w:r w:rsidRPr="00A54C7B">
        <w:rPr>
          <w:rFonts w:ascii="Times New Roman" w:hAnsi="Times New Roman" w:cs="Times New Roman"/>
          <w:b/>
          <w:bCs/>
          <w:lang w:val="en-US"/>
        </w:rPr>
        <w:t>:</w:t>
      </w:r>
    </w:p>
    <w:p w:rsidR="00A54C7B" w:rsidRDefault="00A54C7B" w:rsidP="00A54C7B">
      <w:pPr>
        <w:spacing w:after="120"/>
        <w:jc w:val="both"/>
        <w:rPr>
          <w:rFonts w:ascii="Times New Roman" w:hAnsi="Times New Roman" w:cs="Times New Roman"/>
          <w:lang w:val="en-US"/>
        </w:rPr>
      </w:pPr>
    </w:p>
    <w:p w:rsidR="00A54C7B" w:rsidRDefault="00A54C7B" w:rsidP="00B741E9">
      <w:pPr>
        <w:spacing w:after="120"/>
        <w:ind w:firstLine="720"/>
        <w:jc w:val="both"/>
        <w:rPr>
          <w:rFonts w:ascii="Times New Roman" w:hAnsi="Times New Roman" w:cs="Times New Roman"/>
          <w:lang w:val="en-US"/>
        </w:rPr>
      </w:pPr>
    </w:p>
    <w:p w:rsidR="00A54C7B" w:rsidRDefault="00A54C7B" w:rsidP="00A54C7B">
      <w:pPr>
        <w:ind w:hanging="567"/>
        <w:rPr>
          <w:rFonts w:ascii="Times New Roman" w:hAnsi="Times New Roman" w:cs="Times New Roman"/>
          <w:i/>
          <w:iCs/>
          <w:sz w:val="22"/>
          <w:szCs w:val="22"/>
          <w:u w:val="single"/>
          <w:lang w:val="en-US"/>
        </w:rPr>
      </w:pPr>
      <w:r w:rsidRPr="008916EE">
        <w:rPr>
          <w:rFonts w:ascii="Times New Roman" w:hAnsi="Times New Roman" w:cs="Times New Roman"/>
          <w:noProof/>
          <w:sz w:val="22"/>
          <w:szCs w:val="22"/>
          <w:lang w:val="en-US"/>
        </w:rPr>
        <w:drawing>
          <wp:inline distT="0" distB="0" distL="0" distR="0" wp14:anchorId="17AC3B44" wp14:editId="456A6709">
            <wp:extent cx="6646334" cy="343962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6673417" cy="3453636"/>
                    </a:xfrm>
                    <a:prstGeom prst="rect">
                      <a:avLst/>
                    </a:prstGeom>
                  </pic:spPr>
                </pic:pic>
              </a:graphicData>
            </a:graphic>
          </wp:inline>
        </w:drawing>
      </w:r>
    </w:p>
    <w:p w:rsidR="00A54C7B" w:rsidRDefault="00A54C7B" w:rsidP="00A54C7B">
      <w:pPr>
        <w:rPr>
          <w:rFonts w:ascii="Times New Roman" w:hAnsi="Times New Roman" w:cs="Times New Roman"/>
          <w:i/>
          <w:iCs/>
          <w:sz w:val="22"/>
          <w:szCs w:val="22"/>
          <w:u w:val="single"/>
          <w:lang w:val="en-US"/>
        </w:rPr>
      </w:pPr>
    </w:p>
    <w:p w:rsidR="00A54C7B" w:rsidRDefault="00A54C7B" w:rsidP="00A54C7B">
      <w:pPr>
        <w:jc w:val="both"/>
        <w:rPr>
          <w:rFonts w:ascii="Times New Roman" w:hAnsi="Times New Roman" w:cs="Times New Roman"/>
          <w:i/>
          <w:iCs/>
          <w:sz w:val="22"/>
          <w:szCs w:val="22"/>
          <w:lang w:val="en-US"/>
        </w:rPr>
      </w:pPr>
      <w:r w:rsidRPr="002D6909">
        <w:rPr>
          <w:rFonts w:ascii="Times New Roman" w:hAnsi="Times New Roman" w:cs="Times New Roman"/>
          <w:i/>
          <w:iCs/>
          <w:sz w:val="22"/>
          <w:szCs w:val="22"/>
          <w:u w:val="single"/>
          <w:lang w:val="en-US"/>
        </w:rPr>
        <w:t>Figure S</w:t>
      </w:r>
      <w:r>
        <w:rPr>
          <w:rFonts w:ascii="Times New Roman" w:hAnsi="Times New Roman" w:cs="Times New Roman"/>
          <w:i/>
          <w:iCs/>
          <w:sz w:val="22"/>
          <w:szCs w:val="22"/>
          <w:u w:val="single"/>
          <w:lang w:val="en-US"/>
        </w:rPr>
        <w:t>1</w:t>
      </w:r>
      <w:r w:rsidRPr="002D6909">
        <w:rPr>
          <w:rFonts w:ascii="Times New Roman" w:hAnsi="Times New Roman" w:cs="Times New Roman"/>
          <w:i/>
          <w:iCs/>
          <w:sz w:val="22"/>
          <w:szCs w:val="22"/>
          <w:u w:val="single"/>
          <w:lang w:val="en-US"/>
        </w:rPr>
        <w:t>:</w:t>
      </w:r>
      <w:r w:rsidRPr="002D6909">
        <w:rPr>
          <w:rFonts w:ascii="Times New Roman" w:hAnsi="Times New Roman" w:cs="Times New Roman"/>
          <w:i/>
          <w:iCs/>
          <w:sz w:val="22"/>
          <w:szCs w:val="22"/>
          <w:lang w:val="en-US"/>
        </w:rPr>
        <w:t xml:space="preserve"> </w:t>
      </w:r>
      <w:r>
        <w:rPr>
          <w:rFonts w:ascii="Times New Roman" w:hAnsi="Times New Roman" w:cs="Times New Roman"/>
          <w:i/>
          <w:iCs/>
          <w:sz w:val="22"/>
          <w:szCs w:val="22"/>
          <w:lang w:val="en-US"/>
        </w:rPr>
        <w:t>Sediment thickness grids used to compute the Mantle Bouguer anomaly. The sediment</w:t>
      </w:r>
      <w:r w:rsidRPr="008916EE">
        <w:rPr>
          <w:rFonts w:ascii="Times New Roman" w:hAnsi="Times New Roman" w:cs="Times New Roman"/>
          <w:i/>
          <w:iCs/>
          <w:sz w:val="22"/>
          <w:szCs w:val="22"/>
          <w:lang w:val="en-US"/>
        </w:rPr>
        <w:t xml:space="preserve"> </w:t>
      </w:r>
      <w:r>
        <w:rPr>
          <w:rFonts w:ascii="Times New Roman" w:hAnsi="Times New Roman" w:cs="Times New Roman"/>
          <w:i/>
          <w:iCs/>
          <w:sz w:val="22"/>
          <w:szCs w:val="22"/>
          <w:lang w:val="en-US"/>
        </w:rPr>
        <w:t>away from the central trough has a lens shape in cross-section with thickness increasing from 0km (at the edges of the axial trough and coastal plain) to 2km midway. The three grids differ by the thickness of the salt flows within the axial trough: at most 250m (a), at most 500m (b), or at most 1000m (c). Contour lines have a spacing of 150m, except between 0 and 250m where it is 50m in (a), and 100m in (b). The Bouguer anomaly difference between these 3 models is depicted as a transparent red envelope in Fig. 3a of the main text. Note that the excess axial sediment thickness around Latitude 2700 km is unconstrained and artificially generates the large negative Mantle Bouguer Anomaly seen around 1400-1500 km in Fig. 3a of the main text.</w:t>
      </w:r>
    </w:p>
    <w:p w:rsidR="00A54C7B" w:rsidRDefault="00A54C7B" w:rsidP="00A54C7B"/>
    <w:p w:rsidR="00A54C7B" w:rsidRDefault="00A54C7B" w:rsidP="00A54C7B">
      <w:pPr>
        <w:ind w:hanging="567"/>
      </w:pPr>
      <w:r>
        <w:rPr>
          <w:noProof/>
        </w:rPr>
        <w:lastRenderedPageBreak/>
        <w:drawing>
          <wp:inline distT="0" distB="0" distL="0" distR="0" wp14:anchorId="1DFF9B1D" wp14:editId="71EE6F04">
            <wp:extent cx="6680200" cy="33044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07726" cy="3318031"/>
                    </a:xfrm>
                    <a:prstGeom prst="rect">
                      <a:avLst/>
                    </a:prstGeom>
                  </pic:spPr>
                </pic:pic>
              </a:graphicData>
            </a:graphic>
          </wp:inline>
        </w:drawing>
      </w:r>
    </w:p>
    <w:p w:rsidR="00A54C7B" w:rsidRDefault="00A54C7B" w:rsidP="00A54C7B">
      <w:pPr>
        <w:ind w:hanging="567"/>
      </w:pPr>
    </w:p>
    <w:p w:rsidR="00A54C7B" w:rsidRPr="002D6909" w:rsidRDefault="00A54C7B" w:rsidP="00A54C7B">
      <w:pPr>
        <w:jc w:val="both"/>
        <w:rPr>
          <w:rFonts w:ascii="Times New Roman" w:hAnsi="Times New Roman" w:cs="Times New Roman"/>
          <w:i/>
          <w:iCs/>
          <w:sz w:val="22"/>
          <w:szCs w:val="22"/>
          <w:lang w:val="en-US"/>
        </w:rPr>
      </w:pPr>
      <w:r w:rsidRPr="002D6909">
        <w:rPr>
          <w:rFonts w:ascii="Times New Roman" w:hAnsi="Times New Roman" w:cs="Times New Roman"/>
          <w:i/>
          <w:iCs/>
          <w:sz w:val="22"/>
          <w:szCs w:val="22"/>
          <w:u w:val="single"/>
          <w:lang w:val="en-US"/>
        </w:rPr>
        <w:t>Figure S</w:t>
      </w:r>
      <w:r>
        <w:rPr>
          <w:rFonts w:ascii="Times New Roman" w:hAnsi="Times New Roman" w:cs="Times New Roman"/>
          <w:i/>
          <w:iCs/>
          <w:sz w:val="22"/>
          <w:szCs w:val="22"/>
          <w:u w:val="single"/>
          <w:lang w:val="en-US"/>
        </w:rPr>
        <w:t>2</w:t>
      </w:r>
      <w:r w:rsidRPr="002D6909">
        <w:rPr>
          <w:rFonts w:ascii="Times New Roman" w:hAnsi="Times New Roman" w:cs="Times New Roman"/>
          <w:i/>
          <w:iCs/>
          <w:sz w:val="22"/>
          <w:szCs w:val="22"/>
          <w:u w:val="single"/>
          <w:lang w:val="en-US"/>
        </w:rPr>
        <w:t>:</w:t>
      </w:r>
      <w:r w:rsidRPr="002D6909">
        <w:rPr>
          <w:rFonts w:ascii="Times New Roman" w:hAnsi="Times New Roman" w:cs="Times New Roman"/>
          <w:i/>
          <w:iCs/>
          <w:sz w:val="22"/>
          <w:szCs w:val="22"/>
          <w:lang w:val="en-US"/>
        </w:rPr>
        <w:t xml:space="preserve"> (a) </w:t>
      </w:r>
      <w:proofErr w:type="spellStart"/>
      <w:r w:rsidRPr="002D6909">
        <w:rPr>
          <w:rFonts w:ascii="Times New Roman" w:hAnsi="Times New Roman" w:cs="Times New Roman"/>
          <w:i/>
          <w:iCs/>
          <w:sz w:val="22"/>
          <w:szCs w:val="22"/>
          <w:lang w:val="en-US"/>
        </w:rPr>
        <w:t>GoogleEarth</w:t>
      </w:r>
      <w:proofErr w:type="spellEnd"/>
      <w:r w:rsidRPr="002D6909">
        <w:rPr>
          <w:rFonts w:ascii="Times New Roman" w:hAnsi="Times New Roman" w:cs="Times New Roman"/>
          <w:i/>
          <w:iCs/>
          <w:sz w:val="22"/>
          <w:szCs w:val="22"/>
          <w:lang w:val="en-US"/>
        </w:rPr>
        <w:t xml:space="preserve"> image of the Arabian coast between Yanbu and </w:t>
      </w:r>
      <w:proofErr w:type="spellStart"/>
      <w:r w:rsidRPr="002D6909">
        <w:rPr>
          <w:rFonts w:ascii="Times New Roman" w:hAnsi="Times New Roman" w:cs="Times New Roman"/>
          <w:i/>
          <w:iCs/>
          <w:sz w:val="22"/>
          <w:szCs w:val="22"/>
          <w:lang w:val="en-US"/>
        </w:rPr>
        <w:t>UmmLujj</w:t>
      </w:r>
      <w:proofErr w:type="spellEnd"/>
      <w:r w:rsidRPr="002D6909">
        <w:rPr>
          <w:rFonts w:ascii="Times New Roman" w:hAnsi="Times New Roman" w:cs="Times New Roman"/>
          <w:i/>
          <w:iCs/>
          <w:sz w:val="22"/>
          <w:szCs w:val="22"/>
          <w:lang w:val="en-US"/>
        </w:rPr>
        <w:t xml:space="preserve"> </w:t>
      </w:r>
      <w:r>
        <w:rPr>
          <w:rFonts w:ascii="Times New Roman" w:hAnsi="Times New Roman" w:cs="Times New Roman"/>
          <w:i/>
          <w:iCs/>
          <w:sz w:val="22"/>
          <w:szCs w:val="22"/>
          <w:lang w:val="en-US"/>
        </w:rPr>
        <w:t>(</w:t>
      </w:r>
      <w:r w:rsidR="007106DA">
        <w:rPr>
          <w:rFonts w:ascii="Times New Roman" w:hAnsi="Times New Roman" w:cs="Times New Roman"/>
          <w:i/>
          <w:iCs/>
          <w:sz w:val="22"/>
          <w:szCs w:val="22"/>
          <w:lang w:val="en-US"/>
        </w:rPr>
        <w:t xml:space="preserve">corresponding to the coastal area encompassed by the circle denoting the </w:t>
      </w:r>
      <w:proofErr w:type="spellStart"/>
      <w:r w:rsidR="007106DA">
        <w:rPr>
          <w:rFonts w:ascii="Times New Roman" w:hAnsi="Times New Roman" w:cs="Times New Roman"/>
          <w:i/>
          <w:iCs/>
          <w:sz w:val="22"/>
          <w:szCs w:val="22"/>
          <w:lang w:val="en-US"/>
        </w:rPr>
        <w:t>Lunayyir</w:t>
      </w:r>
      <w:proofErr w:type="spellEnd"/>
      <w:r w:rsidR="007106DA">
        <w:rPr>
          <w:rFonts w:ascii="Times New Roman" w:hAnsi="Times New Roman" w:cs="Times New Roman"/>
          <w:i/>
          <w:iCs/>
          <w:sz w:val="22"/>
          <w:szCs w:val="22"/>
          <w:lang w:val="en-US"/>
        </w:rPr>
        <w:t xml:space="preserve"> volcanic field</w:t>
      </w:r>
      <w:r>
        <w:rPr>
          <w:rFonts w:ascii="Times New Roman" w:hAnsi="Times New Roman" w:cs="Times New Roman"/>
          <w:i/>
          <w:iCs/>
          <w:sz w:val="22"/>
          <w:szCs w:val="22"/>
          <w:lang w:val="en-US"/>
        </w:rPr>
        <w:t xml:space="preserve"> in Fig. 1</w:t>
      </w:r>
      <w:r w:rsidR="007106DA">
        <w:rPr>
          <w:rFonts w:ascii="Times New Roman" w:hAnsi="Times New Roman" w:cs="Times New Roman"/>
          <w:i/>
          <w:iCs/>
          <w:sz w:val="22"/>
          <w:szCs w:val="22"/>
          <w:lang w:val="en-US"/>
        </w:rPr>
        <w:t xml:space="preserve">b </w:t>
      </w:r>
      <w:r>
        <w:rPr>
          <w:rFonts w:ascii="Times New Roman" w:hAnsi="Times New Roman" w:cs="Times New Roman"/>
          <w:i/>
          <w:iCs/>
          <w:sz w:val="22"/>
          <w:szCs w:val="22"/>
          <w:lang w:val="en-US"/>
        </w:rPr>
        <w:t xml:space="preserve">of the main text) </w:t>
      </w:r>
      <w:r w:rsidRPr="002D6909">
        <w:rPr>
          <w:rFonts w:ascii="Times New Roman" w:hAnsi="Times New Roman" w:cs="Times New Roman"/>
          <w:i/>
          <w:iCs/>
          <w:sz w:val="22"/>
          <w:szCs w:val="22"/>
          <w:lang w:val="en-US"/>
        </w:rPr>
        <w:t>showing several levels of marine coral terraces presently standing up to 90m above sea level. The arrow depicts the view angle of the field picture in (b). The white box shows the area of (c). (b) Field picture of the marine coral terraces as seen from the location shown in (a). (c) Preliminary mapping of 7 terrace levels based on field observations and the analysis of satellite images.</w:t>
      </w:r>
    </w:p>
    <w:p w:rsidR="00A54C7B" w:rsidRDefault="00A54C7B" w:rsidP="00A54C7B">
      <w:pPr>
        <w:jc w:val="center"/>
      </w:pPr>
    </w:p>
    <w:p w:rsidR="00A54C7B" w:rsidRDefault="00A54C7B" w:rsidP="00A54C7B">
      <w:pPr>
        <w:jc w:val="center"/>
      </w:pPr>
    </w:p>
    <w:p w:rsidR="00A54C7B" w:rsidRDefault="00A54C7B" w:rsidP="00A54C7B">
      <w:pPr>
        <w:jc w:val="center"/>
      </w:pPr>
    </w:p>
    <w:p w:rsidR="00A54C7B" w:rsidRDefault="00A54C7B" w:rsidP="00A54C7B">
      <w:pPr>
        <w:jc w:val="center"/>
      </w:pPr>
    </w:p>
    <w:p w:rsidR="00A54C7B" w:rsidRDefault="00A54C7B" w:rsidP="00A54C7B">
      <w:pPr>
        <w:jc w:val="center"/>
      </w:pPr>
      <w:r>
        <w:rPr>
          <w:noProof/>
        </w:rPr>
        <w:lastRenderedPageBreak/>
        <w:drawing>
          <wp:inline distT="0" distB="0" distL="0" distR="0" wp14:anchorId="6325D13B" wp14:editId="3CD8AA1D">
            <wp:extent cx="4502155" cy="6055783"/>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29096" cy="6092022"/>
                    </a:xfrm>
                    <a:prstGeom prst="rect">
                      <a:avLst/>
                    </a:prstGeom>
                  </pic:spPr>
                </pic:pic>
              </a:graphicData>
            </a:graphic>
          </wp:inline>
        </w:drawing>
      </w:r>
    </w:p>
    <w:p w:rsidR="00A54C7B" w:rsidRDefault="00A54C7B" w:rsidP="00A54C7B">
      <w:pPr>
        <w:jc w:val="center"/>
      </w:pPr>
    </w:p>
    <w:p w:rsidR="00F82A60" w:rsidRPr="00397025" w:rsidRDefault="00A54C7B" w:rsidP="00397025">
      <w:pPr>
        <w:jc w:val="both"/>
        <w:rPr>
          <w:rFonts w:ascii="Times New Roman" w:hAnsi="Times New Roman" w:cs="Times New Roman"/>
          <w:i/>
          <w:iCs/>
          <w:sz w:val="22"/>
          <w:szCs w:val="22"/>
          <w:lang w:val="en-US"/>
        </w:rPr>
      </w:pPr>
      <w:r w:rsidRPr="002D6909">
        <w:rPr>
          <w:rFonts w:ascii="Times New Roman" w:hAnsi="Times New Roman" w:cs="Times New Roman"/>
          <w:i/>
          <w:iCs/>
          <w:sz w:val="22"/>
          <w:szCs w:val="22"/>
          <w:u w:val="single"/>
          <w:lang w:val="en-US"/>
        </w:rPr>
        <w:t>Figure S</w:t>
      </w:r>
      <w:r>
        <w:rPr>
          <w:rFonts w:ascii="Times New Roman" w:hAnsi="Times New Roman" w:cs="Times New Roman"/>
          <w:i/>
          <w:iCs/>
          <w:sz w:val="22"/>
          <w:szCs w:val="22"/>
          <w:u w:val="single"/>
          <w:lang w:val="en-US"/>
        </w:rPr>
        <w:t>3</w:t>
      </w:r>
      <w:r w:rsidRPr="002D6909">
        <w:rPr>
          <w:rFonts w:ascii="Times New Roman" w:hAnsi="Times New Roman" w:cs="Times New Roman"/>
          <w:i/>
          <w:iCs/>
          <w:sz w:val="22"/>
          <w:szCs w:val="22"/>
          <w:u w:val="single"/>
          <w:lang w:val="en-US"/>
        </w:rPr>
        <w:t>:</w:t>
      </w:r>
      <w:r w:rsidRPr="002D6909">
        <w:rPr>
          <w:rFonts w:ascii="Times New Roman" w:hAnsi="Times New Roman" w:cs="Times New Roman"/>
          <w:i/>
          <w:iCs/>
          <w:sz w:val="22"/>
          <w:szCs w:val="22"/>
          <w:lang w:val="en-US"/>
        </w:rPr>
        <w:t xml:space="preserve"> Along-axis transects of a 2D plume-spreading model evolution based on the same code as in Figure 5 of the main text. In all the 3 explored cases, the model starts with the lithosphere and plume thickness obtained at time=26Ma from the model presented in Figure 5</w:t>
      </w:r>
      <w:r w:rsidR="007106DA">
        <w:rPr>
          <w:rFonts w:ascii="Times New Roman" w:hAnsi="Times New Roman" w:cs="Times New Roman"/>
          <w:i/>
          <w:iCs/>
          <w:sz w:val="22"/>
          <w:szCs w:val="22"/>
          <w:lang w:val="en-US"/>
        </w:rPr>
        <w:t>a</w:t>
      </w:r>
      <w:r w:rsidRPr="002D6909">
        <w:rPr>
          <w:rFonts w:ascii="Times New Roman" w:hAnsi="Times New Roman" w:cs="Times New Roman"/>
          <w:i/>
          <w:iCs/>
          <w:sz w:val="22"/>
          <w:szCs w:val="22"/>
          <w:lang w:val="en-US"/>
        </w:rPr>
        <w:t xml:space="preserve"> of the main text (time denotes time after the onset of spreading). The upper plots in (a) and (b) show the evolution of the lithospheric thickness every 2Ma (gray tones). In (a) oceanic spreading is imposed to occur at t=0 at the location which has the most thinned lithosphere (~40km in our model), and initiate elsewhere as soon as the lithosphere reaches the same value. The same condition is imposed in (b) except that spreading is also forced independently by a wave that propagates from left to right at a rate of 280km/Ma. In (c) oceanic spreading is synchronous and occurs at t=0 (the lithospheric thickness always </w:t>
      </w:r>
      <w:r w:rsidR="007106DA">
        <w:rPr>
          <w:rFonts w:ascii="Times New Roman" w:hAnsi="Times New Roman" w:cs="Times New Roman"/>
          <w:i/>
          <w:iCs/>
          <w:sz w:val="22"/>
          <w:szCs w:val="22"/>
          <w:lang w:val="en-US"/>
        </w:rPr>
        <w:t xml:space="preserve">remains </w:t>
      </w:r>
      <w:r w:rsidRPr="002D6909">
        <w:rPr>
          <w:rFonts w:ascii="Times New Roman" w:hAnsi="Times New Roman" w:cs="Times New Roman"/>
          <w:i/>
          <w:iCs/>
          <w:sz w:val="22"/>
          <w:szCs w:val="22"/>
          <w:lang w:val="en-US"/>
        </w:rPr>
        <w:t xml:space="preserve">at ~40km). The lower plots </w:t>
      </w:r>
      <w:r>
        <w:rPr>
          <w:rFonts w:ascii="Times New Roman" w:hAnsi="Times New Roman" w:cs="Times New Roman"/>
          <w:i/>
          <w:iCs/>
          <w:sz w:val="22"/>
          <w:szCs w:val="22"/>
          <w:lang w:val="en-US"/>
        </w:rPr>
        <w:t>in (a), (b), and (c) depict</w:t>
      </w:r>
      <w:r w:rsidRPr="002D6909">
        <w:rPr>
          <w:rFonts w:ascii="Times New Roman" w:hAnsi="Times New Roman" w:cs="Times New Roman"/>
          <w:i/>
          <w:iCs/>
          <w:sz w:val="22"/>
          <w:szCs w:val="22"/>
          <w:lang w:val="en-US"/>
        </w:rPr>
        <w:t xml:space="preserve"> the convergence of plume material relative to initial time</w:t>
      </w:r>
      <w:r>
        <w:rPr>
          <w:rFonts w:ascii="Times New Roman" w:hAnsi="Times New Roman" w:cs="Times New Roman"/>
          <w:i/>
          <w:iCs/>
          <w:sz w:val="22"/>
          <w:szCs w:val="22"/>
          <w:lang w:val="en-US"/>
        </w:rPr>
        <w:t>,</w:t>
      </w:r>
      <w:r w:rsidRPr="002D6909">
        <w:rPr>
          <w:rFonts w:ascii="Times New Roman" w:hAnsi="Times New Roman" w:cs="Times New Roman"/>
          <w:i/>
          <w:iCs/>
          <w:sz w:val="22"/>
          <w:szCs w:val="22"/>
          <w:lang w:val="en-US"/>
        </w:rPr>
        <w:t xml:space="preserve"> and show a deficit of plume convergence where the pre-rift lithosphere was thinner (i.e., at </w:t>
      </w:r>
      <w:proofErr w:type="gramStart"/>
      <w:r w:rsidRPr="002D6909">
        <w:rPr>
          <w:rFonts w:ascii="Times New Roman" w:hAnsi="Times New Roman" w:cs="Times New Roman"/>
          <w:i/>
          <w:iCs/>
          <w:sz w:val="22"/>
          <w:szCs w:val="22"/>
          <w:lang w:val="en-US"/>
        </w:rPr>
        <w:t>an</w:t>
      </w:r>
      <w:proofErr w:type="gramEnd"/>
      <w:r w:rsidRPr="002D6909">
        <w:rPr>
          <w:rFonts w:ascii="Times New Roman" w:hAnsi="Times New Roman" w:cs="Times New Roman"/>
          <w:i/>
          <w:iCs/>
          <w:sz w:val="22"/>
          <w:szCs w:val="22"/>
          <w:lang w:val="en-US"/>
        </w:rPr>
        <w:t xml:space="preserve"> horizontal distance of ~950km). This deficit persists longer when moving from case (c) </w:t>
      </w:r>
      <w:r>
        <w:rPr>
          <w:rFonts w:ascii="Times New Roman" w:hAnsi="Times New Roman" w:cs="Times New Roman"/>
          <w:i/>
          <w:iCs/>
          <w:sz w:val="22"/>
          <w:szCs w:val="22"/>
          <w:lang w:val="en-US"/>
        </w:rPr>
        <w:t xml:space="preserve">(~1Ma) </w:t>
      </w:r>
      <w:r w:rsidRPr="002D6909">
        <w:rPr>
          <w:rFonts w:ascii="Times New Roman" w:hAnsi="Times New Roman" w:cs="Times New Roman"/>
          <w:i/>
          <w:iCs/>
          <w:sz w:val="22"/>
          <w:szCs w:val="22"/>
          <w:lang w:val="en-US"/>
        </w:rPr>
        <w:t>to case (b)</w:t>
      </w:r>
      <w:r>
        <w:rPr>
          <w:rFonts w:ascii="Times New Roman" w:hAnsi="Times New Roman" w:cs="Times New Roman"/>
          <w:i/>
          <w:iCs/>
          <w:sz w:val="22"/>
          <w:szCs w:val="22"/>
          <w:lang w:val="en-US"/>
        </w:rPr>
        <w:t xml:space="preserve"> (5-6Ma)</w:t>
      </w:r>
      <w:r w:rsidRPr="002D6909">
        <w:rPr>
          <w:rFonts w:ascii="Times New Roman" w:hAnsi="Times New Roman" w:cs="Times New Roman"/>
          <w:i/>
          <w:iCs/>
          <w:sz w:val="22"/>
          <w:szCs w:val="22"/>
          <w:lang w:val="en-US"/>
        </w:rPr>
        <w:t xml:space="preserve"> and from case (b) to case (a)</w:t>
      </w:r>
      <w:r>
        <w:rPr>
          <w:rFonts w:ascii="Times New Roman" w:hAnsi="Times New Roman" w:cs="Times New Roman"/>
          <w:i/>
          <w:iCs/>
          <w:sz w:val="22"/>
          <w:szCs w:val="22"/>
          <w:lang w:val="en-US"/>
        </w:rPr>
        <w:t xml:space="preserve"> (almost 10Ma)</w:t>
      </w:r>
      <w:r w:rsidRPr="002D6909">
        <w:rPr>
          <w:rFonts w:ascii="Times New Roman" w:hAnsi="Times New Roman" w:cs="Times New Roman"/>
          <w:i/>
          <w:iCs/>
          <w:sz w:val="22"/>
          <w:szCs w:val="22"/>
          <w:lang w:val="en-US"/>
        </w:rPr>
        <w:t>.</w:t>
      </w:r>
    </w:p>
    <w:sectPr w:rsidR="00F82A60" w:rsidRPr="003970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1E9"/>
    <w:rsid w:val="000531A8"/>
    <w:rsid w:val="003969CB"/>
    <w:rsid w:val="00397025"/>
    <w:rsid w:val="004F0ED5"/>
    <w:rsid w:val="007106DA"/>
    <w:rsid w:val="00A54C7B"/>
    <w:rsid w:val="00A97FC1"/>
    <w:rsid w:val="00B741E9"/>
    <w:rsid w:val="00D03E7C"/>
    <w:rsid w:val="00E04ED2"/>
    <w:rsid w:val="00F82A60"/>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decimalSymbol w:val="."/>
  <w:listSeparator w:val=","/>
  <w14:docId w14:val="6B599417"/>
  <w15:chartTrackingRefBased/>
  <w15:docId w15:val="{E43F4CF1-1E43-C34E-B2BA-891BD702E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1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2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3</Pages>
  <Words>444</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2023-12-13T03:16:00Z</dcterms:created>
  <dcterms:modified xsi:type="dcterms:W3CDTF">2024-01-14T05:53:00Z</dcterms:modified>
</cp:coreProperties>
</file>