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9D7D07" w14:textId="64DC34FE" w:rsidR="00B42D09" w:rsidRDefault="00B8702B">
      <w:pPr>
        <w:pStyle w:val="Title"/>
        <w:spacing w:before="240" w:after="240" w:line="360" w:lineRule="auto"/>
      </w:pPr>
      <w:r>
        <w:t xml:space="preserve">Supplementary Information: </w:t>
      </w:r>
      <w:r w:rsidR="00620CDF">
        <w:t>E</w:t>
      </w:r>
      <w:r w:rsidR="005665D4">
        <w:t>cology and biogeochemistry of the microbial underworld in two sister soda lakes</w:t>
      </w:r>
    </w:p>
    <w:p w14:paraId="17D25980" w14:textId="5EB2DF31" w:rsidR="00B42D09" w:rsidRDefault="005665D4">
      <w:pPr>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Alexandre J. Paquette</w:t>
      </w:r>
      <w:r>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Srijak</w:t>
      </w:r>
      <w:proofErr w:type="spellEnd"/>
      <w:r>
        <w:rPr>
          <w:rFonts w:ascii="Times New Roman" w:eastAsia="Times New Roman" w:hAnsi="Times New Roman" w:cs="Times New Roman"/>
          <w:sz w:val="28"/>
          <w:szCs w:val="28"/>
        </w:rPr>
        <w:t xml:space="preserve"> Bhatnagar</w:t>
      </w:r>
      <w:r>
        <w:rPr>
          <w:rFonts w:ascii="Times New Roman" w:eastAsia="Times New Roman" w:hAnsi="Times New Roman" w:cs="Times New Roman"/>
          <w:sz w:val="28"/>
          <w:szCs w:val="28"/>
          <w:vertAlign w:val="superscript"/>
        </w:rPr>
        <w:t>4</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Agasteswar</w:t>
      </w:r>
      <w:proofErr w:type="spellEnd"/>
      <w:r>
        <w:rPr>
          <w:rFonts w:ascii="Times New Roman" w:eastAsia="Times New Roman" w:hAnsi="Times New Roman" w:cs="Times New Roman"/>
          <w:sz w:val="28"/>
          <w:szCs w:val="28"/>
        </w:rPr>
        <w:t xml:space="preserve"> Vadlamani</w:t>
      </w:r>
      <w:r>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 Timber Gillis</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 xml:space="preserve">, </w:t>
      </w:r>
      <w:r w:rsidR="0009709D">
        <w:rPr>
          <w:rFonts w:ascii="Times New Roman" w:eastAsia="Times New Roman" w:hAnsi="Times New Roman" w:cs="Times New Roman"/>
          <w:sz w:val="28"/>
          <w:szCs w:val="28"/>
        </w:rPr>
        <w:t>Varada Khot</w:t>
      </w:r>
      <w:r w:rsidR="0009709D">
        <w:rPr>
          <w:rFonts w:ascii="Times New Roman" w:eastAsia="Times New Roman" w:hAnsi="Times New Roman" w:cs="Times New Roman"/>
          <w:sz w:val="28"/>
          <w:szCs w:val="28"/>
          <w:vertAlign w:val="superscript"/>
        </w:rPr>
        <w:t>1</w:t>
      </w:r>
      <w:r w:rsidR="0009709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Breda Novot</w:t>
      </w:r>
      <w:r w:rsidR="004312A8">
        <w:rPr>
          <w:rFonts w:ascii="Times New Roman" w:eastAsia="Times New Roman" w:hAnsi="Times New Roman" w:cs="Times New Roman"/>
          <w:sz w:val="28"/>
          <w:szCs w:val="28"/>
        </w:rPr>
        <w:t>ni</w:t>
      </w:r>
      <w:r>
        <w:rPr>
          <w:rFonts w:ascii="Times New Roman" w:eastAsia="Times New Roman" w:hAnsi="Times New Roman" w:cs="Times New Roman"/>
          <w:sz w:val="28"/>
          <w:szCs w:val="28"/>
        </w:rPr>
        <w:t>k</w:t>
      </w:r>
      <w:r>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 Hector De la</w:t>
      </w:r>
      <w:r>
        <w:rPr>
          <w:rFonts w:ascii="Times New Roman" w:eastAsia="Times New Roman" w:hAnsi="Times New Roman" w:cs="Times New Roman"/>
          <w:sz w:val="28"/>
          <w:szCs w:val="28"/>
          <w:vertAlign w:val="superscript"/>
        </w:rPr>
        <w:t xml:space="preserve"> </w:t>
      </w:r>
      <w:r>
        <w:rPr>
          <w:rFonts w:ascii="Times New Roman" w:eastAsia="Times New Roman" w:hAnsi="Times New Roman" w:cs="Times New Roman"/>
          <w:sz w:val="28"/>
          <w:szCs w:val="28"/>
        </w:rPr>
        <w:t>Hoz Siegler</w:t>
      </w:r>
      <w:r>
        <w:rPr>
          <w:rFonts w:ascii="Times New Roman" w:eastAsia="Times New Roman" w:hAnsi="Times New Roman" w:cs="Times New Roman"/>
          <w:sz w:val="28"/>
          <w:szCs w:val="28"/>
          <w:vertAlign w:val="superscript"/>
        </w:rPr>
        <w:t>3</w:t>
      </w:r>
      <w:r>
        <w:rPr>
          <w:rFonts w:ascii="Times New Roman" w:eastAsia="Times New Roman" w:hAnsi="Times New Roman" w:cs="Times New Roman"/>
          <w:sz w:val="28"/>
          <w:szCs w:val="28"/>
        </w:rPr>
        <w:t>, Marc</w:t>
      </w:r>
      <w:r>
        <w:rPr>
          <w:rFonts w:ascii="Times New Roman" w:eastAsia="Times New Roman" w:hAnsi="Times New Roman" w:cs="Times New Roman"/>
          <w:sz w:val="28"/>
          <w:szCs w:val="28"/>
          <w:vertAlign w:val="superscript"/>
        </w:rPr>
        <w:t xml:space="preserve"> </w:t>
      </w:r>
      <w:r>
        <w:rPr>
          <w:rFonts w:ascii="Times New Roman" w:eastAsia="Times New Roman" w:hAnsi="Times New Roman" w:cs="Times New Roman"/>
          <w:sz w:val="28"/>
          <w:szCs w:val="28"/>
        </w:rPr>
        <w:t>Strous</w:t>
      </w:r>
      <w:r>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 and Jayne E.</w:t>
      </w:r>
      <w:r w:rsidR="001626BC">
        <w:rPr>
          <w:rFonts w:ascii="Times New Roman" w:eastAsia="Times New Roman" w:hAnsi="Times New Roman" w:cs="Times New Roman"/>
          <w:sz w:val="28"/>
          <w:szCs w:val="28"/>
          <w:vertAlign w:val="superscript"/>
        </w:rPr>
        <w:t xml:space="preserve"> </w:t>
      </w:r>
      <w:r>
        <w:rPr>
          <w:rFonts w:ascii="Times New Roman" w:eastAsia="Times New Roman" w:hAnsi="Times New Roman" w:cs="Times New Roman"/>
          <w:sz w:val="28"/>
          <w:szCs w:val="28"/>
        </w:rPr>
        <w:t>Rattray</w:t>
      </w:r>
      <w:r>
        <w:rPr>
          <w:rFonts w:ascii="Times New Roman" w:eastAsia="Times New Roman" w:hAnsi="Times New Roman" w:cs="Times New Roman"/>
          <w:sz w:val="28"/>
          <w:szCs w:val="28"/>
          <w:vertAlign w:val="superscript"/>
        </w:rPr>
        <w:t>2</w:t>
      </w:r>
    </w:p>
    <w:p w14:paraId="7BC042D0" w14:textId="1DE09657" w:rsidR="00B42D09" w:rsidRDefault="005665D4">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40"/>
          <w:szCs w:val="40"/>
          <w:vertAlign w:val="superscript"/>
        </w:rPr>
        <w:t>1</w:t>
      </w:r>
      <w:r>
        <w:rPr>
          <w:rFonts w:ascii="Times New Roman" w:eastAsia="Times New Roman" w:hAnsi="Times New Roman" w:cs="Times New Roman"/>
          <w:sz w:val="24"/>
          <w:szCs w:val="24"/>
        </w:rPr>
        <w:t xml:space="preserve"> Department of </w:t>
      </w:r>
      <w:r w:rsidR="00EB041E">
        <w:rPr>
          <w:rFonts w:ascii="Times New Roman" w:eastAsia="Times New Roman" w:hAnsi="Times New Roman" w:cs="Times New Roman"/>
          <w:sz w:val="24"/>
          <w:szCs w:val="24"/>
        </w:rPr>
        <w:t>Earth, Energy, and Environment</w:t>
      </w:r>
      <w:r>
        <w:rPr>
          <w:rFonts w:ascii="Times New Roman" w:eastAsia="Times New Roman" w:hAnsi="Times New Roman" w:cs="Times New Roman"/>
          <w:sz w:val="24"/>
          <w:szCs w:val="24"/>
        </w:rPr>
        <w:t>, University of Calgary, 2500 University Drive, Calgary, Alberta T2N1N4, Canada</w:t>
      </w:r>
    </w:p>
    <w:p w14:paraId="19D01210" w14:textId="77777777" w:rsidR="00B42D09" w:rsidRDefault="005665D4">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40"/>
          <w:szCs w:val="40"/>
          <w:vertAlign w:val="superscript"/>
        </w:rPr>
        <w:t>2</w:t>
      </w:r>
      <w:r>
        <w:rPr>
          <w:rFonts w:ascii="Times New Roman" w:eastAsia="Times New Roman" w:hAnsi="Times New Roman" w:cs="Times New Roman"/>
          <w:sz w:val="24"/>
          <w:szCs w:val="24"/>
        </w:rPr>
        <w:t xml:space="preserve"> Department of Biological Sciences, University of Calgary, 2500 University Drive, Calgary, Alberta T2N1N4, Canada</w:t>
      </w:r>
    </w:p>
    <w:p w14:paraId="5E51A3E3" w14:textId="77777777" w:rsidR="00B42D09" w:rsidRDefault="005665D4">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40"/>
          <w:szCs w:val="40"/>
          <w:vertAlign w:val="superscript"/>
        </w:rPr>
        <w:t>3</w:t>
      </w:r>
      <w:r>
        <w:rPr>
          <w:rFonts w:ascii="Times New Roman" w:eastAsia="Times New Roman" w:hAnsi="Times New Roman" w:cs="Times New Roman"/>
          <w:sz w:val="24"/>
          <w:szCs w:val="24"/>
        </w:rPr>
        <w:t xml:space="preserve"> Department of Chemical and Petroleum Engineering, University of Calgary, 2500 University Drive, Calgary, Alberta T2N1N4, Canada</w:t>
      </w:r>
    </w:p>
    <w:p w14:paraId="7D091E84" w14:textId="77777777" w:rsidR="00B42D09" w:rsidRDefault="005665D4">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40"/>
          <w:szCs w:val="40"/>
          <w:vertAlign w:val="superscript"/>
        </w:rPr>
        <w:t>4</w:t>
      </w:r>
      <w:r>
        <w:rPr>
          <w:rFonts w:ascii="Times New Roman" w:eastAsia="Times New Roman" w:hAnsi="Times New Roman" w:cs="Times New Roman"/>
          <w:sz w:val="24"/>
          <w:szCs w:val="24"/>
        </w:rPr>
        <w:t xml:space="preserve"> Faculty of Science and Technology, Athabasca University, 1 University Dr, Athabasca, AB T9S 3A3, Canada</w:t>
      </w:r>
    </w:p>
    <w:p w14:paraId="61E4B319" w14:textId="77777777" w:rsidR="00B42D09" w:rsidRDefault="005665D4">
      <w:pPr>
        <w:spacing w:before="240" w:after="240" w:line="360" w:lineRule="auto"/>
        <w:rPr>
          <w:rFonts w:ascii="Times New Roman" w:eastAsia="Times New Roman" w:hAnsi="Times New Roman" w:cs="Times New Roman"/>
          <w:color w:val="1155CC"/>
          <w:sz w:val="24"/>
          <w:szCs w:val="24"/>
        </w:rPr>
      </w:pPr>
      <w:r>
        <w:rPr>
          <w:rFonts w:ascii="Times New Roman" w:eastAsia="Times New Roman" w:hAnsi="Times New Roman" w:cs="Times New Roman"/>
          <w:b/>
          <w:sz w:val="24"/>
          <w:szCs w:val="24"/>
        </w:rPr>
        <w:t xml:space="preserve">*Corresponding author email: </w:t>
      </w:r>
      <w:hyperlink r:id="rId7">
        <w:r>
          <w:rPr>
            <w:rFonts w:ascii="Times New Roman" w:eastAsia="Times New Roman" w:hAnsi="Times New Roman" w:cs="Times New Roman"/>
            <w:color w:val="1155CC"/>
            <w:sz w:val="24"/>
            <w:szCs w:val="24"/>
            <w:u w:val="single"/>
          </w:rPr>
          <w:t>alexandre.paquette@ucalgary.ca</w:t>
        </w:r>
      </w:hyperlink>
    </w:p>
    <w:p w14:paraId="1DB7BDBF" w14:textId="77777777" w:rsidR="00B42D09" w:rsidRDefault="00B42D09">
      <w:pPr>
        <w:spacing w:before="240" w:after="240" w:line="360" w:lineRule="auto"/>
        <w:rPr>
          <w:rFonts w:ascii="Times New Roman" w:eastAsia="Times New Roman" w:hAnsi="Times New Roman" w:cs="Times New Roman"/>
          <w:color w:val="1155CC"/>
          <w:sz w:val="24"/>
          <w:szCs w:val="24"/>
        </w:rPr>
      </w:pPr>
    </w:p>
    <w:p w14:paraId="2CF6FEF0" w14:textId="77777777" w:rsidR="00B42D09" w:rsidRDefault="00B42D09">
      <w:pPr>
        <w:spacing w:before="240" w:after="240" w:line="360" w:lineRule="auto"/>
        <w:rPr>
          <w:rFonts w:ascii="Times New Roman" w:eastAsia="Times New Roman" w:hAnsi="Times New Roman" w:cs="Times New Roman"/>
          <w:color w:val="1155CC"/>
          <w:sz w:val="24"/>
          <w:szCs w:val="24"/>
        </w:rPr>
      </w:pPr>
    </w:p>
    <w:p w14:paraId="1A9EF9A8" w14:textId="77777777" w:rsidR="00B42D09" w:rsidRDefault="00B42D09">
      <w:pPr>
        <w:spacing w:before="240" w:after="240" w:line="360" w:lineRule="auto"/>
        <w:rPr>
          <w:rFonts w:ascii="Times New Roman" w:eastAsia="Times New Roman" w:hAnsi="Times New Roman" w:cs="Times New Roman"/>
          <w:sz w:val="24"/>
          <w:szCs w:val="24"/>
        </w:rPr>
      </w:pPr>
    </w:p>
    <w:p w14:paraId="5FDC6BE9" w14:textId="77777777" w:rsidR="00B42D09" w:rsidRDefault="00B42D09">
      <w:pPr>
        <w:spacing w:before="240" w:after="240" w:line="360" w:lineRule="auto"/>
        <w:rPr>
          <w:rFonts w:ascii="Times New Roman" w:eastAsia="Times New Roman" w:hAnsi="Times New Roman" w:cs="Times New Roman"/>
          <w:sz w:val="24"/>
          <w:szCs w:val="24"/>
        </w:rPr>
      </w:pPr>
    </w:p>
    <w:p w14:paraId="3FD6B5B3" w14:textId="77777777" w:rsidR="00C374F8" w:rsidRDefault="00C374F8">
      <w:pPr>
        <w:spacing w:before="240" w:after="240" w:line="480" w:lineRule="auto"/>
        <w:rPr>
          <w:rFonts w:ascii="Times New Roman" w:eastAsia="Times New Roman" w:hAnsi="Times New Roman" w:cs="Times New Roman"/>
          <w:sz w:val="24"/>
          <w:szCs w:val="24"/>
        </w:rPr>
      </w:pPr>
    </w:p>
    <w:p w14:paraId="603B6456" w14:textId="77777777" w:rsidR="00B42D09" w:rsidRDefault="005665D4">
      <w:pPr>
        <w:shd w:val="clear" w:color="auto" w:fill="FFFFFF"/>
        <w:spacing w:before="240" w:after="240" w:line="480" w:lineRule="auto"/>
        <w:rPr>
          <w:rFonts w:ascii="Times New Roman" w:eastAsia="Times New Roman" w:hAnsi="Times New Roman" w:cs="Times New Roman"/>
          <w:color w:val="222222"/>
          <w:sz w:val="24"/>
          <w:szCs w:val="24"/>
        </w:rPr>
      </w:pPr>
      <w:r>
        <w:rPr>
          <w:rFonts w:ascii="Times New Roman" w:eastAsia="Times New Roman" w:hAnsi="Times New Roman" w:cs="Times New Roman"/>
          <w:noProof/>
          <w:color w:val="222222"/>
          <w:sz w:val="24"/>
          <w:szCs w:val="24"/>
        </w:rPr>
        <w:lastRenderedPageBreak/>
        <w:drawing>
          <wp:inline distT="114300" distB="114300" distL="114300" distR="114300" wp14:anchorId="0AA88AF2" wp14:editId="7EE728D2">
            <wp:extent cx="5943600" cy="2603500"/>
            <wp:effectExtent l="0" t="0" r="0" b="0"/>
            <wp:docPr id="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8"/>
                    <a:srcRect/>
                    <a:stretch>
                      <a:fillRect/>
                    </a:stretch>
                  </pic:blipFill>
                  <pic:spPr>
                    <a:xfrm>
                      <a:off x="0" y="0"/>
                      <a:ext cx="5943600" cy="2603500"/>
                    </a:xfrm>
                    <a:prstGeom prst="rect">
                      <a:avLst/>
                    </a:prstGeom>
                    <a:ln/>
                  </pic:spPr>
                </pic:pic>
              </a:graphicData>
            </a:graphic>
          </wp:inline>
        </w:drawing>
      </w:r>
    </w:p>
    <w:p w14:paraId="61852BAE" w14:textId="77777777" w:rsidR="00B42D09" w:rsidRDefault="005665D4">
      <w:pPr>
        <w:shd w:val="clear" w:color="auto" w:fill="FFFFFF"/>
        <w:spacing w:before="240" w:after="240" w:line="48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Figure S1: </w:t>
      </w:r>
      <w:r>
        <w:rPr>
          <w:rFonts w:ascii="Times New Roman" w:eastAsia="Times New Roman" w:hAnsi="Times New Roman" w:cs="Times New Roman"/>
          <w:b/>
          <w:color w:val="222222"/>
          <w:sz w:val="24"/>
          <w:szCs w:val="24"/>
        </w:rPr>
        <w:t>Carbon (A), Nitrogen (B), and Hydrogen (C) content (%) of the sediment material for Last Chance and Goodenough Lake.</w:t>
      </w:r>
      <w:r>
        <w:rPr>
          <w:rFonts w:ascii="Times New Roman" w:eastAsia="Times New Roman" w:hAnsi="Times New Roman" w:cs="Times New Roman"/>
          <w:color w:val="222222"/>
          <w:sz w:val="24"/>
          <w:szCs w:val="24"/>
        </w:rPr>
        <w:t xml:space="preserve"> Sediment material was freeze dried and the CHN content was analyzed using a UNICUBE elemental analyzer (</w:t>
      </w:r>
      <w:proofErr w:type="spellStart"/>
      <w:r>
        <w:rPr>
          <w:rFonts w:ascii="Times New Roman" w:eastAsia="Times New Roman" w:hAnsi="Times New Roman" w:cs="Times New Roman"/>
          <w:color w:val="222222"/>
          <w:sz w:val="24"/>
          <w:szCs w:val="24"/>
        </w:rPr>
        <w:t>Elementar</w:t>
      </w:r>
      <w:proofErr w:type="spellEnd"/>
      <w:r>
        <w:rPr>
          <w:rFonts w:ascii="Times New Roman" w:eastAsia="Times New Roman" w:hAnsi="Times New Roman" w:cs="Times New Roman"/>
          <w:color w:val="222222"/>
          <w:sz w:val="24"/>
          <w:szCs w:val="24"/>
        </w:rPr>
        <w:t xml:space="preserve">, </w:t>
      </w:r>
      <w:proofErr w:type="spellStart"/>
      <w:r>
        <w:rPr>
          <w:rFonts w:ascii="Times New Roman" w:eastAsia="Times New Roman" w:hAnsi="Times New Roman" w:cs="Times New Roman"/>
          <w:color w:val="222222"/>
          <w:sz w:val="24"/>
          <w:szCs w:val="24"/>
        </w:rPr>
        <w:t>Langenselbold</w:t>
      </w:r>
      <w:proofErr w:type="spellEnd"/>
      <w:r>
        <w:rPr>
          <w:rFonts w:ascii="Times New Roman" w:eastAsia="Times New Roman" w:hAnsi="Times New Roman" w:cs="Times New Roman"/>
          <w:color w:val="222222"/>
          <w:sz w:val="24"/>
          <w:szCs w:val="24"/>
        </w:rPr>
        <w:t>, Germany).</w:t>
      </w:r>
    </w:p>
    <w:p w14:paraId="4CE99664" w14:textId="77777777" w:rsidR="00B42D09" w:rsidRDefault="005665D4">
      <w:pPr>
        <w:shd w:val="clear" w:color="auto" w:fill="FFFFFF"/>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Pr>
          <w:rFonts w:ascii="Times New Roman" w:eastAsia="Times New Roman" w:hAnsi="Times New Roman" w:cs="Times New Roman"/>
          <w:noProof/>
          <w:sz w:val="24"/>
          <w:szCs w:val="24"/>
        </w:rPr>
        <w:drawing>
          <wp:inline distT="114300" distB="114300" distL="114300" distR="114300" wp14:anchorId="0516085D" wp14:editId="394B85DE">
            <wp:extent cx="2904304" cy="5614988"/>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904304" cy="5614988"/>
                    </a:xfrm>
                    <a:prstGeom prst="rect">
                      <a:avLst/>
                    </a:prstGeom>
                    <a:ln/>
                  </pic:spPr>
                </pic:pic>
              </a:graphicData>
            </a:graphic>
          </wp:inline>
        </w:drawing>
      </w:r>
    </w:p>
    <w:p w14:paraId="383B4E8C" w14:textId="77777777" w:rsidR="00B42D09" w:rsidRDefault="005665D4">
      <w:pPr>
        <w:shd w:val="clear" w:color="auto" w:fill="FFFFFF"/>
        <w:spacing w:before="240" w:after="240" w:line="48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Figure S2: </w:t>
      </w:r>
      <w:r>
        <w:rPr>
          <w:rFonts w:ascii="Times New Roman" w:eastAsia="Times New Roman" w:hAnsi="Times New Roman" w:cs="Times New Roman"/>
          <w:b/>
          <w:color w:val="222222"/>
          <w:sz w:val="24"/>
          <w:szCs w:val="24"/>
        </w:rPr>
        <w:t>Crystal structures found throughout all cores from Last Chance Lake.</w:t>
      </w:r>
      <w:r>
        <w:rPr>
          <w:rFonts w:ascii="Times New Roman" w:eastAsia="Times New Roman" w:hAnsi="Times New Roman" w:cs="Times New Roman"/>
          <w:color w:val="222222"/>
          <w:sz w:val="24"/>
          <w:szCs w:val="24"/>
        </w:rPr>
        <w:t xml:space="preserve"> The crystals were transparent (A) when initially extracted from the cores, but after a few minutes they began to dry out and turn white (B). These crystals ranged in size from 0.5 – 1.5 cm wide and 1.0 – 3.0 cm in length.</w:t>
      </w:r>
    </w:p>
    <w:p w14:paraId="564130FE" w14:textId="77777777" w:rsidR="00B42D09" w:rsidRDefault="005665D4">
      <w:pPr>
        <w:shd w:val="clear" w:color="auto" w:fill="FFFFFF"/>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Pr>
          <w:rFonts w:ascii="Times New Roman" w:eastAsia="Times New Roman" w:hAnsi="Times New Roman" w:cs="Times New Roman"/>
          <w:noProof/>
          <w:sz w:val="24"/>
          <w:szCs w:val="24"/>
        </w:rPr>
        <w:drawing>
          <wp:inline distT="114300" distB="114300" distL="114300" distR="114300" wp14:anchorId="215B6453" wp14:editId="4A24935A">
            <wp:extent cx="4600184" cy="5233988"/>
            <wp:effectExtent l="0" t="0" r="0" b="0"/>
            <wp:docPr id="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0"/>
                    <a:srcRect/>
                    <a:stretch>
                      <a:fillRect/>
                    </a:stretch>
                  </pic:blipFill>
                  <pic:spPr>
                    <a:xfrm>
                      <a:off x="0" y="0"/>
                      <a:ext cx="4600184" cy="5233988"/>
                    </a:xfrm>
                    <a:prstGeom prst="rect">
                      <a:avLst/>
                    </a:prstGeom>
                    <a:ln/>
                  </pic:spPr>
                </pic:pic>
              </a:graphicData>
            </a:graphic>
          </wp:inline>
        </w:drawing>
      </w:r>
    </w:p>
    <w:p w14:paraId="1E015BD7" w14:textId="77777777" w:rsidR="00B42D09" w:rsidRDefault="005665D4">
      <w:pPr>
        <w:shd w:val="clear" w:color="auto" w:fill="FFFFFF"/>
        <w:spacing w:line="48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Figure S3: </w:t>
      </w:r>
      <w:r>
        <w:rPr>
          <w:rFonts w:ascii="Times New Roman" w:eastAsia="Times New Roman" w:hAnsi="Times New Roman" w:cs="Times New Roman"/>
          <w:b/>
          <w:color w:val="222222"/>
          <w:sz w:val="24"/>
          <w:szCs w:val="24"/>
        </w:rPr>
        <w:t>Core dating of Goodenough Lake Core 5 and Last Chance Lake Core 1.</w:t>
      </w:r>
      <w:r>
        <w:rPr>
          <w:rFonts w:ascii="Times New Roman" w:eastAsia="Times New Roman" w:hAnsi="Times New Roman" w:cs="Times New Roman"/>
          <w:color w:val="222222"/>
          <w:sz w:val="24"/>
          <w:szCs w:val="24"/>
        </w:rPr>
        <w:t xml:space="preserve"> The deepest cores from each lake were sent to the Flett Research group (Winnipeg, Manitoba, Canada) for radioisotope dating. </w:t>
      </w:r>
      <w:r>
        <w:rPr>
          <w:rFonts w:ascii="Times New Roman" w:eastAsia="Times New Roman" w:hAnsi="Times New Roman" w:cs="Times New Roman"/>
          <w:color w:val="222222"/>
          <w:sz w:val="24"/>
          <w:szCs w:val="24"/>
          <w:vertAlign w:val="superscript"/>
        </w:rPr>
        <w:t>210</w:t>
      </w:r>
      <w:r>
        <w:rPr>
          <w:rFonts w:ascii="Times New Roman" w:eastAsia="Times New Roman" w:hAnsi="Times New Roman" w:cs="Times New Roman"/>
          <w:color w:val="222222"/>
          <w:sz w:val="24"/>
          <w:szCs w:val="24"/>
        </w:rPr>
        <w:t xml:space="preserve">Pb (A) and </w:t>
      </w:r>
      <w:r>
        <w:rPr>
          <w:rFonts w:ascii="Times New Roman" w:eastAsia="Times New Roman" w:hAnsi="Times New Roman" w:cs="Times New Roman"/>
          <w:color w:val="222222"/>
          <w:sz w:val="24"/>
          <w:szCs w:val="24"/>
          <w:vertAlign w:val="superscript"/>
        </w:rPr>
        <w:t>137</w:t>
      </w:r>
      <w:r>
        <w:rPr>
          <w:rFonts w:ascii="Times New Roman" w:eastAsia="Times New Roman" w:hAnsi="Times New Roman" w:cs="Times New Roman"/>
          <w:color w:val="222222"/>
          <w:sz w:val="24"/>
          <w:szCs w:val="24"/>
        </w:rPr>
        <w:t xml:space="preserve">Cs (C) activity were measured to determine the rate of sediment accumulation. </w:t>
      </w:r>
      <w:r>
        <w:rPr>
          <w:rFonts w:ascii="Times New Roman" w:eastAsia="Times New Roman" w:hAnsi="Times New Roman" w:cs="Times New Roman"/>
          <w:color w:val="222222"/>
          <w:sz w:val="24"/>
          <w:szCs w:val="24"/>
          <w:vertAlign w:val="superscript"/>
        </w:rPr>
        <w:t>226</w:t>
      </w:r>
      <w:r>
        <w:rPr>
          <w:rFonts w:ascii="Times New Roman" w:eastAsia="Times New Roman" w:hAnsi="Times New Roman" w:cs="Times New Roman"/>
          <w:color w:val="222222"/>
          <w:sz w:val="24"/>
          <w:szCs w:val="24"/>
        </w:rPr>
        <w:t>Ra (B) activity was measured to positively determine the Pb-210 background level throughout the core length. (D) Age profile and sediment accumulation rate for Goodenough Core 5.</w:t>
      </w:r>
    </w:p>
    <w:p w14:paraId="352CF93C" w14:textId="77777777" w:rsidR="00B42D09" w:rsidRDefault="005665D4">
      <w:pPr>
        <w:shd w:val="clear" w:color="auto" w:fill="FFFFFF"/>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9623A22" w14:textId="77777777" w:rsidR="00B42D09" w:rsidRDefault="005665D4">
      <w:pPr>
        <w:shd w:val="clear" w:color="auto" w:fill="FFFFFF"/>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7835BD4E" wp14:editId="40AC62D4">
            <wp:extent cx="4424363" cy="5438279"/>
            <wp:effectExtent l="0" t="0" r="0" b="0"/>
            <wp:docPr id="1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1"/>
                    <a:srcRect/>
                    <a:stretch>
                      <a:fillRect/>
                    </a:stretch>
                  </pic:blipFill>
                  <pic:spPr>
                    <a:xfrm>
                      <a:off x="0" y="0"/>
                      <a:ext cx="4424363" cy="5438279"/>
                    </a:xfrm>
                    <a:prstGeom prst="rect">
                      <a:avLst/>
                    </a:prstGeom>
                    <a:ln/>
                  </pic:spPr>
                </pic:pic>
              </a:graphicData>
            </a:graphic>
          </wp:inline>
        </w:drawing>
      </w:r>
      <w:r>
        <w:rPr>
          <w:rFonts w:ascii="Times New Roman" w:eastAsia="Times New Roman" w:hAnsi="Times New Roman" w:cs="Times New Roman"/>
          <w:sz w:val="24"/>
          <w:szCs w:val="24"/>
        </w:rPr>
        <w:t xml:space="preserve"> </w:t>
      </w:r>
    </w:p>
    <w:p w14:paraId="685CDAD4" w14:textId="77777777" w:rsidR="00B42D09" w:rsidRDefault="005665D4">
      <w:pPr>
        <w:shd w:val="clear" w:color="auto" w:fill="FFFFFF"/>
        <w:spacing w:line="480" w:lineRule="auto"/>
        <w:rPr>
          <w:rFonts w:ascii="Times New Roman" w:eastAsia="Times New Roman" w:hAnsi="Times New Roman" w:cs="Times New Roman"/>
          <w:color w:val="222222"/>
          <w:sz w:val="24"/>
          <w:szCs w:val="24"/>
        </w:rPr>
      </w:pPr>
      <w:bookmarkStart w:id="0" w:name="_17dp8vu" w:colFirst="0" w:colLast="0"/>
      <w:bookmarkEnd w:id="0"/>
      <w:r>
        <w:rPr>
          <w:rFonts w:ascii="Times New Roman" w:eastAsia="Times New Roman" w:hAnsi="Times New Roman" w:cs="Times New Roman"/>
          <w:color w:val="222222"/>
          <w:sz w:val="24"/>
          <w:szCs w:val="24"/>
        </w:rPr>
        <w:t xml:space="preserve">Figure S4: </w:t>
      </w:r>
      <w:r>
        <w:rPr>
          <w:rFonts w:ascii="Times New Roman" w:eastAsia="Times New Roman" w:hAnsi="Times New Roman" w:cs="Times New Roman"/>
          <w:b/>
          <w:color w:val="222222"/>
          <w:sz w:val="24"/>
          <w:szCs w:val="24"/>
        </w:rPr>
        <w:t>Down-core profiles of total carbon (A), total inorganic carbon (B), total organic carbon (C), and total nitrogen (D) in the porewater.</w:t>
      </w:r>
      <w:r>
        <w:rPr>
          <w:rFonts w:ascii="Times New Roman" w:eastAsia="Times New Roman" w:hAnsi="Times New Roman" w:cs="Times New Roman"/>
          <w:color w:val="222222"/>
          <w:sz w:val="24"/>
          <w:szCs w:val="24"/>
        </w:rPr>
        <w:t xml:space="preserve"> Total carbon (TC), total organic carbon (TOC), and total nitrogen (TN) in the pore water were measured using a Shimadzu Total Organic Carbon TOC-V Analyzer equipped with an ASI-V autosampler (Shimadzu, Columbia, MD, USA). Porewater samples from Last Chance Lake could only be measured for TC as the high salt content of the samples prevented the analysis of TOC, TIC, and TN.</w:t>
      </w:r>
    </w:p>
    <w:p w14:paraId="4D43E4DC" w14:textId="77777777" w:rsidR="00B42D09" w:rsidRDefault="00B42D09">
      <w:pPr>
        <w:spacing w:before="240" w:after="240" w:line="360" w:lineRule="auto"/>
        <w:rPr>
          <w:rFonts w:ascii="Times New Roman" w:eastAsia="Times New Roman" w:hAnsi="Times New Roman" w:cs="Times New Roman"/>
          <w:sz w:val="24"/>
          <w:szCs w:val="24"/>
        </w:rPr>
      </w:pPr>
    </w:p>
    <w:p w14:paraId="40AFB0B3" w14:textId="77777777" w:rsidR="00B42D09" w:rsidRDefault="005665D4">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305844D8" wp14:editId="4555E68A">
            <wp:extent cx="5943600" cy="2663825"/>
            <wp:effectExtent l="0" t="0" r="0" b="0"/>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5943600" cy="2663825"/>
                    </a:xfrm>
                    <a:prstGeom prst="rect">
                      <a:avLst/>
                    </a:prstGeom>
                    <a:ln/>
                  </pic:spPr>
                </pic:pic>
              </a:graphicData>
            </a:graphic>
          </wp:inline>
        </w:drawing>
      </w:r>
    </w:p>
    <w:p w14:paraId="2F1AA8A2" w14:textId="77777777" w:rsidR="00B42D09" w:rsidRDefault="005665D4">
      <w:pPr>
        <w:spacing w:before="240" w:after="240" w:line="360" w:lineRule="auto"/>
        <w:rPr>
          <w:rFonts w:ascii="Times New Roman" w:eastAsia="Times New Roman" w:hAnsi="Times New Roman" w:cs="Times New Roman"/>
          <w:color w:val="222222"/>
          <w:sz w:val="24"/>
          <w:szCs w:val="24"/>
        </w:rPr>
      </w:pPr>
      <w:r>
        <w:rPr>
          <w:rFonts w:ascii="Times New Roman" w:eastAsia="Times New Roman" w:hAnsi="Times New Roman" w:cs="Times New Roman"/>
          <w:sz w:val="24"/>
          <w:szCs w:val="24"/>
        </w:rPr>
        <w:t xml:space="preserve">Figure S5: </w:t>
      </w:r>
      <w:r>
        <w:rPr>
          <w:rFonts w:ascii="Times New Roman" w:eastAsia="Times New Roman" w:hAnsi="Times New Roman" w:cs="Times New Roman"/>
          <w:b/>
          <w:color w:val="222222"/>
          <w:sz w:val="24"/>
          <w:szCs w:val="24"/>
        </w:rPr>
        <w:t>Downcore profiles of SO</w:t>
      </w:r>
      <w:r>
        <w:rPr>
          <w:rFonts w:ascii="Times New Roman" w:eastAsia="Times New Roman" w:hAnsi="Times New Roman" w:cs="Times New Roman"/>
          <w:b/>
          <w:color w:val="222222"/>
          <w:sz w:val="24"/>
          <w:szCs w:val="24"/>
          <w:vertAlign w:val="subscript"/>
        </w:rPr>
        <w:t>4</w:t>
      </w:r>
      <w:r>
        <w:rPr>
          <w:rFonts w:ascii="Times New Roman" w:eastAsia="Times New Roman" w:hAnsi="Times New Roman" w:cs="Times New Roman"/>
          <w:b/>
          <w:color w:val="222222"/>
          <w:sz w:val="24"/>
          <w:szCs w:val="24"/>
        </w:rPr>
        <w:t>, S</w:t>
      </w:r>
      <w:r>
        <w:rPr>
          <w:rFonts w:ascii="Times New Roman" w:eastAsia="Times New Roman" w:hAnsi="Times New Roman" w:cs="Times New Roman"/>
          <w:b/>
          <w:color w:val="222222"/>
          <w:sz w:val="24"/>
          <w:szCs w:val="24"/>
          <w:vertAlign w:val="superscript"/>
        </w:rPr>
        <w:t>2-</w:t>
      </w:r>
      <w:r>
        <w:rPr>
          <w:rFonts w:ascii="Times New Roman" w:eastAsia="Times New Roman" w:hAnsi="Times New Roman" w:cs="Times New Roman"/>
          <w:b/>
          <w:color w:val="222222"/>
          <w:sz w:val="24"/>
          <w:szCs w:val="24"/>
        </w:rPr>
        <w:t xml:space="preserve">, and Sulfur. </w:t>
      </w:r>
      <w:r>
        <w:rPr>
          <w:rFonts w:ascii="Times New Roman" w:eastAsia="Times New Roman" w:hAnsi="Times New Roman" w:cs="Times New Roman"/>
          <w:color w:val="222222"/>
          <w:sz w:val="24"/>
          <w:szCs w:val="24"/>
        </w:rPr>
        <w:t xml:space="preserve">(A) Sulfate was measured in the porewater using an ion chromatography system. (B)  Porewater sulfide concentration was analyzed with the methylene blue method only for Last Chance Core 5 and Goodenough Core 4. (C) X-Ray Fluorescence was used to determine the content of elemental sulfur in the sediment. </w:t>
      </w:r>
    </w:p>
    <w:p w14:paraId="2CC40E05" w14:textId="77777777" w:rsidR="00B42D09" w:rsidRDefault="005665D4">
      <w:pPr>
        <w:spacing w:before="240"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0B7A0E55" wp14:editId="64849051">
            <wp:extent cx="4069260" cy="6254462"/>
            <wp:effectExtent l="0" t="0" r="0" b="0"/>
            <wp:docPr id="11" name="image6.png" descr="A chart of different color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A chart of different colors&#10;&#10;Description automatically generated"/>
                    <pic:cNvPicPr preferRelativeResize="0"/>
                  </pic:nvPicPr>
                  <pic:blipFill>
                    <a:blip r:embed="rId13"/>
                    <a:srcRect/>
                    <a:stretch>
                      <a:fillRect/>
                    </a:stretch>
                  </pic:blipFill>
                  <pic:spPr>
                    <a:xfrm>
                      <a:off x="0" y="0"/>
                      <a:ext cx="4069260" cy="6254462"/>
                    </a:xfrm>
                    <a:prstGeom prst="rect">
                      <a:avLst/>
                    </a:prstGeom>
                    <a:ln/>
                  </pic:spPr>
                </pic:pic>
              </a:graphicData>
            </a:graphic>
          </wp:inline>
        </w:drawing>
      </w:r>
    </w:p>
    <w:p w14:paraId="785A8E02" w14:textId="77777777" w:rsidR="00B42D09" w:rsidRDefault="005665D4">
      <w:pPr>
        <w:shd w:val="clear" w:color="auto" w:fill="FFFFFF"/>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S6: </w:t>
      </w:r>
      <w:r w:rsidRPr="0025608A">
        <w:rPr>
          <w:rFonts w:ascii="Times New Roman" w:eastAsia="Times New Roman" w:hAnsi="Times New Roman" w:cs="Times New Roman"/>
          <w:b/>
          <w:bCs/>
          <w:sz w:val="24"/>
          <w:szCs w:val="24"/>
        </w:rPr>
        <w:t>Prokaryotic community composition of sediment cores from Goodenough (A) and Last Chance (B) Lake based on 16S rRNA amplicon sequencing.</w:t>
      </w:r>
      <w:r>
        <w:rPr>
          <w:rFonts w:ascii="Times New Roman" w:eastAsia="Times New Roman" w:hAnsi="Times New Roman" w:cs="Times New Roman"/>
          <w:sz w:val="24"/>
          <w:szCs w:val="24"/>
        </w:rPr>
        <w:t xml:space="preserve"> Relative abundance and taxonomic assignments are shown for those populations that made up more than 1% of the community. Populations that made up less than 1% of the community were combined into a group called </w:t>
      </w:r>
      <w:proofErr w:type="gramStart"/>
      <w:r>
        <w:rPr>
          <w:rFonts w:ascii="Times New Roman" w:eastAsia="Times New Roman" w:hAnsi="Times New Roman" w:cs="Times New Roman"/>
          <w:sz w:val="24"/>
          <w:szCs w:val="24"/>
        </w:rPr>
        <w:t>other</w:t>
      </w:r>
      <w:proofErr w:type="gramEnd"/>
      <w:r>
        <w:rPr>
          <w:rFonts w:ascii="Times New Roman" w:eastAsia="Times New Roman" w:hAnsi="Times New Roman" w:cs="Times New Roman"/>
          <w:sz w:val="24"/>
          <w:szCs w:val="24"/>
        </w:rPr>
        <w:t xml:space="preserve">. </w:t>
      </w:r>
    </w:p>
    <w:p w14:paraId="4506EBC5" w14:textId="77777777" w:rsidR="00B42D09" w:rsidRDefault="00B42D09">
      <w:pPr>
        <w:spacing w:before="240" w:after="240" w:line="360" w:lineRule="auto"/>
        <w:rPr>
          <w:rFonts w:ascii="Times New Roman" w:eastAsia="Times New Roman" w:hAnsi="Times New Roman" w:cs="Times New Roman"/>
          <w:sz w:val="24"/>
          <w:szCs w:val="24"/>
        </w:rPr>
      </w:pPr>
    </w:p>
    <w:p w14:paraId="358FC6F3" w14:textId="77777777" w:rsidR="00B42D09" w:rsidRDefault="005665D4">
      <w:pPr>
        <w:spacing w:before="240"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CA17188" wp14:editId="688D3CC7">
            <wp:extent cx="3767195" cy="4630913"/>
            <wp:effectExtent l="0" t="0" r="0" b="0"/>
            <wp:docPr id="13" name="image5.png" descr="A graph of different color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A graph of different colors&#10;&#10;Description automatically generated"/>
                    <pic:cNvPicPr preferRelativeResize="0"/>
                  </pic:nvPicPr>
                  <pic:blipFill>
                    <a:blip r:embed="rId14"/>
                    <a:srcRect/>
                    <a:stretch>
                      <a:fillRect/>
                    </a:stretch>
                  </pic:blipFill>
                  <pic:spPr>
                    <a:xfrm>
                      <a:off x="0" y="0"/>
                      <a:ext cx="3767195" cy="4630913"/>
                    </a:xfrm>
                    <a:prstGeom prst="rect">
                      <a:avLst/>
                    </a:prstGeom>
                    <a:ln/>
                  </pic:spPr>
                </pic:pic>
              </a:graphicData>
            </a:graphic>
          </wp:inline>
        </w:drawing>
      </w:r>
    </w:p>
    <w:p w14:paraId="67D01EB5" w14:textId="77777777" w:rsidR="00B42D09" w:rsidRDefault="005665D4">
      <w:pPr>
        <w:shd w:val="clear" w:color="auto" w:fill="FFFFFF"/>
        <w:spacing w:line="480" w:lineRule="auto"/>
        <w:rPr>
          <w:rFonts w:ascii="Times New Roman" w:eastAsia="Times New Roman" w:hAnsi="Times New Roman" w:cs="Times New Roman"/>
          <w:sz w:val="24"/>
          <w:szCs w:val="24"/>
        </w:rPr>
      </w:pPr>
      <w:r w:rsidRPr="0025608A">
        <w:rPr>
          <w:rFonts w:ascii="Times New Roman" w:eastAsia="Times New Roman" w:hAnsi="Times New Roman" w:cs="Times New Roman"/>
          <w:bCs/>
          <w:sz w:val="24"/>
          <w:szCs w:val="24"/>
        </w:rPr>
        <w:t>Figure S7:</w:t>
      </w:r>
      <w:r>
        <w:rPr>
          <w:rFonts w:ascii="Times New Roman" w:eastAsia="Times New Roman" w:hAnsi="Times New Roman" w:cs="Times New Roman"/>
          <w:b/>
          <w:sz w:val="24"/>
          <w:szCs w:val="24"/>
        </w:rPr>
        <w:t xml:space="preserve"> Eukaryotic community in the sediment of Last Chance and Goodenough Lake.</w:t>
      </w:r>
      <w:r>
        <w:rPr>
          <w:rFonts w:ascii="Times New Roman" w:eastAsia="Times New Roman" w:hAnsi="Times New Roman" w:cs="Times New Roman"/>
          <w:sz w:val="24"/>
          <w:szCs w:val="24"/>
        </w:rPr>
        <w:t xml:space="preserve"> Relative abundance of the eukaryotic community in the sediment of Goodenough (A) and Last Chance (B). Data was obtained from 18S rRNA gene amplicon sequencing and classified at the phylum level.</w:t>
      </w:r>
    </w:p>
    <w:p w14:paraId="3636FC11" w14:textId="77777777" w:rsidR="00B42D09" w:rsidRDefault="00B42D09">
      <w:pPr>
        <w:spacing w:before="240" w:after="240" w:line="360" w:lineRule="auto"/>
        <w:rPr>
          <w:rFonts w:ascii="Times New Roman" w:eastAsia="Times New Roman" w:hAnsi="Times New Roman" w:cs="Times New Roman"/>
          <w:sz w:val="24"/>
          <w:szCs w:val="24"/>
        </w:rPr>
      </w:pPr>
    </w:p>
    <w:p w14:paraId="7670EABE" w14:textId="77777777" w:rsidR="00B42D09" w:rsidRDefault="00B42D09">
      <w:pPr>
        <w:spacing w:before="240" w:after="240" w:line="360" w:lineRule="auto"/>
        <w:rPr>
          <w:rFonts w:ascii="Times New Roman" w:eastAsia="Times New Roman" w:hAnsi="Times New Roman" w:cs="Times New Roman"/>
          <w:sz w:val="24"/>
          <w:szCs w:val="24"/>
        </w:rPr>
      </w:pPr>
    </w:p>
    <w:p w14:paraId="64EA81AB" w14:textId="2243E28C" w:rsidR="00B42D09" w:rsidRDefault="00210FF8">
      <w:pPr>
        <w:spacing w:before="240"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2156D380" wp14:editId="26879547">
            <wp:extent cx="5912916" cy="4358640"/>
            <wp:effectExtent l="0" t="0" r="0" b="3810"/>
            <wp:docPr id="1256312386"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312386" name="Picture 1" descr="A screenshot of a graph&#10;&#10;Description automatically generated"/>
                    <pic:cNvPicPr/>
                  </pic:nvPicPr>
                  <pic:blipFill rotWithShape="1">
                    <a:blip r:embed="rId15" cstate="print">
                      <a:extLst>
                        <a:ext uri="{28A0092B-C50C-407E-A947-70E740481C1C}">
                          <a14:useLocalDpi xmlns:a14="http://schemas.microsoft.com/office/drawing/2010/main" val="0"/>
                        </a:ext>
                      </a:extLst>
                    </a:blip>
                    <a:srcRect l="9038" t="23872"/>
                    <a:stretch/>
                  </pic:blipFill>
                  <pic:spPr bwMode="auto">
                    <a:xfrm>
                      <a:off x="0" y="0"/>
                      <a:ext cx="5915738" cy="4360720"/>
                    </a:xfrm>
                    <a:prstGeom prst="rect">
                      <a:avLst/>
                    </a:prstGeom>
                    <a:ln>
                      <a:noFill/>
                    </a:ln>
                    <a:extLst>
                      <a:ext uri="{53640926-AAD7-44D8-BBD7-CCE9431645EC}">
                        <a14:shadowObscured xmlns:a14="http://schemas.microsoft.com/office/drawing/2010/main"/>
                      </a:ext>
                    </a:extLst>
                  </pic:spPr>
                </pic:pic>
              </a:graphicData>
            </a:graphic>
          </wp:inline>
        </w:drawing>
      </w:r>
    </w:p>
    <w:p w14:paraId="137D66B3" w14:textId="315E1F76" w:rsidR="00B42D09" w:rsidRDefault="005665D4">
      <w:pPr>
        <w:shd w:val="clear" w:color="auto" w:fill="FFFFFF"/>
        <w:spacing w:line="480" w:lineRule="auto"/>
        <w:rPr>
          <w:rFonts w:ascii="Times New Roman" w:eastAsia="Times New Roman" w:hAnsi="Times New Roman" w:cs="Times New Roman"/>
          <w:sz w:val="24"/>
          <w:szCs w:val="24"/>
        </w:rPr>
      </w:pPr>
      <w:bookmarkStart w:id="1" w:name="_3rdcrjn" w:colFirst="0" w:colLast="0"/>
      <w:bookmarkEnd w:id="1"/>
      <w:r>
        <w:rPr>
          <w:rFonts w:ascii="Times New Roman" w:eastAsia="Times New Roman" w:hAnsi="Times New Roman" w:cs="Times New Roman"/>
          <w:sz w:val="24"/>
          <w:szCs w:val="24"/>
        </w:rPr>
        <w:t xml:space="preserve">Figure S8: </w:t>
      </w:r>
      <w:r>
        <w:rPr>
          <w:rFonts w:ascii="Times New Roman" w:eastAsia="Times New Roman" w:hAnsi="Times New Roman" w:cs="Times New Roman"/>
          <w:b/>
          <w:sz w:val="24"/>
          <w:szCs w:val="24"/>
        </w:rPr>
        <w:t>Archaeal lipid abundance and estimated salinity (ACE index) for Last Chance Lake and Goodenough Lake.</w:t>
      </w:r>
      <w:r>
        <w:rPr>
          <w:rFonts w:ascii="Times New Roman" w:eastAsia="Times New Roman" w:hAnsi="Times New Roman" w:cs="Times New Roman"/>
          <w:sz w:val="24"/>
          <w:szCs w:val="24"/>
        </w:rPr>
        <w:t xml:space="preserve"> Archaeal lipid abundance, specifically looking at the isoprenoid glycerol </w:t>
      </w:r>
      <w:proofErr w:type="spellStart"/>
      <w:r>
        <w:rPr>
          <w:rFonts w:ascii="Times New Roman" w:eastAsia="Times New Roman" w:hAnsi="Times New Roman" w:cs="Times New Roman"/>
          <w:sz w:val="24"/>
          <w:szCs w:val="24"/>
        </w:rPr>
        <w:t>dialkyl</w:t>
      </w:r>
      <w:proofErr w:type="spellEnd"/>
      <w:r>
        <w:rPr>
          <w:rFonts w:ascii="Times New Roman" w:eastAsia="Times New Roman" w:hAnsi="Times New Roman" w:cs="Times New Roman"/>
          <w:sz w:val="24"/>
          <w:szCs w:val="24"/>
        </w:rPr>
        <w:t xml:space="preserve"> glycerol tetraethers (GDGTs) and branched GDGTs in Last Chance Lake (A) and Goodenough Lake (B) was analyzed using HPLC-MS. Salinity was calculated using the ACE index (ratio of </w:t>
      </w:r>
      <w:proofErr w:type="spellStart"/>
      <w:r>
        <w:rPr>
          <w:rFonts w:ascii="Times New Roman" w:eastAsia="Times New Roman" w:hAnsi="Times New Roman" w:cs="Times New Roman"/>
          <w:sz w:val="24"/>
          <w:szCs w:val="24"/>
        </w:rPr>
        <w:t>archaeol</w:t>
      </w:r>
      <w:proofErr w:type="spellEnd"/>
      <w:r>
        <w:rPr>
          <w:rFonts w:ascii="Times New Roman" w:eastAsia="Times New Roman" w:hAnsi="Times New Roman" w:cs="Times New Roman"/>
          <w:sz w:val="24"/>
          <w:szCs w:val="24"/>
        </w:rPr>
        <w:t xml:space="preserve"> and GDGT-0</w:t>
      </w:r>
      <w:proofErr w:type="gramStart"/>
      <w:r>
        <w:rPr>
          <w:rFonts w:ascii="Times New Roman" w:eastAsia="Times New Roman" w:hAnsi="Times New Roman" w:cs="Times New Roman"/>
          <w:sz w:val="24"/>
          <w:szCs w:val="24"/>
        </w:rPr>
        <w:t>)  for</w:t>
      </w:r>
      <w:proofErr w:type="gramEnd"/>
      <w:r>
        <w:rPr>
          <w:rFonts w:ascii="Times New Roman" w:eastAsia="Times New Roman" w:hAnsi="Times New Roman" w:cs="Times New Roman"/>
          <w:sz w:val="24"/>
          <w:szCs w:val="24"/>
        </w:rPr>
        <w:t xml:space="preserve"> Last Chance Lake (A) and Goodenough Lake (B). </w:t>
      </w:r>
    </w:p>
    <w:p w14:paraId="4CD991E1" w14:textId="77777777" w:rsidR="00B42D09" w:rsidRDefault="005665D4">
      <w:pPr>
        <w:spacing w:before="240"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48B1EDCF" wp14:editId="6CFCEBBF">
            <wp:extent cx="4281877" cy="6127750"/>
            <wp:effectExtent l="0" t="0" r="0" b="0"/>
            <wp:docPr id="1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6"/>
                    <a:srcRect/>
                    <a:stretch>
                      <a:fillRect/>
                    </a:stretch>
                  </pic:blipFill>
                  <pic:spPr>
                    <a:xfrm>
                      <a:off x="0" y="0"/>
                      <a:ext cx="4281877" cy="6127750"/>
                    </a:xfrm>
                    <a:prstGeom prst="rect">
                      <a:avLst/>
                    </a:prstGeom>
                    <a:ln/>
                  </pic:spPr>
                </pic:pic>
              </a:graphicData>
            </a:graphic>
          </wp:inline>
        </w:drawing>
      </w:r>
    </w:p>
    <w:p w14:paraId="51BE4F10" w14:textId="77777777" w:rsidR="00B42D09" w:rsidRDefault="005665D4">
      <w:pPr>
        <w:shd w:val="clear" w:color="auto" w:fill="FFFFFF"/>
        <w:spacing w:line="480" w:lineRule="auto"/>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rPr>
        <w:t xml:space="preserve">Figure S9: Correlation between the relative abundance of </w:t>
      </w:r>
      <w:proofErr w:type="spellStart"/>
      <w:r>
        <w:rPr>
          <w:rFonts w:ascii="Times New Roman" w:eastAsia="Times New Roman" w:hAnsi="Times New Roman" w:cs="Times New Roman"/>
          <w:color w:val="222222"/>
          <w:sz w:val="24"/>
          <w:szCs w:val="24"/>
        </w:rPr>
        <w:t>Nanoarchaea</w:t>
      </w:r>
      <w:proofErr w:type="spellEnd"/>
      <w:r>
        <w:rPr>
          <w:rFonts w:ascii="Times New Roman" w:eastAsia="Times New Roman" w:hAnsi="Times New Roman" w:cs="Times New Roman"/>
          <w:color w:val="222222"/>
          <w:sz w:val="24"/>
          <w:szCs w:val="24"/>
        </w:rPr>
        <w:t xml:space="preserve"> (Nano) OTUs and estimated salinity based on </w:t>
      </w:r>
      <w:r>
        <w:rPr>
          <w:rFonts w:ascii="Times New Roman" w:eastAsia="Times New Roman" w:hAnsi="Times New Roman" w:cs="Times New Roman"/>
          <w:sz w:val="24"/>
          <w:szCs w:val="24"/>
        </w:rPr>
        <w:t xml:space="preserve">the ratio of </w:t>
      </w:r>
      <w:proofErr w:type="spellStart"/>
      <w:r>
        <w:rPr>
          <w:rFonts w:ascii="Times New Roman" w:eastAsia="Times New Roman" w:hAnsi="Times New Roman" w:cs="Times New Roman"/>
          <w:sz w:val="24"/>
          <w:szCs w:val="24"/>
        </w:rPr>
        <w:t>archaeol</w:t>
      </w:r>
      <w:proofErr w:type="spellEnd"/>
      <w:r>
        <w:rPr>
          <w:rFonts w:ascii="Times New Roman" w:eastAsia="Times New Roman" w:hAnsi="Times New Roman" w:cs="Times New Roman"/>
          <w:sz w:val="24"/>
          <w:szCs w:val="24"/>
        </w:rPr>
        <w:t xml:space="preserve"> and GDGT-0 in Goodenough Lake (A) and Last Chance Lake (B). </w:t>
      </w:r>
    </w:p>
    <w:p w14:paraId="0CEBE8FD" w14:textId="77777777" w:rsidR="00B42D09" w:rsidRDefault="00B42D09">
      <w:pPr>
        <w:shd w:val="clear" w:color="auto" w:fill="FFFFFF"/>
        <w:spacing w:line="480" w:lineRule="auto"/>
        <w:rPr>
          <w:rFonts w:ascii="Times New Roman" w:eastAsia="Times New Roman" w:hAnsi="Times New Roman" w:cs="Times New Roman"/>
          <w:sz w:val="24"/>
          <w:szCs w:val="24"/>
        </w:rPr>
      </w:pPr>
    </w:p>
    <w:p w14:paraId="5155F306" w14:textId="3C604307" w:rsidR="00B42D09" w:rsidRDefault="00D82E12">
      <w:pPr>
        <w:shd w:val="clear" w:color="auto" w:fill="FFFFFF"/>
        <w:spacing w:line="480" w:lineRule="auto"/>
        <w:rPr>
          <w:rFonts w:ascii="Times New Roman" w:eastAsia="Times New Roman" w:hAnsi="Times New Roman" w:cs="Times New Roman"/>
          <w:sz w:val="24"/>
          <w:szCs w:val="24"/>
        </w:rPr>
      </w:pPr>
      <w:r w:rsidRPr="00D82E12">
        <w:rPr>
          <w:rFonts w:ascii="Times New Roman" w:eastAsia="Times New Roman" w:hAnsi="Times New Roman" w:cs="Times New Roman"/>
          <w:noProof/>
          <w:sz w:val="24"/>
          <w:szCs w:val="24"/>
        </w:rPr>
        <w:lastRenderedPageBreak/>
        <w:drawing>
          <wp:inline distT="0" distB="0" distL="0" distR="0" wp14:anchorId="0CD0B088" wp14:editId="38FAF833">
            <wp:extent cx="5943600" cy="3917315"/>
            <wp:effectExtent l="0" t="0" r="0" b="6985"/>
            <wp:docPr id="15641241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3917315"/>
                    </a:xfrm>
                    <a:prstGeom prst="rect">
                      <a:avLst/>
                    </a:prstGeom>
                    <a:noFill/>
                    <a:ln>
                      <a:noFill/>
                    </a:ln>
                  </pic:spPr>
                </pic:pic>
              </a:graphicData>
            </a:graphic>
          </wp:inline>
        </w:drawing>
      </w:r>
    </w:p>
    <w:p w14:paraId="69590119" w14:textId="60BBE745" w:rsidR="00B42D09" w:rsidRDefault="005665D4">
      <w:pPr>
        <w:shd w:val="clear" w:color="auto" w:fill="FFFFFF"/>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S10: </w:t>
      </w:r>
      <w:r w:rsidRPr="00EC7FE1">
        <w:rPr>
          <w:rFonts w:ascii="Times New Roman" w:eastAsia="Times New Roman" w:hAnsi="Times New Roman" w:cs="Times New Roman"/>
          <w:b/>
          <w:bCs/>
          <w:sz w:val="24"/>
          <w:szCs w:val="24"/>
        </w:rPr>
        <w:t>Schematic diagram of the sulfur cycle in Last Chance Lake.</w:t>
      </w:r>
      <w:r>
        <w:rPr>
          <w:rFonts w:ascii="Times New Roman" w:eastAsia="Times New Roman" w:hAnsi="Times New Roman" w:cs="Times New Roman"/>
          <w:sz w:val="24"/>
          <w:szCs w:val="24"/>
        </w:rPr>
        <w:t xml:space="preserve"> Diagram is based on the combination of geochemistry and metagenomic analysis of Last Chance Core 1. Genes for each reaction of the sulfur cycle are represented in blue and chemical products of those reactions are in black. The white and pink text represents those genes that were identified in the </w:t>
      </w:r>
      <w:proofErr w:type="spellStart"/>
      <w:r>
        <w:rPr>
          <w:rFonts w:ascii="Times New Roman" w:eastAsia="Times New Roman" w:hAnsi="Times New Roman" w:cs="Times New Roman"/>
          <w:i/>
          <w:sz w:val="24"/>
          <w:szCs w:val="24"/>
        </w:rPr>
        <w:t>Dethiobacter</w:t>
      </w:r>
      <w:r w:rsidR="00EE05FD">
        <w:rPr>
          <w:rFonts w:ascii="Times New Roman" w:eastAsia="Times New Roman" w:hAnsi="Times New Roman" w:cs="Times New Roman"/>
          <w:i/>
          <w:sz w:val="24"/>
          <w:szCs w:val="24"/>
        </w:rPr>
        <w:t>ia</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and </w:t>
      </w:r>
      <w:proofErr w:type="spellStart"/>
      <w:r>
        <w:rPr>
          <w:rFonts w:ascii="Times New Roman" w:eastAsia="Times New Roman" w:hAnsi="Times New Roman" w:cs="Times New Roman"/>
          <w:i/>
          <w:sz w:val="24"/>
          <w:szCs w:val="24"/>
        </w:rPr>
        <w:t>Desulfobacteriota</w:t>
      </w:r>
      <w:proofErr w:type="spellEnd"/>
      <w:r>
        <w:rPr>
          <w:rFonts w:ascii="Times New Roman" w:eastAsia="Times New Roman" w:hAnsi="Times New Roman" w:cs="Times New Roman"/>
          <w:sz w:val="24"/>
          <w:szCs w:val="24"/>
        </w:rPr>
        <w:t xml:space="preserve"> genomes. </w:t>
      </w:r>
    </w:p>
    <w:p w14:paraId="168C06B5" w14:textId="77777777" w:rsidR="00B42D09" w:rsidRDefault="00B42D09">
      <w:pPr>
        <w:shd w:val="clear" w:color="auto" w:fill="FFFFFF"/>
        <w:spacing w:line="480" w:lineRule="auto"/>
        <w:rPr>
          <w:rFonts w:ascii="Times New Roman" w:eastAsia="Times New Roman" w:hAnsi="Times New Roman" w:cs="Times New Roman"/>
          <w:sz w:val="24"/>
          <w:szCs w:val="24"/>
        </w:rPr>
      </w:pPr>
    </w:p>
    <w:p w14:paraId="14EA1371" w14:textId="77777777" w:rsidR="00B42D09" w:rsidRDefault="005665D4">
      <w:pPr>
        <w:shd w:val="clear" w:color="auto" w:fill="FFFFFF"/>
        <w:spacing w:line="480" w:lineRule="auto"/>
        <w:rPr>
          <w:rFonts w:ascii="Times New Roman" w:eastAsia="Times New Roman" w:hAnsi="Times New Roman" w:cs="Times New Roman"/>
          <w:color w:val="222222"/>
          <w:sz w:val="24"/>
          <w:szCs w:val="24"/>
        </w:rPr>
      </w:pPr>
      <w:r>
        <w:rPr>
          <w:rFonts w:ascii="Times New Roman" w:eastAsia="Times New Roman" w:hAnsi="Times New Roman" w:cs="Times New Roman"/>
          <w:noProof/>
          <w:color w:val="222222"/>
          <w:sz w:val="24"/>
          <w:szCs w:val="24"/>
        </w:rPr>
        <w:lastRenderedPageBreak/>
        <w:drawing>
          <wp:inline distT="114300" distB="114300" distL="114300" distR="114300" wp14:anchorId="64464248" wp14:editId="7669B020">
            <wp:extent cx="5943600" cy="5118100"/>
            <wp:effectExtent l="0" t="0" r="0" b="0"/>
            <wp:docPr id="17"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8"/>
                    <a:srcRect/>
                    <a:stretch>
                      <a:fillRect/>
                    </a:stretch>
                  </pic:blipFill>
                  <pic:spPr>
                    <a:xfrm>
                      <a:off x="0" y="0"/>
                      <a:ext cx="5943600" cy="5118100"/>
                    </a:xfrm>
                    <a:prstGeom prst="rect">
                      <a:avLst/>
                    </a:prstGeom>
                    <a:ln/>
                  </pic:spPr>
                </pic:pic>
              </a:graphicData>
            </a:graphic>
          </wp:inline>
        </w:drawing>
      </w:r>
    </w:p>
    <w:p w14:paraId="72F886AD" w14:textId="77777777" w:rsidR="00B42D09" w:rsidRDefault="005665D4">
      <w:pPr>
        <w:shd w:val="clear" w:color="auto" w:fill="FFFFFF"/>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S11:</w:t>
      </w:r>
      <w:r>
        <w:t xml:space="preserve"> </w:t>
      </w:r>
      <w:r w:rsidRPr="00EC7FE1">
        <w:rPr>
          <w:rFonts w:ascii="Times New Roman" w:eastAsia="Times New Roman" w:hAnsi="Times New Roman" w:cs="Times New Roman"/>
          <w:b/>
          <w:bCs/>
          <w:sz w:val="24"/>
          <w:szCs w:val="24"/>
        </w:rPr>
        <w:t xml:space="preserve">Pearson correlations and unsigned transformation network of the 16S rRNA amplicon data for the bacterial and archaeal community of Last Chance Lake at the genus level. </w:t>
      </w:r>
      <w:r>
        <w:rPr>
          <w:rFonts w:ascii="Times New Roman" w:eastAsia="Times New Roman" w:hAnsi="Times New Roman" w:cs="Times New Roman"/>
          <w:sz w:val="24"/>
          <w:szCs w:val="24"/>
        </w:rPr>
        <w:t xml:space="preserve">The different node </w:t>
      </w:r>
      <w:proofErr w:type="spellStart"/>
      <w:r>
        <w:rPr>
          <w:rFonts w:ascii="Times New Roman" w:eastAsia="Times New Roman" w:hAnsi="Times New Roman" w:cs="Times New Roman"/>
          <w:sz w:val="24"/>
          <w:szCs w:val="24"/>
        </w:rPr>
        <w:t>colours</w:t>
      </w:r>
      <w:proofErr w:type="spellEnd"/>
      <w:r>
        <w:rPr>
          <w:rFonts w:ascii="Times New Roman" w:eastAsia="Times New Roman" w:hAnsi="Times New Roman" w:cs="Times New Roman"/>
          <w:sz w:val="24"/>
          <w:szCs w:val="24"/>
        </w:rPr>
        <w:t xml:space="preserve"> represent the clusters and the Pearson correlations between OTUs are represented by the </w:t>
      </w:r>
      <w:proofErr w:type="spellStart"/>
      <w:r>
        <w:rPr>
          <w:rFonts w:ascii="Times New Roman" w:eastAsia="Times New Roman" w:hAnsi="Times New Roman" w:cs="Times New Roman"/>
          <w:sz w:val="24"/>
          <w:szCs w:val="24"/>
        </w:rPr>
        <w:t>colour</w:t>
      </w:r>
      <w:proofErr w:type="spellEnd"/>
      <w:r>
        <w:rPr>
          <w:rFonts w:ascii="Times New Roman" w:eastAsia="Times New Roman" w:hAnsi="Times New Roman" w:cs="Times New Roman"/>
          <w:sz w:val="24"/>
          <w:szCs w:val="24"/>
        </w:rPr>
        <w:t xml:space="preserve"> of the edges. A green </w:t>
      </w:r>
      <w:proofErr w:type="spellStart"/>
      <w:r>
        <w:rPr>
          <w:rFonts w:ascii="Times New Roman" w:eastAsia="Times New Roman" w:hAnsi="Times New Roman" w:cs="Times New Roman"/>
          <w:sz w:val="24"/>
          <w:szCs w:val="24"/>
        </w:rPr>
        <w:t>colour</w:t>
      </w:r>
      <w:proofErr w:type="spellEnd"/>
      <w:r>
        <w:rPr>
          <w:rFonts w:ascii="Times New Roman" w:eastAsia="Times New Roman" w:hAnsi="Times New Roman" w:cs="Times New Roman"/>
          <w:sz w:val="24"/>
          <w:szCs w:val="24"/>
        </w:rPr>
        <w:t xml:space="preserve"> represents a positive correlation and red </w:t>
      </w:r>
      <w:proofErr w:type="spellStart"/>
      <w:r>
        <w:rPr>
          <w:rFonts w:ascii="Times New Roman" w:eastAsia="Times New Roman" w:hAnsi="Times New Roman" w:cs="Times New Roman"/>
          <w:sz w:val="24"/>
          <w:szCs w:val="24"/>
        </w:rPr>
        <w:t>colour</w:t>
      </w:r>
      <w:proofErr w:type="spellEnd"/>
      <w:r>
        <w:rPr>
          <w:rFonts w:ascii="Times New Roman" w:eastAsia="Times New Roman" w:hAnsi="Times New Roman" w:cs="Times New Roman"/>
          <w:sz w:val="24"/>
          <w:szCs w:val="24"/>
        </w:rPr>
        <w:t xml:space="preserve"> is a negative correlation. The thickness of the edge corresponds to how correlated the two OTUs are.  The thicker the edge, the higher the correlation. This plot was created using </w:t>
      </w:r>
      <w:proofErr w:type="spellStart"/>
      <w:r>
        <w:rPr>
          <w:rFonts w:ascii="Times New Roman" w:eastAsia="Times New Roman" w:hAnsi="Times New Roman" w:cs="Times New Roman"/>
          <w:sz w:val="24"/>
          <w:szCs w:val="24"/>
        </w:rPr>
        <w:t>phyloseq</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genefilter</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NetCoMi</w:t>
      </w:r>
      <w:proofErr w:type="spellEnd"/>
      <w:r>
        <w:rPr>
          <w:rFonts w:ascii="Times New Roman" w:eastAsia="Times New Roman" w:hAnsi="Times New Roman" w:cs="Times New Roman"/>
          <w:sz w:val="24"/>
          <w:szCs w:val="24"/>
        </w:rPr>
        <w:t xml:space="preserve"> packages in R-Studio.   </w:t>
      </w:r>
    </w:p>
    <w:p w14:paraId="435396A1" w14:textId="77777777" w:rsidR="00B42D09" w:rsidRDefault="00B42D09">
      <w:pPr>
        <w:shd w:val="clear" w:color="auto" w:fill="FFFFFF"/>
        <w:spacing w:line="480" w:lineRule="auto"/>
        <w:rPr>
          <w:rFonts w:ascii="Times New Roman" w:eastAsia="Times New Roman" w:hAnsi="Times New Roman" w:cs="Times New Roman"/>
          <w:sz w:val="24"/>
          <w:szCs w:val="24"/>
        </w:rPr>
      </w:pPr>
    </w:p>
    <w:p w14:paraId="78C67B06" w14:textId="77777777" w:rsidR="00B42D09" w:rsidRDefault="00B42D09">
      <w:pPr>
        <w:shd w:val="clear" w:color="auto" w:fill="FFFFFF"/>
        <w:spacing w:line="480" w:lineRule="auto"/>
        <w:rPr>
          <w:rFonts w:ascii="Times New Roman" w:eastAsia="Times New Roman" w:hAnsi="Times New Roman" w:cs="Times New Roman"/>
          <w:sz w:val="24"/>
          <w:szCs w:val="24"/>
        </w:rPr>
      </w:pPr>
    </w:p>
    <w:p w14:paraId="716A7B87" w14:textId="77777777" w:rsidR="00B42D09" w:rsidRDefault="005665D4">
      <w:pPr>
        <w:shd w:val="clear" w:color="auto" w:fill="FFFFFF"/>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4F96B203" wp14:editId="6337F6A1">
            <wp:extent cx="4873490" cy="5311685"/>
            <wp:effectExtent l="0" t="0" r="0" b="0"/>
            <wp:docPr id="18" name="image12.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2.png" descr="A screenshot of a computer&#10;&#10;Description automatically generated"/>
                    <pic:cNvPicPr preferRelativeResize="0"/>
                  </pic:nvPicPr>
                  <pic:blipFill>
                    <a:blip r:embed="rId19"/>
                    <a:srcRect/>
                    <a:stretch>
                      <a:fillRect/>
                    </a:stretch>
                  </pic:blipFill>
                  <pic:spPr>
                    <a:xfrm>
                      <a:off x="0" y="0"/>
                      <a:ext cx="4873490" cy="5311685"/>
                    </a:xfrm>
                    <a:prstGeom prst="rect">
                      <a:avLst/>
                    </a:prstGeom>
                    <a:ln/>
                  </pic:spPr>
                </pic:pic>
              </a:graphicData>
            </a:graphic>
          </wp:inline>
        </w:drawing>
      </w:r>
    </w:p>
    <w:p w14:paraId="1D11EF0B" w14:textId="77777777" w:rsidR="00B42D09" w:rsidRDefault="005665D4">
      <w:pPr>
        <w:shd w:val="clear" w:color="auto" w:fill="FFFFFF"/>
        <w:spacing w:line="48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Figure S12: Bootstrapped maximum likelihood phylogenetic tree of 458 </w:t>
      </w:r>
      <w:proofErr w:type="spellStart"/>
      <w:r>
        <w:rPr>
          <w:rFonts w:ascii="Times New Roman" w:eastAsia="Times New Roman" w:hAnsi="Times New Roman" w:cs="Times New Roman"/>
          <w:color w:val="000000"/>
          <w:sz w:val="24"/>
          <w:szCs w:val="24"/>
        </w:rPr>
        <w:t>Asgardarchaeota</w:t>
      </w:r>
      <w:proofErr w:type="spellEnd"/>
      <w:r>
        <w:rPr>
          <w:rFonts w:ascii="Times New Roman" w:eastAsia="Times New Roman" w:hAnsi="Times New Roman" w:cs="Times New Roman"/>
          <w:color w:val="000000"/>
          <w:sz w:val="24"/>
          <w:szCs w:val="24"/>
        </w:rPr>
        <w:t xml:space="preserve"> metagenome assembled genomes (MAGs) based on a concatenated alignment of 100 conserved single copy genes (50,128 positions) (Parks et al., 2017). For illustration purposes 127 MAGs are displayed above. Nodes with bootstrap values of less than 90% are highlighted with a blue dot. Bin 83 indicates the </w:t>
      </w:r>
      <w:proofErr w:type="spellStart"/>
      <w:r>
        <w:rPr>
          <w:rFonts w:ascii="Times New Roman" w:eastAsia="Times New Roman" w:hAnsi="Times New Roman" w:cs="Times New Roman"/>
          <w:color w:val="000000"/>
          <w:sz w:val="24"/>
          <w:szCs w:val="24"/>
        </w:rPr>
        <w:t>Lokiarchaeota</w:t>
      </w:r>
      <w:proofErr w:type="spellEnd"/>
      <w:r>
        <w:rPr>
          <w:rFonts w:ascii="Times New Roman" w:eastAsia="Times New Roman" w:hAnsi="Times New Roman" w:cs="Times New Roman"/>
          <w:color w:val="000000"/>
          <w:sz w:val="24"/>
          <w:szCs w:val="24"/>
        </w:rPr>
        <w:t xml:space="preserve"> MAG from Last Chance Core 1, now classified under the family SOKP01.</w:t>
      </w:r>
    </w:p>
    <w:p w14:paraId="540C3C5B" w14:textId="77777777" w:rsidR="00B42D09" w:rsidRDefault="005665D4">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74FD5AA6" wp14:editId="368B7C2E">
            <wp:extent cx="5943600" cy="5029200"/>
            <wp:effectExtent l="0" t="0" r="0" b="0"/>
            <wp:docPr id="1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0"/>
                    <a:srcRect/>
                    <a:stretch>
                      <a:fillRect/>
                    </a:stretch>
                  </pic:blipFill>
                  <pic:spPr>
                    <a:xfrm>
                      <a:off x="0" y="0"/>
                      <a:ext cx="5943600" cy="5029200"/>
                    </a:xfrm>
                    <a:prstGeom prst="rect">
                      <a:avLst/>
                    </a:prstGeom>
                    <a:ln/>
                  </pic:spPr>
                </pic:pic>
              </a:graphicData>
            </a:graphic>
          </wp:inline>
        </w:drawing>
      </w:r>
    </w:p>
    <w:p w14:paraId="74745435" w14:textId="77777777" w:rsidR="00B42D09" w:rsidRDefault="005665D4">
      <w:pPr>
        <w:shd w:val="clear" w:color="auto" w:fill="FFFFFF"/>
        <w:spacing w:line="480" w:lineRule="auto"/>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rPr>
        <w:t xml:space="preserve">Figure S13: </w:t>
      </w:r>
      <w:r>
        <w:rPr>
          <w:rFonts w:ascii="Times New Roman" w:eastAsia="Times New Roman" w:hAnsi="Times New Roman" w:cs="Times New Roman"/>
          <w:sz w:val="24"/>
          <w:szCs w:val="24"/>
        </w:rPr>
        <w:t xml:space="preserve">Bootstrapped maximum likelihood phylogenetic tree of 534 </w:t>
      </w:r>
      <w:proofErr w:type="spellStart"/>
      <w:r>
        <w:rPr>
          <w:rFonts w:ascii="Times New Roman" w:eastAsia="Times New Roman" w:hAnsi="Times New Roman" w:cs="Times New Roman"/>
          <w:i/>
          <w:sz w:val="24"/>
          <w:szCs w:val="24"/>
        </w:rPr>
        <w:t>Halobacteriales</w:t>
      </w:r>
      <w:proofErr w:type="spellEnd"/>
      <w:r>
        <w:rPr>
          <w:rFonts w:ascii="Times New Roman" w:eastAsia="Times New Roman" w:hAnsi="Times New Roman" w:cs="Times New Roman"/>
          <w:sz w:val="24"/>
          <w:szCs w:val="24"/>
        </w:rPr>
        <w:t xml:space="preserve"> metagenome assembled genomes (MAGs) based on a concatenated alignment of 134 conserved single copy genes (67,742 positions) (Parks et al., 2017). Nodes with bootstrap values of less than 90% are highlighted with a blue dot. </w:t>
      </w:r>
      <w:proofErr w:type="gramStart"/>
      <w:r>
        <w:rPr>
          <w:rFonts w:ascii="Times New Roman" w:eastAsia="Times New Roman" w:hAnsi="Times New Roman" w:cs="Times New Roman"/>
          <w:sz w:val="24"/>
          <w:szCs w:val="24"/>
        </w:rPr>
        <w:t>Bin</w:t>
      </w:r>
      <w:proofErr w:type="gramEnd"/>
      <w:r>
        <w:rPr>
          <w:rFonts w:ascii="Times New Roman" w:eastAsia="Times New Roman" w:hAnsi="Times New Roman" w:cs="Times New Roman"/>
          <w:sz w:val="24"/>
          <w:szCs w:val="24"/>
        </w:rPr>
        <w:t xml:space="preserve"> 84 and 134 indicate the </w:t>
      </w:r>
      <w:proofErr w:type="spellStart"/>
      <w:r>
        <w:rPr>
          <w:rFonts w:ascii="Times New Roman" w:eastAsia="Times New Roman" w:hAnsi="Times New Roman" w:cs="Times New Roman"/>
          <w:sz w:val="24"/>
          <w:szCs w:val="24"/>
        </w:rPr>
        <w:t>Halobacteria</w:t>
      </w:r>
      <w:proofErr w:type="spellEnd"/>
      <w:r>
        <w:rPr>
          <w:rFonts w:ascii="Times New Roman" w:eastAsia="Times New Roman" w:hAnsi="Times New Roman" w:cs="Times New Roman"/>
          <w:sz w:val="24"/>
          <w:szCs w:val="24"/>
        </w:rPr>
        <w:t xml:space="preserve"> MAGs from Last Chance Core 1.</w:t>
      </w:r>
    </w:p>
    <w:p w14:paraId="2DCF7DB3" w14:textId="77777777" w:rsidR="00B42D09" w:rsidRDefault="005665D4">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2027BD84" wp14:editId="2F9E2B66">
            <wp:extent cx="5943600" cy="6515100"/>
            <wp:effectExtent l="0" t="0" r="0" b="0"/>
            <wp:docPr id="2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1"/>
                    <a:srcRect/>
                    <a:stretch>
                      <a:fillRect/>
                    </a:stretch>
                  </pic:blipFill>
                  <pic:spPr>
                    <a:xfrm>
                      <a:off x="0" y="0"/>
                      <a:ext cx="5943600" cy="6515100"/>
                    </a:xfrm>
                    <a:prstGeom prst="rect">
                      <a:avLst/>
                    </a:prstGeom>
                    <a:ln/>
                  </pic:spPr>
                </pic:pic>
              </a:graphicData>
            </a:graphic>
          </wp:inline>
        </w:drawing>
      </w:r>
    </w:p>
    <w:p w14:paraId="0A44E2C5" w14:textId="1929027A" w:rsidR="00B42D09" w:rsidRDefault="005665D4" w:rsidP="00B8702B">
      <w:pPr>
        <w:shd w:val="clear" w:color="auto" w:fill="FFFFFF"/>
        <w:spacing w:before="240" w:after="420" w:line="480" w:lineRule="auto"/>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rPr>
        <w:t xml:space="preserve">Figure S14: Bootstrapped maximum likelihood phylogenetic tree of 338 DPANN metagenome assembled genomes (MAGs) based on a concatenated alignment of ** conserved single copy genes (** positions) (Parks et al., 2017). Nodes with bootstrap values of less than 90% are </w:t>
      </w:r>
      <w:r>
        <w:rPr>
          <w:rFonts w:ascii="Times New Roman" w:eastAsia="Times New Roman" w:hAnsi="Times New Roman" w:cs="Times New Roman"/>
          <w:color w:val="222222"/>
          <w:sz w:val="24"/>
          <w:szCs w:val="24"/>
        </w:rPr>
        <w:lastRenderedPageBreak/>
        <w:t xml:space="preserve">highlighted with a blue dot. Bins 133, 105 and 141 indicate </w:t>
      </w:r>
      <w:proofErr w:type="spellStart"/>
      <w:r>
        <w:rPr>
          <w:rFonts w:ascii="Times New Roman" w:eastAsia="Times New Roman" w:hAnsi="Times New Roman" w:cs="Times New Roman"/>
          <w:i/>
          <w:color w:val="222222"/>
          <w:sz w:val="24"/>
          <w:szCs w:val="24"/>
        </w:rPr>
        <w:t>Pacearchaeota</w:t>
      </w:r>
      <w:proofErr w:type="spellEnd"/>
      <w:r>
        <w:rPr>
          <w:rFonts w:ascii="Times New Roman" w:eastAsia="Times New Roman" w:hAnsi="Times New Roman" w:cs="Times New Roman"/>
          <w:color w:val="222222"/>
          <w:sz w:val="24"/>
          <w:szCs w:val="24"/>
        </w:rPr>
        <w:t xml:space="preserve"> MAGs from Last Chance Core</w:t>
      </w:r>
      <w:r w:rsidR="0042271C">
        <w:rPr>
          <w:rFonts w:ascii="Times New Roman" w:eastAsia="Times New Roman" w:hAnsi="Times New Roman" w:cs="Times New Roman"/>
          <w:color w:val="222222"/>
          <w:sz w:val="24"/>
          <w:szCs w:val="24"/>
        </w:rPr>
        <w:t xml:space="preserve"> 1</w:t>
      </w:r>
      <w:r w:rsidR="0042271C">
        <w:rPr>
          <w:rFonts w:ascii="Times New Roman" w:eastAsia="Times New Roman" w:hAnsi="Times New Roman" w:cs="Times New Roman"/>
          <w:sz w:val="24"/>
          <w:szCs w:val="24"/>
        </w:rPr>
        <w:tab/>
      </w:r>
    </w:p>
    <w:sectPr w:rsidR="00B42D09" w:rsidSect="00817E37">
      <w:footerReference w:type="default" r:id="rId22"/>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01DB7" w14:textId="77777777" w:rsidR="00EC52EF" w:rsidRDefault="00EC52EF" w:rsidP="006148BA">
      <w:pPr>
        <w:spacing w:line="240" w:lineRule="auto"/>
      </w:pPr>
      <w:r>
        <w:separator/>
      </w:r>
    </w:p>
  </w:endnote>
  <w:endnote w:type="continuationSeparator" w:id="0">
    <w:p w14:paraId="35E13EE3" w14:textId="77777777" w:rsidR="00EC52EF" w:rsidRDefault="00EC52EF" w:rsidP="006148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1983726"/>
      <w:docPartObj>
        <w:docPartGallery w:val="Page Numbers (Bottom of Page)"/>
        <w:docPartUnique/>
      </w:docPartObj>
    </w:sdtPr>
    <w:sdtEndPr>
      <w:rPr>
        <w:rFonts w:ascii="Times New Roman" w:hAnsi="Times New Roman" w:cs="Times New Roman"/>
        <w:noProof/>
        <w:color w:val="000000" w:themeColor="text1"/>
      </w:rPr>
    </w:sdtEndPr>
    <w:sdtContent>
      <w:p w14:paraId="21E2066E" w14:textId="3C544656" w:rsidR="001626BC" w:rsidRPr="001626BC" w:rsidRDefault="001626BC">
        <w:pPr>
          <w:pStyle w:val="Footer"/>
          <w:jc w:val="center"/>
          <w:rPr>
            <w:rFonts w:ascii="Times New Roman" w:hAnsi="Times New Roman" w:cs="Times New Roman"/>
            <w:color w:val="000000" w:themeColor="text1"/>
          </w:rPr>
        </w:pPr>
        <w:r w:rsidRPr="001626BC">
          <w:rPr>
            <w:rFonts w:ascii="Times New Roman" w:hAnsi="Times New Roman" w:cs="Times New Roman"/>
            <w:color w:val="000000" w:themeColor="text1"/>
          </w:rPr>
          <w:fldChar w:fldCharType="begin"/>
        </w:r>
        <w:r w:rsidRPr="001626BC">
          <w:rPr>
            <w:rFonts w:ascii="Times New Roman" w:hAnsi="Times New Roman" w:cs="Times New Roman"/>
            <w:color w:val="000000" w:themeColor="text1"/>
          </w:rPr>
          <w:instrText xml:space="preserve"> PAGE   \* MERGEFORMAT </w:instrText>
        </w:r>
        <w:r w:rsidRPr="001626BC">
          <w:rPr>
            <w:rFonts w:ascii="Times New Roman" w:hAnsi="Times New Roman" w:cs="Times New Roman"/>
            <w:color w:val="000000" w:themeColor="text1"/>
          </w:rPr>
          <w:fldChar w:fldCharType="separate"/>
        </w:r>
        <w:r w:rsidRPr="001626BC">
          <w:rPr>
            <w:rFonts w:ascii="Times New Roman" w:hAnsi="Times New Roman" w:cs="Times New Roman"/>
            <w:noProof/>
            <w:color w:val="000000" w:themeColor="text1"/>
          </w:rPr>
          <w:t>2</w:t>
        </w:r>
        <w:r w:rsidRPr="001626BC">
          <w:rPr>
            <w:rFonts w:ascii="Times New Roman" w:hAnsi="Times New Roman" w:cs="Times New Roman"/>
            <w:noProof/>
            <w:color w:val="000000" w:themeColor="text1"/>
          </w:rPr>
          <w:fldChar w:fldCharType="end"/>
        </w:r>
      </w:p>
    </w:sdtContent>
  </w:sdt>
  <w:p w14:paraId="1E42A3EA" w14:textId="6BB8B789" w:rsidR="001626BC" w:rsidRDefault="001626BC" w:rsidP="001626BC">
    <w:pPr>
      <w:pStyle w:val="Footer"/>
      <w:tabs>
        <w:tab w:val="clear" w:pos="4680"/>
        <w:tab w:val="clear" w:pos="9360"/>
        <w:tab w:val="left" w:pos="5671"/>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C43F6" w14:textId="77777777" w:rsidR="00EC52EF" w:rsidRDefault="00EC52EF" w:rsidP="006148BA">
      <w:pPr>
        <w:spacing w:line="240" w:lineRule="auto"/>
      </w:pPr>
      <w:r>
        <w:separator/>
      </w:r>
    </w:p>
  </w:footnote>
  <w:footnote w:type="continuationSeparator" w:id="0">
    <w:p w14:paraId="0687228E" w14:textId="77777777" w:rsidR="00EC52EF" w:rsidRDefault="00EC52EF" w:rsidP="006148B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Cell Biology&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eexe9xrmvw5zre9rs95f5w1xsaet0tw05t2&quot;&gt;My EndNote Library&lt;record-ids&gt;&lt;item&gt;45&lt;/item&gt;&lt;item&gt;86&lt;/item&gt;&lt;item&gt;87&lt;/item&gt;&lt;item&gt;88&lt;/item&gt;&lt;item&gt;281&lt;/item&gt;&lt;item&gt;285&lt;/item&gt;&lt;item&gt;421&lt;/item&gt;&lt;item&gt;425&lt;/item&gt;&lt;item&gt;705&lt;/item&gt;&lt;item&gt;706&lt;/item&gt;&lt;item&gt;707&lt;/item&gt;&lt;item&gt;710&lt;/item&gt;&lt;item&gt;711&lt;/item&gt;&lt;item&gt;713&lt;/item&gt;&lt;item&gt;715&lt;/item&gt;&lt;item&gt;718&lt;/item&gt;&lt;item&gt;724&lt;/item&gt;&lt;item&gt;732&lt;/item&gt;&lt;item&gt;739&lt;/item&gt;&lt;item&gt;763&lt;/item&gt;&lt;item&gt;771&lt;/item&gt;&lt;item&gt;772&lt;/item&gt;&lt;item&gt;773&lt;/item&gt;&lt;item&gt;774&lt;/item&gt;&lt;item&gt;775&lt;/item&gt;&lt;item&gt;776&lt;/item&gt;&lt;item&gt;777&lt;/item&gt;&lt;item&gt;778&lt;/item&gt;&lt;item&gt;779&lt;/item&gt;&lt;item&gt;781&lt;/item&gt;&lt;item&gt;782&lt;/item&gt;&lt;item&gt;783&lt;/item&gt;&lt;item&gt;784&lt;/item&gt;&lt;item&gt;785&lt;/item&gt;&lt;item&gt;786&lt;/item&gt;&lt;item&gt;787&lt;/item&gt;&lt;item&gt;788&lt;/item&gt;&lt;item&gt;789&lt;/item&gt;&lt;item&gt;790&lt;/item&gt;&lt;item&gt;791&lt;/item&gt;&lt;item&gt;792&lt;/item&gt;&lt;item&gt;793&lt;/item&gt;&lt;item&gt;794&lt;/item&gt;&lt;item&gt;795&lt;/item&gt;&lt;item&gt;796&lt;/item&gt;&lt;item&gt;797&lt;/item&gt;&lt;item&gt;798&lt;/item&gt;&lt;item&gt;799&lt;/item&gt;&lt;item&gt;800&lt;/item&gt;&lt;item&gt;803&lt;/item&gt;&lt;item&gt;804&lt;/item&gt;&lt;item&gt;812&lt;/item&gt;&lt;item&gt;813&lt;/item&gt;&lt;item&gt;814&lt;/item&gt;&lt;item&gt;815&lt;/item&gt;&lt;item&gt;816&lt;/item&gt;&lt;item&gt;822&lt;/item&gt;&lt;item&gt;823&lt;/item&gt;&lt;item&gt;824&lt;/item&gt;&lt;item&gt;825&lt;/item&gt;&lt;item&gt;830&lt;/item&gt;&lt;item&gt;831&lt;/item&gt;&lt;item&gt;832&lt;/item&gt;&lt;item&gt;833&lt;/item&gt;&lt;item&gt;834&lt;/item&gt;&lt;item&gt;835&lt;/item&gt;&lt;item&gt;836&lt;/item&gt;&lt;item&gt;837&lt;/item&gt;&lt;item&gt;838&lt;/item&gt;&lt;item&gt;839&lt;/item&gt;&lt;item&gt;840&lt;/item&gt;&lt;item&gt;845&lt;/item&gt;&lt;item&gt;846&lt;/item&gt;&lt;item&gt;847&lt;/item&gt;&lt;item&gt;848&lt;/item&gt;&lt;item&gt;868&lt;/item&gt;&lt;item&gt;869&lt;/item&gt;&lt;item&gt;870&lt;/item&gt;&lt;item&gt;871&lt;/item&gt;&lt;/record-ids&gt;&lt;/item&gt;&lt;/Libraries&gt;"/>
  </w:docVars>
  <w:rsids>
    <w:rsidRoot w:val="00B42D09"/>
    <w:rsid w:val="00003410"/>
    <w:rsid w:val="00013D04"/>
    <w:rsid w:val="000307E7"/>
    <w:rsid w:val="00042C49"/>
    <w:rsid w:val="00093138"/>
    <w:rsid w:val="000950D9"/>
    <w:rsid w:val="0009709D"/>
    <w:rsid w:val="000A2451"/>
    <w:rsid w:val="000B270E"/>
    <w:rsid w:val="000C41D5"/>
    <w:rsid w:val="000E61FD"/>
    <w:rsid w:val="000F5E9F"/>
    <w:rsid w:val="001037DC"/>
    <w:rsid w:val="00105800"/>
    <w:rsid w:val="00113148"/>
    <w:rsid w:val="001164C8"/>
    <w:rsid w:val="00142021"/>
    <w:rsid w:val="001451CC"/>
    <w:rsid w:val="00151D35"/>
    <w:rsid w:val="00157DD9"/>
    <w:rsid w:val="00160AE1"/>
    <w:rsid w:val="001626BC"/>
    <w:rsid w:val="0017615E"/>
    <w:rsid w:val="00177CBC"/>
    <w:rsid w:val="001A14EC"/>
    <w:rsid w:val="001A5952"/>
    <w:rsid w:val="001B30A6"/>
    <w:rsid w:val="001B52CB"/>
    <w:rsid w:val="001E648B"/>
    <w:rsid w:val="0020404C"/>
    <w:rsid w:val="00210FF8"/>
    <w:rsid w:val="00211D9F"/>
    <w:rsid w:val="00231078"/>
    <w:rsid w:val="00234D61"/>
    <w:rsid w:val="002404C5"/>
    <w:rsid w:val="0025608A"/>
    <w:rsid w:val="002850DC"/>
    <w:rsid w:val="00290AE5"/>
    <w:rsid w:val="00293074"/>
    <w:rsid w:val="002B1481"/>
    <w:rsid w:val="002B4007"/>
    <w:rsid w:val="002E70F2"/>
    <w:rsid w:val="002F2403"/>
    <w:rsid w:val="00305ACF"/>
    <w:rsid w:val="00326E8F"/>
    <w:rsid w:val="00335DC2"/>
    <w:rsid w:val="00374605"/>
    <w:rsid w:val="0037779F"/>
    <w:rsid w:val="00394C24"/>
    <w:rsid w:val="003A2BDD"/>
    <w:rsid w:val="003B2366"/>
    <w:rsid w:val="003C060B"/>
    <w:rsid w:val="003D387C"/>
    <w:rsid w:val="003D5857"/>
    <w:rsid w:val="003F2A7B"/>
    <w:rsid w:val="003F601D"/>
    <w:rsid w:val="003F7E8F"/>
    <w:rsid w:val="004060FB"/>
    <w:rsid w:val="004174E1"/>
    <w:rsid w:val="0042271C"/>
    <w:rsid w:val="00424E3E"/>
    <w:rsid w:val="004312A8"/>
    <w:rsid w:val="00457FF4"/>
    <w:rsid w:val="00464B0E"/>
    <w:rsid w:val="004700D3"/>
    <w:rsid w:val="004709EA"/>
    <w:rsid w:val="00495641"/>
    <w:rsid w:val="004A3A9F"/>
    <w:rsid w:val="004B24F2"/>
    <w:rsid w:val="004E56E9"/>
    <w:rsid w:val="00502944"/>
    <w:rsid w:val="0051052B"/>
    <w:rsid w:val="00543DD7"/>
    <w:rsid w:val="00550D35"/>
    <w:rsid w:val="0055404C"/>
    <w:rsid w:val="0056338F"/>
    <w:rsid w:val="00565438"/>
    <w:rsid w:val="005665D4"/>
    <w:rsid w:val="005740D5"/>
    <w:rsid w:val="0057421B"/>
    <w:rsid w:val="0058074D"/>
    <w:rsid w:val="005876AF"/>
    <w:rsid w:val="005C25C1"/>
    <w:rsid w:val="005D559C"/>
    <w:rsid w:val="005E0D7B"/>
    <w:rsid w:val="006148BA"/>
    <w:rsid w:val="00620CDF"/>
    <w:rsid w:val="006544E7"/>
    <w:rsid w:val="00681AF7"/>
    <w:rsid w:val="00684663"/>
    <w:rsid w:val="006905F7"/>
    <w:rsid w:val="006923DF"/>
    <w:rsid w:val="006953D2"/>
    <w:rsid w:val="006E2ED2"/>
    <w:rsid w:val="0070744C"/>
    <w:rsid w:val="00713C21"/>
    <w:rsid w:val="0071510A"/>
    <w:rsid w:val="007157AC"/>
    <w:rsid w:val="00721D13"/>
    <w:rsid w:val="00737FF0"/>
    <w:rsid w:val="00742A9F"/>
    <w:rsid w:val="00746202"/>
    <w:rsid w:val="0075501D"/>
    <w:rsid w:val="007735E2"/>
    <w:rsid w:val="007768D4"/>
    <w:rsid w:val="00780AC1"/>
    <w:rsid w:val="007906E6"/>
    <w:rsid w:val="007934A5"/>
    <w:rsid w:val="007A3D1C"/>
    <w:rsid w:val="007D0183"/>
    <w:rsid w:val="007D3945"/>
    <w:rsid w:val="007D3B0E"/>
    <w:rsid w:val="007F3C7E"/>
    <w:rsid w:val="0080689C"/>
    <w:rsid w:val="00817E37"/>
    <w:rsid w:val="0082687E"/>
    <w:rsid w:val="0083235F"/>
    <w:rsid w:val="00841881"/>
    <w:rsid w:val="008472E0"/>
    <w:rsid w:val="00856363"/>
    <w:rsid w:val="00863F08"/>
    <w:rsid w:val="008931E8"/>
    <w:rsid w:val="008A6024"/>
    <w:rsid w:val="008C744A"/>
    <w:rsid w:val="008D75E9"/>
    <w:rsid w:val="008E21CF"/>
    <w:rsid w:val="008F79EE"/>
    <w:rsid w:val="00907EFE"/>
    <w:rsid w:val="00923BB1"/>
    <w:rsid w:val="0093325A"/>
    <w:rsid w:val="00952820"/>
    <w:rsid w:val="00956B15"/>
    <w:rsid w:val="009A030B"/>
    <w:rsid w:val="009B103C"/>
    <w:rsid w:val="009B64E8"/>
    <w:rsid w:val="009C1F70"/>
    <w:rsid w:val="009C49C8"/>
    <w:rsid w:val="009D1EA9"/>
    <w:rsid w:val="009D2E76"/>
    <w:rsid w:val="009D76B1"/>
    <w:rsid w:val="009F3BF7"/>
    <w:rsid w:val="009F59C5"/>
    <w:rsid w:val="00A008FC"/>
    <w:rsid w:val="00A06D53"/>
    <w:rsid w:val="00A121BD"/>
    <w:rsid w:val="00A2071C"/>
    <w:rsid w:val="00A416C7"/>
    <w:rsid w:val="00A43AC8"/>
    <w:rsid w:val="00A53AFA"/>
    <w:rsid w:val="00A55E2A"/>
    <w:rsid w:val="00A84EB4"/>
    <w:rsid w:val="00AB6AB1"/>
    <w:rsid w:val="00AB7565"/>
    <w:rsid w:val="00AD27CB"/>
    <w:rsid w:val="00AF5484"/>
    <w:rsid w:val="00B117EF"/>
    <w:rsid w:val="00B14431"/>
    <w:rsid w:val="00B16550"/>
    <w:rsid w:val="00B2175A"/>
    <w:rsid w:val="00B26E77"/>
    <w:rsid w:val="00B319E4"/>
    <w:rsid w:val="00B42D09"/>
    <w:rsid w:val="00B46E7B"/>
    <w:rsid w:val="00B55DE5"/>
    <w:rsid w:val="00B56EA0"/>
    <w:rsid w:val="00B74935"/>
    <w:rsid w:val="00B76FE1"/>
    <w:rsid w:val="00B8702B"/>
    <w:rsid w:val="00BA1A66"/>
    <w:rsid w:val="00BA7A86"/>
    <w:rsid w:val="00BB1228"/>
    <w:rsid w:val="00BB24DE"/>
    <w:rsid w:val="00BE5F1E"/>
    <w:rsid w:val="00BE63AD"/>
    <w:rsid w:val="00BE6456"/>
    <w:rsid w:val="00BF6573"/>
    <w:rsid w:val="00BF70F1"/>
    <w:rsid w:val="00C123C6"/>
    <w:rsid w:val="00C21BCE"/>
    <w:rsid w:val="00C374F8"/>
    <w:rsid w:val="00C56E57"/>
    <w:rsid w:val="00C62633"/>
    <w:rsid w:val="00C8107F"/>
    <w:rsid w:val="00C844F0"/>
    <w:rsid w:val="00CA017F"/>
    <w:rsid w:val="00CA138F"/>
    <w:rsid w:val="00CA4118"/>
    <w:rsid w:val="00CA7989"/>
    <w:rsid w:val="00CB6C12"/>
    <w:rsid w:val="00CC7A68"/>
    <w:rsid w:val="00CC7FB6"/>
    <w:rsid w:val="00CD3E8E"/>
    <w:rsid w:val="00CD6F71"/>
    <w:rsid w:val="00D008B7"/>
    <w:rsid w:val="00D03F24"/>
    <w:rsid w:val="00D0401C"/>
    <w:rsid w:val="00D2313A"/>
    <w:rsid w:val="00D4353D"/>
    <w:rsid w:val="00D542B9"/>
    <w:rsid w:val="00D55CAB"/>
    <w:rsid w:val="00D56733"/>
    <w:rsid w:val="00D7309E"/>
    <w:rsid w:val="00D73CBC"/>
    <w:rsid w:val="00D82E12"/>
    <w:rsid w:val="00D87362"/>
    <w:rsid w:val="00D90871"/>
    <w:rsid w:val="00D9286C"/>
    <w:rsid w:val="00DA2478"/>
    <w:rsid w:val="00DA48C6"/>
    <w:rsid w:val="00DA659D"/>
    <w:rsid w:val="00DE0ABD"/>
    <w:rsid w:val="00DE50E5"/>
    <w:rsid w:val="00DF585D"/>
    <w:rsid w:val="00E36097"/>
    <w:rsid w:val="00E37E88"/>
    <w:rsid w:val="00E50DCA"/>
    <w:rsid w:val="00E5729D"/>
    <w:rsid w:val="00E8000E"/>
    <w:rsid w:val="00E80CFB"/>
    <w:rsid w:val="00EA12E1"/>
    <w:rsid w:val="00EB041E"/>
    <w:rsid w:val="00EB0E42"/>
    <w:rsid w:val="00EB596E"/>
    <w:rsid w:val="00EC3DB7"/>
    <w:rsid w:val="00EC52EF"/>
    <w:rsid w:val="00EC785B"/>
    <w:rsid w:val="00EC7FE1"/>
    <w:rsid w:val="00EE05FD"/>
    <w:rsid w:val="00EE5CE2"/>
    <w:rsid w:val="00EF4E68"/>
    <w:rsid w:val="00F02F32"/>
    <w:rsid w:val="00F106D6"/>
    <w:rsid w:val="00F202DA"/>
    <w:rsid w:val="00F348E5"/>
    <w:rsid w:val="00F54D18"/>
    <w:rsid w:val="00F63C01"/>
    <w:rsid w:val="00F717A6"/>
    <w:rsid w:val="00F73ACB"/>
    <w:rsid w:val="00F9735A"/>
    <w:rsid w:val="00FB39EE"/>
    <w:rsid w:val="00FC1A9E"/>
    <w:rsid w:val="00FD53EF"/>
    <w:rsid w:val="00FD659C"/>
    <w:rsid w:val="00FE1070"/>
    <w:rsid w:val="00FE1CEF"/>
    <w:rsid w:val="00FE567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646F6E"/>
  <w15:docId w15:val="{F3113FCA-5A01-4C70-B87E-EEAB5539A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customStyle="1" w:styleId="EndNoteBibliographyTitle">
    <w:name w:val="EndNote Bibliography Title"/>
    <w:basedOn w:val="Normal"/>
    <w:link w:val="EndNoteBibliographyTitleChar"/>
    <w:rsid w:val="00B56EA0"/>
    <w:pPr>
      <w:jc w:val="center"/>
    </w:pPr>
    <w:rPr>
      <w:noProof/>
      <w:lang w:val="en-CA"/>
    </w:rPr>
  </w:style>
  <w:style w:type="character" w:customStyle="1" w:styleId="EndNoteBibliographyTitleChar">
    <w:name w:val="EndNote Bibliography Title Char"/>
    <w:basedOn w:val="DefaultParagraphFont"/>
    <w:link w:val="EndNoteBibliographyTitle"/>
    <w:rsid w:val="00B56EA0"/>
    <w:rPr>
      <w:noProof/>
      <w:lang w:val="en-CA"/>
    </w:rPr>
  </w:style>
  <w:style w:type="paragraph" w:customStyle="1" w:styleId="EndNoteBibliography">
    <w:name w:val="EndNote Bibliography"/>
    <w:basedOn w:val="Normal"/>
    <w:link w:val="EndNoteBibliographyChar"/>
    <w:rsid w:val="00B56EA0"/>
    <w:pPr>
      <w:spacing w:line="240" w:lineRule="auto"/>
    </w:pPr>
    <w:rPr>
      <w:noProof/>
      <w:lang w:val="en-CA"/>
    </w:rPr>
  </w:style>
  <w:style w:type="character" w:customStyle="1" w:styleId="EndNoteBibliographyChar">
    <w:name w:val="EndNote Bibliography Char"/>
    <w:basedOn w:val="DefaultParagraphFont"/>
    <w:link w:val="EndNoteBibliography"/>
    <w:rsid w:val="00B56EA0"/>
    <w:rPr>
      <w:noProof/>
      <w:lang w:val="en-CA"/>
    </w:rPr>
  </w:style>
  <w:style w:type="character" w:styleId="Hyperlink">
    <w:name w:val="Hyperlink"/>
    <w:basedOn w:val="DefaultParagraphFont"/>
    <w:uiPriority w:val="99"/>
    <w:unhideWhenUsed/>
    <w:rsid w:val="00B56EA0"/>
    <w:rPr>
      <w:color w:val="0000FF" w:themeColor="hyperlink"/>
      <w:u w:val="single"/>
    </w:rPr>
  </w:style>
  <w:style w:type="character" w:styleId="UnresolvedMention">
    <w:name w:val="Unresolved Mention"/>
    <w:basedOn w:val="DefaultParagraphFont"/>
    <w:uiPriority w:val="99"/>
    <w:semiHidden/>
    <w:unhideWhenUsed/>
    <w:rsid w:val="00B56EA0"/>
    <w:rPr>
      <w:color w:val="605E5C"/>
      <w:shd w:val="clear" w:color="auto" w:fill="E1DFDD"/>
    </w:rPr>
  </w:style>
  <w:style w:type="paragraph" w:styleId="Header">
    <w:name w:val="header"/>
    <w:basedOn w:val="Normal"/>
    <w:link w:val="HeaderChar"/>
    <w:uiPriority w:val="99"/>
    <w:unhideWhenUsed/>
    <w:rsid w:val="006148BA"/>
    <w:pPr>
      <w:tabs>
        <w:tab w:val="center" w:pos="4680"/>
        <w:tab w:val="right" w:pos="9360"/>
      </w:tabs>
      <w:spacing w:line="240" w:lineRule="auto"/>
    </w:pPr>
  </w:style>
  <w:style w:type="character" w:customStyle="1" w:styleId="HeaderChar">
    <w:name w:val="Header Char"/>
    <w:basedOn w:val="DefaultParagraphFont"/>
    <w:link w:val="Header"/>
    <w:uiPriority w:val="99"/>
    <w:rsid w:val="006148BA"/>
  </w:style>
  <w:style w:type="paragraph" w:styleId="Footer">
    <w:name w:val="footer"/>
    <w:basedOn w:val="Normal"/>
    <w:link w:val="FooterChar"/>
    <w:uiPriority w:val="99"/>
    <w:unhideWhenUsed/>
    <w:rsid w:val="006148BA"/>
    <w:pPr>
      <w:tabs>
        <w:tab w:val="center" w:pos="4680"/>
        <w:tab w:val="right" w:pos="9360"/>
      </w:tabs>
      <w:spacing w:line="240" w:lineRule="auto"/>
    </w:pPr>
  </w:style>
  <w:style w:type="character" w:customStyle="1" w:styleId="FooterChar">
    <w:name w:val="Footer Char"/>
    <w:basedOn w:val="DefaultParagraphFont"/>
    <w:link w:val="Footer"/>
    <w:uiPriority w:val="99"/>
    <w:rsid w:val="006148BA"/>
  </w:style>
  <w:style w:type="character" w:styleId="FollowedHyperlink">
    <w:name w:val="FollowedHyperlink"/>
    <w:basedOn w:val="DefaultParagraphFont"/>
    <w:uiPriority w:val="99"/>
    <w:semiHidden/>
    <w:unhideWhenUsed/>
    <w:rsid w:val="001451CC"/>
    <w:rPr>
      <w:color w:val="800080" w:themeColor="followedHyperlink"/>
      <w:u w:val="single"/>
    </w:rPr>
  </w:style>
  <w:style w:type="character" w:styleId="LineNumber">
    <w:name w:val="line number"/>
    <w:basedOn w:val="DefaultParagraphFont"/>
    <w:uiPriority w:val="99"/>
    <w:semiHidden/>
    <w:unhideWhenUsed/>
    <w:rsid w:val="001626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7629160">
      <w:bodyDiv w:val="1"/>
      <w:marLeft w:val="0"/>
      <w:marRight w:val="0"/>
      <w:marTop w:val="0"/>
      <w:marBottom w:val="0"/>
      <w:divBdr>
        <w:top w:val="none" w:sz="0" w:space="0" w:color="auto"/>
        <w:left w:val="none" w:sz="0" w:space="0" w:color="auto"/>
        <w:bottom w:val="none" w:sz="0" w:space="0" w:color="auto"/>
        <w:right w:val="none" w:sz="0" w:space="0" w:color="auto"/>
      </w:divBdr>
    </w:div>
    <w:div w:id="21453886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hyperlink" Target="mailto:alexandre.paquette@ucalgary.ca" TargetMode="External"/><Relationship Id="rId12" Type="http://schemas.openxmlformats.org/officeDocument/2006/relationships/image" Target="media/image5.png"/><Relationship Id="rId17" Type="http://schemas.openxmlformats.org/officeDocument/2006/relationships/image" Target="media/image10.emf"/><Relationship Id="rId2" Type="http://schemas.openxmlformats.org/officeDocument/2006/relationships/styles" Target="styles.xml"/><Relationship Id="rId16" Type="http://schemas.openxmlformats.org/officeDocument/2006/relationships/image" Target="media/image9.jp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BC6643-1C9D-463F-B878-E63BBF65F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855</Words>
  <Characters>5539</Characters>
  <Application>Microsoft Office Word</Application>
  <DocSecurity>0</DocSecurity>
  <Lines>102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JR</dc:creator>
  <cp:lastModifiedBy>alex paquette</cp:lastModifiedBy>
  <cp:revision>2</cp:revision>
  <dcterms:created xsi:type="dcterms:W3CDTF">2024-01-13T20:55:00Z</dcterms:created>
  <dcterms:modified xsi:type="dcterms:W3CDTF">2024-01-13T20:55:00Z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7895eb15bf574756a4fd9a64036fdbcc2ff536cfff2b4751e725360e8e114e8d</vt:lpwstr>
  </property>
</Properties>
</file>