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tabs>
          <w:tab w:val="left" w:pos="8820"/>
        </w:tabs>
        <w:spacing w:before="0" w:beforeAutospacing="0" w:after="0" w:afterAutospacing="0" w:line="216" w:lineRule="auto"/>
        <w:rPr>
          <w:rFonts w:ascii="Arial" w:hAnsi="Arial" w:cs="Arial"/>
          <w:sz w:val="22"/>
          <w:szCs w:val="22"/>
          <w:lang w:val="en-US"/>
        </w:rPr>
      </w:pPr>
      <w:r>
        <w:rPr>
          <w:rFonts w:ascii="Arial" w:hAnsi="Arial" w:cs="Arial" w:eastAsiaTheme="majorEastAsia"/>
          <w:b/>
          <w:color w:val="000000" w:themeColor="text1"/>
          <w:kern w:val="24"/>
          <w:sz w:val="22"/>
          <w:szCs w:val="22"/>
          <w:lang w:val="en-US"/>
          <w14:textFill>
            <w14:solidFill>
              <w14:schemeClr w14:val="tx1"/>
            </w14:solidFill>
          </w14:textFill>
        </w:rPr>
        <w:t xml:space="preserve">Table </w:t>
      </w:r>
      <w:r>
        <w:rPr>
          <w:rFonts w:hint="eastAsia" w:ascii="Arial" w:hAnsi="Arial" w:cs="Arial" w:eastAsiaTheme="majorEastAsia"/>
          <w:b/>
          <w:color w:val="000000" w:themeColor="text1"/>
          <w:kern w:val="24"/>
          <w:sz w:val="22"/>
          <w:szCs w:val="22"/>
          <w:lang w:val="en-US" w:eastAsia="zh-CN"/>
          <w14:textFill>
            <w14:solidFill>
              <w14:schemeClr w14:val="tx1"/>
            </w14:solidFill>
          </w14:textFill>
        </w:rPr>
        <w:t>3</w:t>
      </w:r>
      <w:r>
        <w:rPr>
          <w:rFonts w:ascii="Arial" w:hAnsi="Arial" w:cs="Arial" w:eastAsiaTheme="majorEastAsia"/>
          <w:b/>
          <w:color w:val="000000" w:themeColor="text1"/>
          <w:kern w:val="24"/>
          <w:sz w:val="22"/>
          <w:szCs w:val="22"/>
          <w:lang w:val="en-US"/>
          <w14:textFill>
            <w14:solidFill>
              <w14:schemeClr w14:val="tx1"/>
            </w14:solidFill>
          </w14:textFill>
        </w:rPr>
        <w:t>.</w:t>
      </w:r>
      <w:r>
        <w:rPr>
          <w:rFonts w:hAnsi="Calibri" w:asciiTheme="minorHAnsi" w:eastAsiaTheme="majorEastAsia" w:cstheme="majorBidi"/>
          <w:b/>
          <w:color w:val="000000" w:themeColor="text1"/>
          <w:kern w:val="24"/>
          <w:sz w:val="22"/>
          <w:szCs w:val="22"/>
          <w:lang w:val="en-US"/>
          <w14:textFill>
            <w14:solidFill>
              <w14:schemeClr w14:val="tx1"/>
            </w14:solidFill>
          </w14:textFill>
        </w:rPr>
        <w:t xml:space="preserve">  </w:t>
      </w:r>
      <w:r>
        <w:rPr>
          <w:rFonts w:hint="eastAsia" w:hAnsi="Calibri" w:asciiTheme="minorHAnsi" w:eastAsiaTheme="majorEastAsia" w:cstheme="majorBidi"/>
          <w:b/>
          <w:color w:val="000000" w:themeColor="text1"/>
          <w:kern w:val="24"/>
          <w:sz w:val="22"/>
          <w:szCs w:val="22"/>
          <w:lang w:val="en-US"/>
          <w14:textFill>
            <w14:solidFill>
              <w14:schemeClr w14:val="tx1"/>
            </w14:solidFill>
          </w14:textFill>
        </w:rPr>
        <w:t xml:space="preserve">Functional roles of </w:t>
      </w:r>
      <w:r>
        <w:rPr>
          <w:rFonts w:hint="eastAsia" w:hAnsi="Calibri" w:asciiTheme="minorHAnsi" w:eastAsiaTheme="majorEastAsia" w:cstheme="majorBidi"/>
          <w:b/>
          <w:color w:val="000000" w:themeColor="text1"/>
          <w:kern w:val="24"/>
          <w:sz w:val="22"/>
          <w:szCs w:val="22"/>
          <w:lang w:val="en-US" w:eastAsia="zh-CN"/>
          <w14:textFill>
            <w14:solidFill>
              <w14:schemeClr w14:val="tx1"/>
            </w14:solidFill>
          </w14:textFill>
        </w:rPr>
        <w:t>3</w:t>
      </w:r>
      <w:r>
        <w:rPr>
          <w:rFonts w:hint="eastAsia" w:hAnsi="Calibri" w:asciiTheme="minorHAnsi" w:eastAsiaTheme="majorEastAsia" w:cstheme="majorBidi"/>
          <w:b/>
          <w:color w:val="000000" w:themeColor="text1"/>
          <w:kern w:val="24"/>
          <w:sz w:val="22"/>
          <w:szCs w:val="22"/>
          <w:lang w:val="en-US"/>
          <w14:textFill>
            <w14:solidFill>
              <w14:schemeClr w14:val="tx1"/>
            </w14:solidFill>
          </w14:textFill>
        </w:rPr>
        <w:t xml:space="preserve"> hub genes.</w:t>
      </w:r>
    </w:p>
    <w:tbl>
      <w:tblPr>
        <w:tblStyle w:val="4"/>
        <w:tblW w:w="15153" w:type="dxa"/>
        <w:tblInd w:w="-665"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323"/>
        <w:gridCol w:w="910"/>
        <w:gridCol w:w="3380"/>
        <w:gridCol w:w="954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3" w:hRule="atLeast"/>
        </w:trPr>
        <w:tc>
          <w:tcPr>
            <w:tcW w:w="1323" w:type="dxa"/>
            <w:tcBorders>
              <w:top w:val="single" w:color="auto" w:sz="4" w:space="0"/>
              <w:bottom w:val="single" w:color="auto" w:sz="4" w:space="0"/>
            </w:tcBorders>
            <w:shd w:val="clear" w:color="auto" w:fill="FFFFFF"/>
            <w:tcMar>
              <w:top w:w="13" w:type="dxa"/>
              <w:left w:w="13" w:type="dxa"/>
              <w:bottom w:w="0" w:type="dxa"/>
              <w:right w:w="13" w:type="dxa"/>
            </w:tcMar>
            <w:vAlign w:val="center"/>
          </w:tcPr>
          <w:p>
            <w:pPr>
              <w:spacing w:after="0" w:line="240" w:lineRule="auto"/>
              <w:jc w:val="center"/>
              <w:rPr>
                <w:rFonts w:hint="eastAsia" w:ascii="Times-Roman" w:hAnsi="Times-Roman"/>
                <w:sz w:val="18"/>
                <w:lang w:val="en-US" w:eastAsia="zh-CN"/>
              </w:rPr>
            </w:pPr>
            <w:r>
              <w:rPr>
                <w:rFonts w:hint="eastAsia" w:ascii="Times-Roman" w:hAnsi="Times-Roman"/>
                <w:sz w:val="18"/>
                <w:lang w:val="en-US" w:eastAsia="zh-CN"/>
              </w:rPr>
              <w:t>No.</w:t>
            </w:r>
          </w:p>
        </w:tc>
        <w:tc>
          <w:tcPr>
            <w:tcW w:w="910" w:type="dxa"/>
            <w:tcBorders>
              <w:top w:val="single" w:color="auto" w:sz="4" w:space="0"/>
              <w:bottom w:val="single" w:color="auto" w:sz="4" w:space="0"/>
            </w:tcBorders>
            <w:shd w:val="clear" w:color="auto" w:fill="FFFFFF"/>
            <w:tcMar>
              <w:top w:w="13" w:type="dxa"/>
              <w:left w:w="13" w:type="dxa"/>
              <w:bottom w:w="0" w:type="dxa"/>
              <w:right w:w="13" w:type="dxa"/>
            </w:tcMar>
            <w:vAlign w:val="center"/>
          </w:tcPr>
          <w:p>
            <w:pPr>
              <w:spacing w:after="0" w:line="240" w:lineRule="auto"/>
              <w:jc w:val="center"/>
              <w:rPr>
                <w:rFonts w:hint="eastAsia" w:ascii="Times-Roman" w:hAnsi="Times-Roman"/>
                <w:sz w:val="18"/>
                <w:lang w:val="en-US" w:eastAsia="zh-CN"/>
              </w:rPr>
            </w:pPr>
            <w:r>
              <w:rPr>
                <w:rFonts w:hint="eastAsia" w:ascii="Times-Roman" w:hAnsi="Times-Roman"/>
                <w:sz w:val="18"/>
                <w:lang w:val="en-US" w:eastAsia="zh-CN"/>
              </w:rPr>
              <w:t>Gene symbol</w:t>
            </w:r>
          </w:p>
        </w:tc>
        <w:tc>
          <w:tcPr>
            <w:tcW w:w="3380" w:type="dxa"/>
            <w:tcBorders>
              <w:top w:val="single" w:color="auto" w:sz="4" w:space="0"/>
              <w:bottom w:val="single" w:color="auto" w:sz="4" w:space="0"/>
            </w:tcBorders>
            <w:shd w:val="clear" w:color="auto" w:fill="FFFFFF"/>
            <w:tcMar>
              <w:top w:w="13" w:type="dxa"/>
              <w:left w:w="13" w:type="dxa"/>
              <w:bottom w:w="0" w:type="dxa"/>
              <w:right w:w="13" w:type="dxa"/>
            </w:tcMar>
            <w:vAlign w:val="top"/>
          </w:tcPr>
          <w:p>
            <w:pPr>
              <w:spacing w:after="0" w:line="240" w:lineRule="auto"/>
              <w:jc w:val="center"/>
              <w:rPr>
                <w:rFonts w:hint="eastAsia" w:ascii="Times-Roman" w:hAnsi="Times-Roman"/>
                <w:sz w:val="18"/>
                <w:lang w:val="en-US" w:eastAsia="zh-CN"/>
              </w:rPr>
            </w:pPr>
            <w:r>
              <w:rPr>
                <w:rFonts w:hint="eastAsia" w:ascii="Times-Roman" w:hAnsi="Times-Roman"/>
                <w:sz w:val="18"/>
                <w:lang w:val="en-US" w:eastAsia="zh-CN"/>
              </w:rPr>
              <w:t>Full name</w:t>
            </w:r>
          </w:p>
        </w:tc>
        <w:tc>
          <w:tcPr>
            <w:tcW w:w="9540" w:type="dxa"/>
            <w:tcBorders>
              <w:top w:val="single" w:color="auto" w:sz="4" w:space="0"/>
              <w:bottom w:val="single" w:color="auto" w:sz="4" w:space="0"/>
            </w:tcBorders>
            <w:shd w:val="clear" w:color="auto" w:fill="FFFFFF"/>
            <w:vAlign w:val="top"/>
          </w:tcPr>
          <w:p>
            <w:pPr>
              <w:spacing w:after="0" w:line="240" w:lineRule="auto"/>
              <w:jc w:val="center"/>
              <w:rPr>
                <w:rFonts w:hint="eastAsia" w:ascii="Times-Roman" w:hAnsi="Times-Roman"/>
                <w:sz w:val="18"/>
                <w:lang w:val="en-US" w:eastAsia="zh-CN"/>
              </w:rPr>
            </w:pPr>
            <w:r>
              <w:rPr>
                <w:rFonts w:hint="eastAsia" w:ascii="Times-Roman" w:hAnsi="Times-Roman"/>
                <w:sz w:val="18"/>
                <w:lang w:val="en-US" w:eastAsia="zh-CN"/>
              </w:rPr>
              <w:t>Function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8" w:hRule="atLeast"/>
        </w:trPr>
        <w:tc>
          <w:tcPr>
            <w:tcW w:w="1323" w:type="dxa"/>
            <w:shd w:val="clear" w:color="auto" w:fill="FFFFFF"/>
            <w:tcMar>
              <w:top w:w="13" w:type="dxa"/>
              <w:left w:w="13" w:type="dxa"/>
              <w:bottom w:w="0" w:type="dxa"/>
              <w:right w:w="13" w:type="dxa"/>
            </w:tcMar>
            <w:vAlign w:val="bottom"/>
          </w:tcPr>
          <w:p>
            <w:pPr>
              <w:spacing w:after="0" w:line="240" w:lineRule="auto"/>
              <w:jc w:val="center"/>
              <w:rPr>
                <w:rFonts w:hint="eastAsia" w:ascii="Times-Roman" w:hAnsi="Times-Roman"/>
                <w:sz w:val="18"/>
                <w:lang w:val="en-US" w:eastAsia="zh-CN"/>
              </w:rPr>
            </w:pPr>
            <w:r>
              <w:rPr>
                <w:rFonts w:hint="eastAsia" w:ascii="Times-Roman" w:hAnsi="Times-Roman"/>
                <w:sz w:val="18"/>
                <w:lang w:val="en-US" w:eastAsia="zh-CN"/>
              </w:rPr>
              <w:t>1</w:t>
            </w:r>
          </w:p>
        </w:tc>
        <w:tc>
          <w:tcPr>
            <w:tcW w:w="910" w:type="dxa"/>
            <w:shd w:val="clear" w:color="auto" w:fill="FFFFFF"/>
            <w:tcMar>
              <w:top w:w="13" w:type="dxa"/>
              <w:left w:w="13" w:type="dxa"/>
              <w:bottom w:w="0" w:type="dxa"/>
              <w:right w:w="13" w:type="dxa"/>
            </w:tcMar>
            <w:vAlign w:val="top"/>
          </w:tcPr>
          <w:p>
            <w:pPr>
              <w:spacing w:after="0" w:line="240" w:lineRule="auto"/>
              <w:jc w:val="center"/>
              <w:rPr>
                <w:rFonts w:hint="eastAsia" w:ascii="Times-Roman" w:hAnsi="Times-Roman"/>
                <w:sz w:val="18"/>
                <w:lang w:val="en-US" w:eastAsia="zh-CN"/>
              </w:rPr>
            </w:pPr>
            <w:r>
              <w:rPr>
                <w:rFonts w:hint="eastAsia" w:ascii="Times-Roman" w:hAnsi="Times-Roman"/>
                <w:sz w:val="18"/>
                <w:lang w:val="en-US" w:eastAsia="zh-CN"/>
              </w:rPr>
              <w:t>MELK</w:t>
            </w:r>
          </w:p>
        </w:tc>
        <w:tc>
          <w:tcPr>
            <w:tcW w:w="3380" w:type="dxa"/>
            <w:shd w:val="clear" w:color="auto" w:fill="FFFFFF"/>
            <w:tcMar>
              <w:top w:w="13" w:type="dxa"/>
              <w:left w:w="13" w:type="dxa"/>
              <w:bottom w:w="0" w:type="dxa"/>
              <w:right w:w="13" w:type="dxa"/>
            </w:tcMar>
            <w:vAlign w:val="top"/>
          </w:tcPr>
          <w:p>
            <w:pPr>
              <w:spacing w:after="0" w:line="240" w:lineRule="auto"/>
              <w:jc w:val="center"/>
              <w:rPr>
                <w:rFonts w:hint="eastAsia" w:ascii="Times-Roman" w:hAnsi="Times-Roman"/>
                <w:sz w:val="18"/>
                <w:lang w:val="en-US" w:eastAsia="zh-CN"/>
              </w:rPr>
            </w:pPr>
            <w:r>
              <w:rPr>
                <w:rFonts w:hint="default" w:ascii="Times-Roman" w:hAnsi="Times-Roman"/>
                <w:sz w:val="18"/>
                <w:lang w:val="en-US" w:eastAsia="zh-CN"/>
              </w:rPr>
              <w:t>maternal embryonic leucine zipper kinase</w:t>
            </w:r>
          </w:p>
          <w:p>
            <w:pPr>
              <w:spacing w:after="0" w:line="240" w:lineRule="auto"/>
              <w:jc w:val="center"/>
              <w:rPr>
                <w:rFonts w:hint="eastAsia" w:ascii="Times-Roman" w:hAnsi="Times-Roman"/>
                <w:sz w:val="18"/>
                <w:lang w:val="en-US" w:eastAsia="zh-CN"/>
              </w:rPr>
            </w:pPr>
          </w:p>
        </w:tc>
        <w:tc>
          <w:tcPr>
            <w:tcW w:w="9540" w:type="dxa"/>
            <w:shd w:val="clear" w:color="auto" w:fill="FFFFFF"/>
            <w:vAlign w:val="top"/>
          </w:tcPr>
          <w:p>
            <w:pPr>
              <w:spacing w:after="0" w:line="240" w:lineRule="auto"/>
              <w:jc w:val="center"/>
              <w:rPr>
                <w:rFonts w:hint="eastAsia" w:ascii="Times-Roman" w:hAnsi="Times-Roman"/>
                <w:sz w:val="18"/>
                <w:lang w:val="en-US" w:eastAsia="zh-CN"/>
              </w:rPr>
            </w:pPr>
            <w:r>
              <w:rPr>
                <w:rFonts w:hint="eastAsia" w:ascii="Times-Roman" w:hAnsi="Times-Roman"/>
                <w:sz w:val="18"/>
                <w:lang w:val="en-US" w:eastAsia="zh-CN"/>
              </w:rPr>
              <w:t>MELK gene (also known as HPK</w:t>
            </w:r>
            <w:bookmarkStart w:id="0" w:name="_GoBack"/>
            <w:bookmarkEnd w:id="0"/>
            <w:r>
              <w:rPr>
                <w:rFonts w:hint="eastAsia" w:ascii="Times-Roman" w:hAnsi="Times-Roman"/>
                <w:sz w:val="18"/>
                <w:lang w:val="en-US" w:eastAsia="zh-CN"/>
              </w:rPr>
              <w:t>38, NM_ 014791) is located in chromosome 9ql3.2, which encodes maternal embryo leucine zipper kinase. It belongs to Ser / Thr protein kinases. It is a new member of AMPK protein kinase family, which is newly discovered in recent years. It mainly plays a role in mitosis.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3" w:hRule="atLeast"/>
        </w:trPr>
        <w:tc>
          <w:tcPr>
            <w:tcW w:w="1323" w:type="dxa"/>
            <w:vAlign w:val="bottom"/>
          </w:tcPr>
          <w:p>
            <w:pPr>
              <w:spacing w:after="0" w:line="240" w:lineRule="auto"/>
              <w:jc w:val="center"/>
              <w:rPr>
                <w:rFonts w:hint="eastAsia" w:ascii="Times-Roman" w:hAnsi="Times-Roman"/>
                <w:sz w:val="18"/>
                <w:lang w:val="en-US" w:eastAsia="zh-CN"/>
              </w:rPr>
            </w:pPr>
            <w:r>
              <w:rPr>
                <w:rFonts w:hint="eastAsia" w:ascii="Times-Roman" w:hAnsi="Times-Roman"/>
                <w:sz w:val="18"/>
                <w:lang w:val="en-US" w:eastAsia="zh-CN"/>
              </w:rPr>
              <w:t>2</w:t>
            </w:r>
          </w:p>
        </w:tc>
        <w:tc>
          <w:tcPr>
            <w:tcW w:w="910" w:type="dxa"/>
            <w:vAlign w:val="top"/>
          </w:tcPr>
          <w:p>
            <w:pPr>
              <w:spacing w:after="0" w:line="240" w:lineRule="auto"/>
              <w:jc w:val="center"/>
              <w:rPr>
                <w:rFonts w:hint="eastAsia" w:ascii="Times-Roman" w:hAnsi="Times-Roman"/>
                <w:sz w:val="18"/>
                <w:lang w:val="en-US" w:eastAsia="zh-CN"/>
              </w:rPr>
            </w:pPr>
            <w:r>
              <w:rPr>
                <w:rFonts w:hint="eastAsia" w:ascii="Times-Roman" w:hAnsi="Times-Roman"/>
                <w:sz w:val="18"/>
                <w:lang w:val="en-US" w:eastAsia="zh-CN"/>
              </w:rPr>
              <w:t>NTRK2</w:t>
            </w:r>
          </w:p>
        </w:tc>
        <w:tc>
          <w:tcPr>
            <w:tcW w:w="3380" w:type="dxa"/>
            <w:shd w:val="clear" w:color="auto" w:fill="FFFFFF"/>
            <w:tcMar>
              <w:top w:w="13" w:type="dxa"/>
              <w:left w:w="13" w:type="dxa"/>
              <w:bottom w:w="0" w:type="dxa"/>
              <w:right w:w="13" w:type="dxa"/>
            </w:tcMar>
            <w:vAlign w:val="top"/>
          </w:tcPr>
          <w:p>
            <w:pPr>
              <w:spacing w:after="0" w:line="240" w:lineRule="auto"/>
              <w:jc w:val="center"/>
              <w:rPr>
                <w:rFonts w:hint="eastAsia" w:ascii="Times-Roman" w:hAnsi="Times-Roman"/>
                <w:sz w:val="18"/>
                <w:lang w:val="en-US" w:eastAsia="zh-CN"/>
              </w:rPr>
            </w:pPr>
            <w:r>
              <w:rPr>
                <w:rFonts w:hint="default" w:ascii="Times-Roman" w:hAnsi="Times-Roman"/>
                <w:sz w:val="18"/>
                <w:lang w:val="en-US" w:eastAsia="zh-CN"/>
              </w:rPr>
              <w:t>neurotrophic receptor tyrosine kinase 2</w:t>
            </w:r>
          </w:p>
          <w:p>
            <w:pPr>
              <w:spacing w:after="0" w:line="240" w:lineRule="auto"/>
              <w:jc w:val="center"/>
              <w:rPr>
                <w:rFonts w:hint="eastAsia" w:ascii="Times-Roman" w:hAnsi="Times-Roman"/>
                <w:sz w:val="18"/>
                <w:lang w:val="en-US" w:eastAsia="zh-CN"/>
              </w:rPr>
            </w:pPr>
          </w:p>
        </w:tc>
        <w:tc>
          <w:tcPr>
            <w:tcW w:w="9540" w:type="dxa"/>
            <w:shd w:val="clear" w:color="auto" w:fill="FFFFFF"/>
            <w:vAlign w:val="top"/>
          </w:tcPr>
          <w:p>
            <w:pPr>
              <w:spacing w:after="0" w:line="240" w:lineRule="auto"/>
              <w:jc w:val="center"/>
              <w:rPr>
                <w:rFonts w:hint="eastAsia" w:ascii="Times-Roman" w:hAnsi="Times-Roman"/>
                <w:sz w:val="18"/>
                <w:lang w:val="en-US" w:eastAsia="zh-CN"/>
              </w:rPr>
            </w:pPr>
            <w:r>
              <w:rPr>
                <w:rFonts w:hint="eastAsia" w:ascii="Times-Roman" w:hAnsi="Times-Roman"/>
                <w:sz w:val="18"/>
                <w:lang w:val="en-US" w:eastAsia="zh-CN"/>
              </w:rPr>
              <w:t>This gene encodes a member of the neurotrophic tyrosine receptor kinase (NTRK) family. This kinase is a membrane-bound receptor that, upon neurotrophin binding, phosphorylates itself and members of the MAPK pathway. Signalling through this kinase leads to cell differentiation. Mutations in this gene have been associated with obesity and mood disorders. Alternative splicing results in multiple transcript variants.</w:t>
            </w:r>
            <w:r>
              <w:rPr>
                <w:rFonts w:hint="default" w:ascii="Times-Roman" w:hAnsi="Times-Roman"/>
                <w:sz w:val="18"/>
                <w:lang w:val="en-US" w:eastAsia="zh-CN"/>
              </w:rPr>
              <w:t>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 w:hRule="atLeast"/>
        </w:trPr>
        <w:tc>
          <w:tcPr>
            <w:tcW w:w="1323" w:type="dxa"/>
            <w:shd w:val="clear" w:color="auto" w:fill="FFFFFF"/>
            <w:tcMar>
              <w:top w:w="13" w:type="dxa"/>
              <w:left w:w="13" w:type="dxa"/>
              <w:bottom w:w="0" w:type="dxa"/>
              <w:right w:w="13" w:type="dxa"/>
            </w:tcMar>
            <w:vAlign w:val="bottom"/>
          </w:tcPr>
          <w:p>
            <w:pPr>
              <w:spacing w:after="0" w:line="240" w:lineRule="auto"/>
              <w:jc w:val="center"/>
              <w:rPr>
                <w:rFonts w:hint="eastAsia" w:ascii="Times-Roman" w:hAnsi="Times-Roman"/>
                <w:sz w:val="18"/>
                <w:lang w:val="en-US" w:eastAsia="zh-CN"/>
              </w:rPr>
            </w:pPr>
            <w:r>
              <w:rPr>
                <w:rFonts w:hint="eastAsia" w:ascii="Times-Roman" w:hAnsi="Times-Roman"/>
                <w:sz w:val="18"/>
                <w:lang w:val="en-US" w:eastAsia="zh-CN"/>
              </w:rPr>
              <w:t>3</w:t>
            </w:r>
          </w:p>
        </w:tc>
        <w:tc>
          <w:tcPr>
            <w:tcW w:w="910" w:type="dxa"/>
            <w:shd w:val="clear" w:color="auto" w:fill="FFFFFF"/>
            <w:tcMar>
              <w:top w:w="13" w:type="dxa"/>
              <w:left w:w="13" w:type="dxa"/>
              <w:bottom w:w="0" w:type="dxa"/>
              <w:right w:w="13" w:type="dxa"/>
            </w:tcMar>
            <w:vAlign w:val="top"/>
          </w:tcPr>
          <w:p>
            <w:pPr>
              <w:spacing w:after="0" w:line="240" w:lineRule="auto"/>
              <w:jc w:val="center"/>
              <w:rPr>
                <w:rFonts w:hint="eastAsia" w:ascii="Times-Roman" w:hAnsi="Times-Roman"/>
                <w:sz w:val="18"/>
                <w:lang w:val="en-US" w:eastAsia="zh-CN"/>
              </w:rPr>
            </w:pPr>
            <w:r>
              <w:rPr>
                <w:rFonts w:hint="eastAsia" w:ascii="Times-Roman" w:hAnsi="Times-Roman"/>
                <w:sz w:val="18"/>
                <w:lang w:val="en-US" w:eastAsia="zh-CN"/>
              </w:rPr>
              <w:t>CLU</w:t>
            </w:r>
          </w:p>
        </w:tc>
        <w:tc>
          <w:tcPr>
            <w:tcW w:w="3380" w:type="dxa"/>
            <w:shd w:val="clear" w:color="auto" w:fill="FFFFFF"/>
            <w:tcMar>
              <w:top w:w="13" w:type="dxa"/>
              <w:left w:w="13" w:type="dxa"/>
              <w:bottom w:w="0" w:type="dxa"/>
              <w:right w:w="13" w:type="dxa"/>
            </w:tcMar>
            <w:vAlign w:val="top"/>
          </w:tcPr>
          <w:p>
            <w:pPr>
              <w:spacing w:after="0" w:line="240" w:lineRule="auto"/>
              <w:jc w:val="center"/>
              <w:rPr>
                <w:rFonts w:hint="eastAsia" w:ascii="Times-Roman" w:hAnsi="Times-Roman"/>
                <w:sz w:val="18"/>
                <w:lang w:val="en-US" w:eastAsia="zh-CN"/>
              </w:rPr>
            </w:pPr>
            <w:r>
              <w:rPr>
                <w:rFonts w:hint="eastAsia" w:ascii="Times-Roman" w:hAnsi="Times-Roman"/>
                <w:sz w:val="18"/>
                <w:lang w:val="en-US" w:eastAsia="zh-CN"/>
              </w:rPr>
              <w:t>clusterin</w:t>
            </w:r>
          </w:p>
        </w:tc>
        <w:tc>
          <w:tcPr>
            <w:tcW w:w="9540" w:type="dxa"/>
            <w:shd w:val="clear" w:color="auto" w:fill="FFFFFF"/>
            <w:vAlign w:val="top"/>
          </w:tcPr>
          <w:p>
            <w:pPr>
              <w:spacing w:after="0" w:line="240" w:lineRule="auto"/>
              <w:jc w:val="center"/>
              <w:rPr>
                <w:rFonts w:hint="eastAsia" w:ascii="Times-Roman" w:hAnsi="Times-Roman"/>
                <w:sz w:val="18"/>
                <w:lang w:val="en-US" w:eastAsia="zh-CN"/>
              </w:rPr>
            </w:pPr>
            <w:r>
              <w:rPr>
                <w:rFonts w:hint="eastAsia" w:ascii="Times-Roman" w:hAnsi="Times-Roman"/>
                <w:sz w:val="18"/>
                <w:lang w:val="en-US" w:eastAsia="zh-CN"/>
              </w:rPr>
              <w:t>The protein encoded by this gene is a secreted chaperone that can under some stress conditions also be found in the cell cytosol. It has been suggested to be involved in several basic biological events such as cell death, tumor progression, and neurodegenerative disorders. Alternate splicing results in both coding and non-coding variants</w:t>
            </w:r>
          </w:p>
        </w:tc>
      </w:tr>
    </w:tbl>
    <w:p>
      <w:pPr>
        <w:spacing w:after="0" w:line="240" w:lineRule="auto"/>
        <w:jc w:val="center"/>
        <w:rPr>
          <w:rFonts w:hint="eastAsia" w:ascii="Times-Roman" w:hAnsi="Times-Roman"/>
          <w:sz w:val="18"/>
          <w:lang w:val="en-US" w:eastAsia="zh-CN"/>
        </w:rPr>
      </w:pPr>
    </w:p>
    <w:sectPr>
      <w:pgSz w:w="16838" w:h="11906" w:orient="landscape"/>
      <w:pgMar w:top="1417" w:right="1417" w:bottom="1417" w:left="1134"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Roman">
    <w:altName w:val="Times New Roman"/>
    <w:panose1 w:val="00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7CEE"/>
    <w:rsid w:val="00025168"/>
    <w:rsid w:val="0004761A"/>
    <w:rsid w:val="00076E3B"/>
    <w:rsid w:val="0008457C"/>
    <w:rsid w:val="00122562"/>
    <w:rsid w:val="00153EF4"/>
    <w:rsid w:val="001659D1"/>
    <w:rsid w:val="002520BC"/>
    <w:rsid w:val="002B6565"/>
    <w:rsid w:val="002E1339"/>
    <w:rsid w:val="0031099D"/>
    <w:rsid w:val="00317C1F"/>
    <w:rsid w:val="00342213"/>
    <w:rsid w:val="0037227B"/>
    <w:rsid w:val="003863B3"/>
    <w:rsid w:val="003E205D"/>
    <w:rsid w:val="004B7C24"/>
    <w:rsid w:val="004F030E"/>
    <w:rsid w:val="00517F13"/>
    <w:rsid w:val="00534668"/>
    <w:rsid w:val="00536A44"/>
    <w:rsid w:val="005B0590"/>
    <w:rsid w:val="005B1ACF"/>
    <w:rsid w:val="005E0A53"/>
    <w:rsid w:val="00622456"/>
    <w:rsid w:val="00622D53"/>
    <w:rsid w:val="00661D66"/>
    <w:rsid w:val="00672861"/>
    <w:rsid w:val="006745AB"/>
    <w:rsid w:val="00762B46"/>
    <w:rsid w:val="008F066C"/>
    <w:rsid w:val="00903F2B"/>
    <w:rsid w:val="00931650"/>
    <w:rsid w:val="00931CBD"/>
    <w:rsid w:val="0093749A"/>
    <w:rsid w:val="00953C51"/>
    <w:rsid w:val="00996799"/>
    <w:rsid w:val="009A3AB4"/>
    <w:rsid w:val="009C2164"/>
    <w:rsid w:val="009D550F"/>
    <w:rsid w:val="009D724F"/>
    <w:rsid w:val="00AC1129"/>
    <w:rsid w:val="00B94F92"/>
    <w:rsid w:val="00B96273"/>
    <w:rsid w:val="00C723C9"/>
    <w:rsid w:val="00CA1040"/>
    <w:rsid w:val="00CB231B"/>
    <w:rsid w:val="00CC5C0C"/>
    <w:rsid w:val="00CF4F60"/>
    <w:rsid w:val="00DD73DB"/>
    <w:rsid w:val="00DF7732"/>
    <w:rsid w:val="00E652D1"/>
    <w:rsid w:val="00F01611"/>
    <w:rsid w:val="00F26798"/>
    <w:rsid w:val="00F6296C"/>
    <w:rsid w:val="00F829FF"/>
    <w:rsid w:val="00FB5682"/>
    <w:rsid w:val="00FB7996"/>
    <w:rsid w:val="06703CC6"/>
    <w:rsid w:val="112E678C"/>
    <w:rsid w:val="114B2617"/>
    <w:rsid w:val="226D4F13"/>
    <w:rsid w:val="2981268D"/>
    <w:rsid w:val="2C645568"/>
    <w:rsid w:val="2D750E34"/>
    <w:rsid w:val="40335CA8"/>
    <w:rsid w:val="47E513F4"/>
    <w:rsid w:val="4A463906"/>
    <w:rsid w:val="5855619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eastAsia="宋体" w:asciiTheme="minorHAnsi" w:hAnsiTheme="minorHAnsi" w:cstheme="minorBidi"/>
      <w:sz w:val="22"/>
      <w:szCs w:val="22"/>
      <w:lang w:val="de-DE" w:eastAsia="en-US" w:bidi="ar-SA"/>
    </w:rPr>
  </w:style>
  <w:style w:type="character" w:default="1" w:styleId="3">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Normal (Web)"/>
    <w:basedOn w:val="1"/>
    <w:semiHidden/>
    <w:unhideWhenUsed/>
    <w:uiPriority w:val="99"/>
    <w:pPr>
      <w:spacing w:before="100" w:beforeAutospacing="1" w:after="100" w:afterAutospacing="1" w:line="240" w:lineRule="auto"/>
    </w:pPr>
    <w:rPr>
      <w:rFonts w:ascii="Times New Roman" w:hAnsi="Times New Roman" w:cs="Times New Roman" w:eastAsiaTheme="minorEastAsia"/>
      <w:sz w:val="24"/>
      <w:szCs w:val="24"/>
      <w:lang w:eastAsia="de-DE"/>
    </w:rPr>
  </w:style>
  <w:style w:type="table" w:styleId="5">
    <w:name w:val="Table Grid"/>
    <w:basedOn w:val="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258</Words>
  <Characters>1474</Characters>
  <Lines>12</Lines>
  <Paragraphs>3</Paragraphs>
  <TotalTime>6</TotalTime>
  <ScaleCrop>false</ScaleCrop>
  <LinksUpToDate>false</LinksUpToDate>
  <CharactersWithSpaces>1729</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2017-11-29T15:06:00Z</dcterms:created>
  <dc:creator>ITB_166401</dc:creator>
  <cp:lastModifiedBy>倪清涛</cp:lastModifiedBy>
  <dcterms:modified xsi:type="dcterms:W3CDTF">2020-06-09T03:57:03Z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