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3ABF" w14:textId="6C3DF49C" w:rsidR="00015F74" w:rsidRDefault="00BB2D2A" w:rsidP="00B9440A">
      <w:pPr>
        <w:pStyle w:val="SMHeading"/>
      </w:pPr>
      <w:r>
        <w:t>Supplementary</w:t>
      </w:r>
      <w:r w:rsidR="00015F74">
        <w:t xml:space="preserve"> </w:t>
      </w:r>
      <w:r w:rsidR="005E6068">
        <w:t>Methods</w:t>
      </w:r>
    </w:p>
    <w:p w14:paraId="4D680FF2" w14:textId="77777777" w:rsidR="005E6068" w:rsidRPr="005E6068" w:rsidRDefault="005E6068" w:rsidP="005E6068">
      <w:pPr>
        <w:widowControl w:val="0"/>
        <w:suppressAutoHyphens/>
        <w:rPr>
          <w:szCs w:val="24"/>
          <w:u w:val="single"/>
        </w:rPr>
      </w:pPr>
      <w:r w:rsidRPr="005E6068">
        <w:rPr>
          <w:szCs w:val="24"/>
          <w:u w:val="single"/>
        </w:rPr>
        <w:t>Catwalk Gait Metrics</w:t>
      </w:r>
    </w:p>
    <w:p w14:paraId="2C389939" w14:textId="3760B8F0" w:rsidR="005E6068" w:rsidRPr="005E6068" w:rsidRDefault="005E6068" w:rsidP="005E6068">
      <w:pPr>
        <w:widowControl w:val="0"/>
        <w:suppressAutoHyphens/>
        <w:rPr>
          <w:iCs/>
          <w:szCs w:val="24"/>
        </w:rPr>
      </w:pPr>
      <w:r w:rsidRPr="005E6068">
        <w:rPr>
          <w:iCs/>
          <w:szCs w:val="24"/>
        </w:rPr>
        <w:t xml:space="preserve">The following gait measures were generated by the Catwalk analysis software and depicted in </w:t>
      </w:r>
      <w:r w:rsidRPr="005E6068">
        <w:rPr>
          <w:b/>
          <w:iCs/>
          <w:szCs w:val="24"/>
        </w:rPr>
        <w:t xml:space="preserve">Fig. 2 </w:t>
      </w:r>
      <w:r w:rsidRPr="005E6068">
        <w:rPr>
          <w:iCs/>
          <w:szCs w:val="24"/>
        </w:rPr>
        <w:t xml:space="preserve">and </w:t>
      </w:r>
      <w:r w:rsidR="00BD1B35">
        <w:rPr>
          <w:b/>
          <w:iCs/>
          <w:szCs w:val="24"/>
        </w:rPr>
        <w:t>Additional Figures 1-3</w:t>
      </w:r>
      <w:r w:rsidRPr="005E6068">
        <w:rPr>
          <w:iCs/>
          <w:szCs w:val="24"/>
        </w:rPr>
        <w:t>: ‘</w:t>
      </w:r>
      <w:r w:rsidRPr="005E6068">
        <w:rPr>
          <w:i/>
          <w:iCs/>
          <w:szCs w:val="24"/>
        </w:rPr>
        <w:t>Stand:</w:t>
      </w:r>
      <w:r w:rsidRPr="005E6068">
        <w:rPr>
          <w:iCs/>
          <w:szCs w:val="24"/>
        </w:rPr>
        <w:t>’ the duration of contact of a paw with the glass plate. ‘</w:t>
      </w:r>
      <w:r w:rsidRPr="005E6068">
        <w:rPr>
          <w:i/>
          <w:iCs/>
          <w:szCs w:val="24"/>
        </w:rPr>
        <w:t>Stand index:</w:t>
      </w:r>
      <w:r w:rsidRPr="005E6068">
        <w:rPr>
          <w:iCs/>
          <w:szCs w:val="24"/>
        </w:rPr>
        <w:t>’ the speed at which a paw loses contact with the glass plate. ‘</w:t>
      </w:r>
      <w:r w:rsidRPr="005E6068">
        <w:rPr>
          <w:i/>
          <w:iCs/>
          <w:szCs w:val="24"/>
        </w:rPr>
        <w:t>Swing:</w:t>
      </w:r>
      <w:r w:rsidRPr="005E6068">
        <w:rPr>
          <w:iCs/>
          <w:szCs w:val="24"/>
        </w:rPr>
        <w:t>’ the duration of no contact of a paw with the glass plate. ‘</w:t>
      </w:r>
      <w:r w:rsidRPr="005E6068">
        <w:rPr>
          <w:i/>
          <w:iCs/>
          <w:szCs w:val="24"/>
        </w:rPr>
        <w:t>Swing speed:</w:t>
      </w:r>
      <w:r w:rsidRPr="005E6068">
        <w:rPr>
          <w:iCs/>
          <w:szCs w:val="24"/>
        </w:rPr>
        <w:t>’ stride length/swing time. ‘</w:t>
      </w:r>
      <w:r w:rsidRPr="005E6068">
        <w:rPr>
          <w:i/>
          <w:iCs/>
          <w:szCs w:val="24"/>
        </w:rPr>
        <w:t>Stride length:</w:t>
      </w:r>
      <w:r w:rsidRPr="005E6068">
        <w:rPr>
          <w:iCs/>
          <w:szCs w:val="24"/>
        </w:rPr>
        <w:t>’ the distance between successive placements of the same paw. ‘</w:t>
      </w:r>
      <w:r w:rsidRPr="005E6068">
        <w:rPr>
          <w:i/>
          <w:iCs/>
          <w:szCs w:val="24"/>
        </w:rPr>
        <w:t>Step cycle:</w:t>
      </w:r>
      <w:r w:rsidRPr="005E6068">
        <w:rPr>
          <w:iCs/>
          <w:szCs w:val="24"/>
        </w:rPr>
        <w:t>’ the time between two consecutive initial contacts of the same paw (stand + swing). ‘</w:t>
      </w:r>
      <w:r w:rsidRPr="005E6068">
        <w:rPr>
          <w:i/>
          <w:iCs/>
          <w:szCs w:val="24"/>
        </w:rPr>
        <w:t>Single stance:</w:t>
      </w:r>
      <w:r w:rsidRPr="005E6068">
        <w:rPr>
          <w:iCs/>
          <w:szCs w:val="24"/>
        </w:rPr>
        <w:t>’ the duration of ground contact of a single hind paw. ‘</w:t>
      </w:r>
      <w:r w:rsidRPr="005E6068">
        <w:rPr>
          <w:i/>
          <w:iCs/>
          <w:szCs w:val="24"/>
        </w:rPr>
        <w:t>Dual stance:</w:t>
      </w:r>
      <w:r w:rsidRPr="005E6068">
        <w:rPr>
          <w:iCs/>
          <w:szCs w:val="24"/>
        </w:rPr>
        <w:t>’ the duration of ground contact for both hind paws. ‘</w:t>
      </w:r>
      <w:r w:rsidRPr="005E6068">
        <w:rPr>
          <w:i/>
          <w:iCs/>
          <w:szCs w:val="24"/>
        </w:rPr>
        <w:t>Print area:</w:t>
      </w:r>
      <w:r w:rsidRPr="005E6068">
        <w:rPr>
          <w:iCs/>
          <w:szCs w:val="24"/>
        </w:rPr>
        <w:t>’ the surface area of the complete paw print. ‘</w:t>
      </w:r>
      <w:r w:rsidRPr="005E6068">
        <w:rPr>
          <w:i/>
          <w:iCs/>
          <w:szCs w:val="24"/>
        </w:rPr>
        <w:t>Average speed:</w:t>
      </w:r>
      <w:r w:rsidRPr="005E6068">
        <w:rPr>
          <w:iCs/>
          <w:szCs w:val="24"/>
        </w:rPr>
        <w:t>’ the speed of the mouse’s body across the recorded runs. ‘</w:t>
      </w:r>
      <w:r w:rsidRPr="005E6068">
        <w:rPr>
          <w:i/>
          <w:iCs/>
          <w:szCs w:val="24"/>
        </w:rPr>
        <w:t>Body speed:</w:t>
      </w:r>
      <w:r w:rsidRPr="005E6068">
        <w:rPr>
          <w:iCs/>
          <w:szCs w:val="24"/>
        </w:rPr>
        <w:t>’ the distance the body travels from one initial contact of a hindpaw to the next. ‘</w:t>
      </w:r>
      <w:r w:rsidRPr="005E6068">
        <w:rPr>
          <w:i/>
          <w:iCs/>
          <w:szCs w:val="24"/>
        </w:rPr>
        <w:t>Body speed variability:</w:t>
      </w:r>
      <w:r w:rsidRPr="005E6068">
        <w:rPr>
          <w:iCs/>
          <w:szCs w:val="24"/>
        </w:rPr>
        <w:t>’ body speed-average speed / average speed ‘</w:t>
      </w:r>
      <w:r w:rsidRPr="005E6068">
        <w:rPr>
          <w:i/>
          <w:iCs/>
          <w:szCs w:val="24"/>
        </w:rPr>
        <w:t>Intermediate toe spread:</w:t>
      </w:r>
      <w:r w:rsidRPr="005E6068">
        <w:rPr>
          <w:iCs/>
          <w:szCs w:val="24"/>
        </w:rPr>
        <w:t>’ the distance between the center of the second and fourth toes of a hindpaw. ‘</w:t>
      </w:r>
      <w:r w:rsidRPr="005E6068">
        <w:rPr>
          <w:i/>
          <w:iCs/>
          <w:szCs w:val="24"/>
        </w:rPr>
        <w:t>Regularity index</w:t>
      </w:r>
      <w:r w:rsidRPr="005E6068">
        <w:rPr>
          <w:iCs/>
          <w:szCs w:val="24"/>
        </w:rPr>
        <w:t>:’ the number of normal step sequence patterns relative to the total number of paw placements. ‘</w:t>
      </w:r>
      <w:r w:rsidRPr="005E6068">
        <w:rPr>
          <w:i/>
          <w:iCs/>
          <w:szCs w:val="24"/>
        </w:rPr>
        <w:t>Max contact area:</w:t>
      </w:r>
      <w:r w:rsidRPr="005E6068">
        <w:rPr>
          <w:iCs/>
          <w:szCs w:val="24"/>
        </w:rPr>
        <w:t>’ the print area at the point of maximum contact. ‘</w:t>
      </w:r>
      <w:r w:rsidRPr="005E6068">
        <w:rPr>
          <w:i/>
          <w:iCs/>
          <w:szCs w:val="24"/>
        </w:rPr>
        <w:t>Max intensity:</w:t>
      </w:r>
      <w:r w:rsidRPr="005E6068">
        <w:rPr>
          <w:iCs/>
          <w:szCs w:val="24"/>
        </w:rPr>
        <w:t>’ the maximum intensity of the complete paw print. ‘</w:t>
      </w:r>
      <w:r w:rsidRPr="005E6068">
        <w:rPr>
          <w:i/>
          <w:iCs/>
          <w:szCs w:val="24"/>
        </w:rPr>
        <w:t>Mean intensity:</w:t>
      </w:r>
      <w:r w:rsidRPr="005E6068">
        <w:rPr>
          <w:iCs/>
          <w:szCs w:val="24"/>
        </w:rPr>
        <w:t>’ the mean intensity of the complete paw print. ‘</w:t>
      </w:r>
      <w:r w:rsidRPr="005E6068">
        <w:rPr>
          <w:i/>
          <w:iCs/>
          <w:szCs w:val="24"/>
        </w:rPr>
        <w:t>Max variation:</w:t>
      </w:r>
      <w:r w:rsidRPr="005E6068">
        <w:rPr>
          <w:iCs/>
          <w:szCs w:val="24"/>
        </w:rPr>
        <w:t>’ the maximum variation in walking speed in the recorded runs.</w:t>
      </w:r>
    </w:p>
    <w:p w14:paraId="125ADF2D" w14:textId="77777777" w:rsidR="005E6068" w:rsidRPr="005E6068" w:rsidRDefault="005E6068" w:rsidP="005E6068">
      <w:pPr>
        <w:widowControl w:val="0"/>
        <w:suppressAutoHyphens/>
        <w:rPr>
          <w:iCs/>
          <w:szCs w:val="24"/>
        </w:rPr>
      </w:pPr>
    </w:p>
    <w:p w14:paraId="43306F0E" w14:textId="77777777" w:rsidR="005E6068" w:rsidRPr="005E6068" w:rsidRDefault="005E6068" w:rsidP="005E6068">
      <w:pPr>
        <w:widowControl w:val="0"/>
        <w:suppressAutoHyphens/>
        <w:rPr>
          <w:szCs w:val="24"/>
          <w:u w:val="single"/>
        </w:rPr>
      </w:pPr>
      <w:r w:rsidRPr="005E6068">
        <w:rPr>
          <w:szCs w:val="24"/>
          <w:u w:val="single"/>
        </w:rPr>
        <w:t xml:space="preserve">Grip Strength </w:t>
      </w:r>
    </w:p>
    <w:p w14:paraId="6DE115AA" w14:textId="7882E034" w:rsidR="005E6068" w:rsidRPr="00D75715" w:rsidRDefault="005E6068" w:rsidP="00D75715">
      <w:pPr>
        <w:widowControl w:val="0"/>
        <w:suppressAutoHyphens/>
        <w:rPr>
          <w:szCs w:val="24"/>
        </w:rPr>
      </w:pPr>
      <w:r w:rsidRPr="005E6068">
        <w:rPr>
          <w:szCs w:val="24"/>
        </w:rPr>
        <w:t>A Grip Strength Meter (</w:t>
      </w:r>
      <w:proofErr w:type="spellStart"/>
      <w:r w:rsidRPr="005E6068">
        <w:rPr>
          <w:szCs w:val="24"/>
        </w:rPr>
        <w:t>Bioseb</w:t>
      </w:r>
      <w:proofErr w:type="spellEnd"/>
      <w:r w:rsidRPr="005E6068">
        <w:rPr>
          <w:szCs w:val="24"/>
        </w:rPr>
        <w:t xml:space="preserve">) was used to measure hindlimb grip strength. All habituation and testing </w:t>
      </w:r>
      <w:proofErr w:type="gramStart"/>
      <w:r w:rsidRPr="005E6068">
        <w:rPr>
          <w:szCs w:val="24"/>
        </w:rPr>
        <w:t>was</w:t>
      </w:r>
      <w:proofErr w:type="gramEnd"/>
      <w:r w:rsidRPr="005E6068">
        <w:rPr>
          <w:szCs w:val="24"/>
        </w:rPr>
        <w:t xml:space="preserve"> performed in the light cycle between 12:00 and 16:00 h. Grip strength was measured before injury and 3, 14, 28 and 60 days post-injury. Mice were restrained by the scruff of the neck and once both hind paws gripped the wire mesh, the mouse was slowly pulled away from the grip strength meter. The max pull force in grams was then recorded. </w:t>
      </w:r>
      <w:r w:rsidR="002F4A70">
        <w:rPr>
          <w:noProof/>
          <w:szCs w:val="24"/>
        </w:rPr>
        <w:lastRenderedPageBreak/>
        <w:drawing>
          <wp:inline distT="0" distB="0" distL="0" distR="0" wp14:anchorId="3984EC4F" wp14:editId="4FA30DEB">
            <wp:extent cx="5654040" cy="3689131"/>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4782" b="50281"/>
                    <a:stretch/>
                  </pic:blipFill>
                  <pic:spPr bwMode="auto">
                    <a:xfrm>
                      <a:off x="0" y="0"/>
                      <a:ext cx="5654566" cy="3689474"/>
                    </a:xfrm>
                    <a:prstGeom prst="rect">
                      <a:avLst/>
                    </a:prstGeom>
                    <a:noFill/>
                    <a:ln>
                      <a:noFill/>
                    </a:ln>
                    <a:extLst>
                      <a:ext uri="{53640926-AAD7-44D8-BBD7-CCE9431645EC}">
                        <a14:shadowObscured xmlns:a14="http://schemas.microsoft.com/office/drawing/2010/main"/>
                      </a:ext>
                    </a:extLst>
                  </pic:spPr>
                </pic:pic>
              </a:graphicData>
            </a:graphic>
          </wp:inline>
        </w:drawing>
      </w:r>
    </w:p>
    <w:p w14:paraId="442DED1E" w14:textId="77777777" w:rsidR="005E6068" w:rsidRPr="005E6068" w:rsidRDefault="005E6068" w:rsidP="005E6068">
      <w:pPr>
        <w:rPr>
          <w:szCs w:val="24"/>
        </w:rPr>
      </w:pPr>
      <w:r w:rsidRPr="005E6068">
        <w:rPr>
          <w:b/>
          <w:szCs w:val="24"/>
        </w:rPr>
        <w:t xml:space="preserve">Fig. S1. No overt changes in hindpaw placement following mild CCI. </w:t>
      </w:r>
      <w:r w:rsidRPr="005E6068">
        <w:rPr>
          <w:szCs w:val="24"/>
        </w:rPr>
        <w:t>All sham and CCI values ipsilateral and contralateral to injury are depicted as percent of baseline (BL) readings. (</w:t>
      </w:r>
      <w:r w:rsidRPr="005E6068">
        <w:rPr>
          <w:b/>
          <w:bCs/>
          <w:szCs w:val="24"/>
        </w:rPr>
        <w:t>A</w:t>
      </w:r>
      <w:r w:rsidRPr="005E6068">
        <w:rPr>
          <w:szCs w:val="24"/>
        </w:rPr>
        <w:t>) Stand time. (</w:t>
      </w:r>
      <w:r w:rsidRPr="005E6068">
        <w:rPr>
          <w:b/>
          <w:bCs/>
          <w:szCs w:val="24"/>
        </w:rPr>
        <w:t>B</w:t>
      </w:r>
      <w:r w:rsidRPr="005E6068">
        <w:rPr>
          <w:szCs w:val="24"/>
        </w:rPr>
        <w:t>) Swing time. (</w:t>
      </w:r>
      <w:r w:rsidRPr="005E6068">
        <w:rPr>
          <w:b/>
          <w:bCs/>
          <w:szCs w:val="24"/>
        </w:rPr>
        <w:t>C</w:t>
      </w:r>
      <w:r w:rsidRPr="005E6068">
        <w:rPr>
          <w:szCs w:val="24"/>
        </w:rPr>
        <w:t>) Intermediate toe spread. (</w:t>
      </w:r>
      <w:r w:rsidRPr="005E6068">
        <w:rPr>
          <w:b/>
          <w:bCs/>
          <w:szCs w:val="24"/>
        </w:rPr>
        <w:t>D</w:t>
      </w:r>
      <w:r w:rsidRPr="005E6068">
        <w:rPr>
          <w:szCs w:val="24"/>
        </w:rPr>
        <w:t>) Body Speed Variability. (</w:t>
      </w:r>
      <w:r w:rsidRPr="005E6068">
        <w:rPr>
          <w:b/>
          <w:bCs/>
          <w:szCs w:val="24"/>
        </w:rPr>
        <w:t>E</w:t>
      </w:r>
      <w:r w:rsidRPr="005E6068">
        <w:rPr>
          <w:szCs w:val="24"/>
        </w:rPr>
        <w:t>) Stand Index. (</w:t>
      </w:r>
      <w:r w:rsidRPr="005E6068">
        <w:rPr>
          <w:b/>
          <w:bCs/>
          <w:szCs w:val="24"/>
        </w:rPr>
        <w:t>F</w:t>
      </w:r>
      <w:r w:rsidRPr="005E6068">
        <w:rPr>
          <w:szCs w:val="24"/>
        </w:rPr>
        <w:t>) Print area. (</w:t>
      </w:r>
      <w:r w:rsidRPr="005E6068">
        <w:rPr>
          <w:b/>
          <w:bCs/>
          <w:szCs w:val="24"/>
        </w:rPr>
        <w:t>G</w:t>
      </w:r>
      <w:r w:rsidRPr="005E6068">
        <w:rPr>
          <w:szCs w:val="24"/>
        </w:rPr>
        <w:t>) Swing Speed. (</w:t>
      </w:r>
      <w:r w:rsidRPr="005E6068">
        <w:rPr>
          <w:b/>
          <w:bCs/>
          <w:szCs w:val="24"/>
        </w:rPr>
        <w:t>H</w:t>
      </w:r>
      <w:r w:rsidRPr="005E6068">
        <w:rPr>
          <w:szCs w:val="24"/>
        </w:rPr>
        <w:t>) Stride length. (</w:t>
      </w:r>
      <w:r w:rsidRPr="005E6068">
        <w:rPr>
          <w:b/>
          <w:bCs/>
          <w:szCs w:val="24"/>
        </w:rPr>
        <w:t>I</w:t>
      </w:r>
      <w:r w:rsidRPr="005E6068">
        <w:rPr>
          <w:szCs w:val="24"/>
        </w:rPr>
        <w:t>) Step cycle. (</w:t>
      </w:r>
      <w:r w:rsidRPr="005E6068">
        <w:rPr>
          <w:b/>
          <w:bCs/>
          <w:szCs w:val="24"/>
        </w:rPr>
        <w:t>J</w:t>
      </w:r>
      <w:r w:rsidRPr="005E6068">
        <w:rPr>
          <w:szCs w:val="24"/>
        </w:rPr>
        <w:t>) Body speed. (</w:t>
      </w:r>
      <w:r w:rsidRPr="005E6068">
        <w:rPr>
          <w:b/>
          <w:bCs/>
          <w:szCs w:val="24"/>
        </w:rPr>
        <w:t>K</w:t>
      </w:r>
      <w:r w:rsidRPr="005E6068">
        <w:rPr>
          <w:szCs w:val="24"/>
        </w:rPr>
        <w:t>) Single Stance Time. (</w:t>
      </w:r>
      <w:r w:rsidRPr="005E6068">
        <w:rPr>
          <w:b/>
          <w:bCs/>
          <w:szCs w:val="24"/>
        </w:rPr>
        <w:t>L</w:t>
      </w:r>
      <w:r w:rsidRPr="005E6068">
        <w:rPr>
          <w:szCs w:val="24"/>
        </w:rPr>
        <w:t>) Dual Stance Time. (</w:t>
      </w:r>
      <w:r w:rsidRPr="005E6068">
        <w:rPr>
          <w:b/>
          <w:bCs/>
          <w:szCs w:val="24"/>
        </w:rPr>
        <w:t>M</w:t>
      </w:r>
      <w:r w:rsidRPr="005E6068">
        <w:rPr>
          <w:szCs w:val="24"/>
        </w:rPr>
        <w:t>) Average speed. (</w:t>
      </w:r>
      <w:r w:rsidRPr="00D75715">
        <w:rPr>
          <w:b/>
          <w:bCs/>
          <w:szCs w:val="24"/>
        </w:rPr>
        <w:t>N</w:t>
      </w:r>
      <w:r w:rsidRPr="005E6068">
        <w:rPr>
          <w:szCs w:val="24"/>
        </w:rPr>
        <w:t>) Regularity index. (</w:t>
      </w:r>
      <w:r w:rsidRPr="00D75715">
        <w:rPr>
          <w:b/>
          <w:bCs/>
          <w:szCs w:val="24"/>
        </w:rPr>
        <w:t>O</w:t>
      </w:r>
      <w:r w:rsidRPr="005E6068">
        <w:rPr>
          <w:szCs w:val="24"/>
        </w:rPr>
        <w:t>) Sciatic Static Index. Mean ± SEM, n=8 per group.</w:t>
      </w:r>
    </w:p>
    <w:p w14:paraId="30EE7C9A" w14:textId="3D59C2DE" w:rsidR="002F4A70" w:rsidRDefault="002F4A70">
      <w:pPr>
        <w:rPr>
          <w:b/>
          <w:szCs w:val="24"/>
          <w:highlight w:val="yellow"/>
        </w:rPr>
      </w:pPr>
      <w:r>
        <w:rPr>
          <w:b/>
          <w:szCs w:val="24"/>
          <w:highlight w:val="yellow"/>
        </w:rPr>
        <w:br w:type="page"/>
      </w:r>
    </w:p>
    <w:p w14:paraId="379597F7" w14:textId="181A2AD1" w:rsidR="005E6068" w:rsidRPr="005E6068" w:rsidRDefault="002F4A70" w:rsidP="005E6068">
      <w:pPr>
        <w:rPr>
          <w:b/>
          <w:szCs w:val="24"/>
          <w:highlight w:val="yellow"/>
        </w:rPr>
      </w:pPr>
      <w:r w:rsidRPr="002F4A70">
        <w:rPr>
          <w:b/>
          <w:noProof/>
          <w:szCs w:val="24"/>
        </w:rPr>
        <w:lastRenderedPageBreak/>
        <w:drawing>
          <wp:inline distT="0" distB="0" distL="0" distR="0" wp14:anchorId="098A3FAC" wp14:editId="429B000E">
            <wp:extent cx="5843270" cy="2091559"/>
            <wp:effectExtent l="0" t="0" r="508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596" b="71812"/>
                    <a:stretch/>
                  </pic:blipFill>
                  <pic:spPr bwMode="auto">
                    <a:xfrm>
                      <a:off x="0" y="0"/>
                      <a:ext cx="5843752" cy="2091732"/>
                    </a:xfrm>
                    <a:prstGeom prst="rect">
                      <a:avLst/>
                    </a:prstGeom>
                    <a:noFill/>
                    <a:ln>
                      <a:noFill/>
                    </a:ln>
                    <a:extLst>
                      <a:ext uri="{53640926-AAD7-44D8-BBD7-CCE9431645EC}">
                        <a14:shadowObscured xmlns:a14="http://schemas.microsoft.com/office/drawing/2010/main"/>
                      </a:ext>
                    </a:extLst>
                  </pic:spPr>
                </pic:pic>
              </a:graphicData>
            </a:graphic>
          </wp:inline>
        </w:drawing>
      </w:r>
    </w:p>
    <w:p w14:paraId="482EFE94" w14:textId="44B0DA58" w:rsidR="002F4A70" w:rsidRDefault="005E6068" w:rsidP="005E6068">
      <w:pPr>
        <w:rPr>
          <w:szCs w:val="24"/>
        </w:rPr>
      </w:pPr>
      <w:r w:rsidRPr="005E6068">
        <w:rPr>
          <w:b/>
          <w:szCs w:val="24"/>
        </w:rPr>
        <w:t xml:space="preserve">Fig. S2. Supplementary gait indices in mice subjected to muscle contusion or polytrauma. </w:t>
      </w:r>
      <w:r w:rsidRPr="005E6068">
        <w:rPr>
          <w:szCs w:val="24"/>
        </w:rPr>
        <w:t>(</w:t>
      </w:r>
      <w:r w:rsidRPr="00D75715">
        <w:rPr>
          <w:b/>
          <w:bCs/>
          <w:szCs w:val="24"/>
        </w:rPr>
        <w:t>A-E</w:t>
      </w:r>
      <w:r w:rsidRPr="005E6068">
        <w:rPr>
          <w:szCs w:val="24"/>
        </w:rPr>
        <w:t>) Gait metrics from ipsilateral hindpaws of mice subjected to 1 mm contusion alone, 1 mm polytrauma or uninjured controls. (</w:t>
      </w:r>
      <w:r w:rsidRPr="00D75715">
        <w:rPr>
          <w:b/>
          <w:bCs/>
          <w:szCs w:val="24"/>
        </w:rPr>
        <w:t>F-J</w:t>
      </w:r>
      <w:r w:rsidRPr="005E6068">
        <w:rPr>
          <w:szCs w:val="24"/>
        </w:rPr>
        <w:t xml:space="preserve">) Gait metrics from ipsilateral hindpaws of mice subjected to 3 mm contusion alone, 3 mm polytrauma or uninjured controls. Control values re-plotted from panels </w:t>
      </w:r>
      <w:r w:rsidRPr="00D75715">
        <w:rPr>
          <w:szCs w:val="24"/>
        </w:rPr>
        <w:t>A-E</w:t>
      </w:r>
      <w:r w:rsidRPr="005E6068">
        <w:rPr>
          <w:szCs w:val="24"/>
        </w:rPr>
        <w:t>. (</w:t>
      </w:r>
      <w:r w:rsidRPr="00D75715">
        <w:rPr>
          <w:b/>
          <w:bCs/>
          <w:szCs w:val="24"/>
        </w:rPr>
        <w:t>A, F</w:t>
      </w:r>
      <w:r w:rsidRPr="005E6068">
        <w:rPr>
          <w:szCs w:val="24"/>
        </w:rPr>
        <w:t>) Swing speed. (</w:t>
      </w:r>
      <w:r w:rsidRPr="00D75715">
        <w:rPr>
          <w:b/>
          <w:bCs/>
          <w:szCs w:val="24"/>
        </w:rPr>
        <w:t>B, G</w:t>
      </w:r>
      <w:r w:rsidRPr="005E6068">
        <w:rPr>
          <w:szCs w:val="24"/>
        </w:rPr>
        <w:t>) Stride length. (</w:t>
      </w:r>
      <w:r w:rsidRPr="00D75715">
        <w:rPr>
          <w:b/>
          <w:bCs/>
          <w:szCs w:val="24"/>
        </w:rPr>
        <w:t>C, H</w:t>
      </w:r>
      <w:r w:rsidRPr="005E6068">
        <w:rPr>
          <w:szCs w:val="24"/>
        </w:rPr>
        <w:t>) Step cycle time. (</w:t>
      </w:r>
      <w:r w:rsidRPr="00D75715">
        <w:rPr>
          <w:b/>
          <w:bCs/>
          <w:szCs w:val="24"/>
        </w:rPr>
        <w:t>D, I</w:t>
      </w:r>
      <w:r w:rsidRPr="005E6068">
        <w:rPr>
          <w:szCs w:val="24"/>
        </w:rPr>
        <w:t>) Intermediate toe spread. (</w:t>
      </w:r>
      <w:r w:rsidRPr="00D75715">
        <w:rPr>
          <w:b/>
          <w:bCs/>
          <w:szCs w:val="24"/>
        </w:rPr>
        <w:t>E, J</w:t>
      </w:r>
      <w:r w:rsidRPr="005E6068">
        <w:rPr>
          <w:szCs w:val="24"/>
        </w:rPr>
        <w:t>) Print Length. Mean ± SEM, n=8 per group.</w:t>
      </w:r>
    </w:p>
    <w:p w14:paraId="4FB52DF2" w14:textId="77777777" w:rsidR="002F4A70" w:rsidRDefault="002F4A70">
      <w:pPr>
        <w:rPr>
          <w:szCs w:val="24"/>
        </w:rPr>
      </w:pPr>
      <w:r>
        <w:rPr>
          <w:szCs w:val="24"/>
        </w:rPr>
        <w:br w:type="page"/>
      </w:r>
    </w:p>
    <w:p w14:paraId="4DE95D6A" w14:textId="598925F2" w:rsidR="005E6068" w:rsidRPr="005E6068" w:rsidRDefault="002F4A70" w:rsidP="002F4A70">
      <w:pPr>
        <w:jc w:val="center"/>
        <w:rPr>
          <w:b/>
          <w:szCs w:val="24"/>
          <w:highlight w:val="yellow"/>
        </w:rPr>
      </w:pPr>
      <w:r>
        <w:rPr>
          <w:b/>
          <w:noProof/>
          <w:szCs w:val="24"/>
          <w:highlight w:val="yellow"/>
        </w:rPr>
        <w:lastRenderedPageBreak/>
        <w:drawing>
          <wp:inline distT="0" distB="0" distL="0" distR="0" wp14:anchorId="49AA32E3" wp14:editId="0C098B58">
            <wp:extent cx="3846642" cy="6800365"/>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2834" b="19122"/>
                    <a:stretch/>
                  </pic:blipFill>
                  <pic:spPr bwMode="auto">
                    <a:xfrm>
                      <a:off x="0" y="0"/>
                      <a:ext cx="3859707" cy="6823461"/>
                    </a:xfrm>
                    <a:prstGeom prst="rect">
                      <a:avLst/>
                    </a:prstGeom>
                    <a:noFill/>
                    <a:ln>
                      <a:noFill/>
                    </a:ln>
                    <a:extLst>
                      <a:ext uri="{53640926-AAD7-44D8-BBD7-CCE9431645EC}">
                        <a14:shadowObscured xmlns:a14="http://schemas.microsoft.com/office/drawing/2010/main"/>
                      </a:ext>
                    </a:extLst>
                  </pic:spPr>
                </pic:pic>
              </a:graphicData>
            </a:graphic>
          </wp:inline>
        </w:drawing>
      </w:r>
    </w:p>
    <w:p w14:paraId="0CB189B2" w14:textId="2902F825" w:rsidR="002F4A70" w:rsidRDefault="005E6068" w:rsidP="005E6068">
      <w:pPr>
        <w:rPr>
          <w:szCs w:val="24"/>
        </w:rPr>
      </w:pPr>
      <w:r w:rsidRPr="005E6068">
        <w:rPr>
          <w:b/>
          <w:szCs w:val="24"/>
        </w:rPr>
        <w:t xml:space="preserve">Fig. S3. Confirmation of significant gait disturbances detectable in SNI mice. </w:t>
      </w:r>
      <w:r w:rsidRPr="005E6068">
        <w:rPr>
          <w:szCs w:val="24"/>
        </w:rPr>
        <w:t>14 days after surgery, 7 sham surgery controls and 8 SNI mice were tested in Catwalk. In contrast to CCI and polytrauma, significant gait disturbances were detected in SNI mice. Significantly increased print length (</w:t>
      </w:r>
      <w:r w:rsidRPr="00D75715">
        <w:rPr>
          <w:b/>
          <w:bCs/>
          <w:szCs w:val="24"/>
        </w:rPr>
        <w:t>A</w:t>
      </w:r>
      <w:r w:rsidRPr="005E6068">
        <w:rPr>
          <w:szCs w:val="24"/>
        </w:rPr>
        <w:t>), Step cycle (</w:t>
      </w:r>
      <w:r w:rsidRPr="00D75715">
        <w:rPr>
          <w:b/>
          <w:bCs/>
          <w:szCs w:val="24"/>
        </w:rPr>
        <w:t>F</w:t>
      </w:r>
      <w:r w:rsidRPr="005E6068">
        <w:rPr>
          <w:szCs w:val="24"/>
        </w:rPr>
        <w:t>), Stand index (</w:t>
      </w:r>
      <w:r w:rsidRPr="00D75715">
        <w:rPr>
          <w:b/>
          <w:bCs/>
          <w:szCs w:val="24"/>
        </w:rPr>
        <w:t>H</w:t>
      </w:r>
      <w:r w:rsidRPr="005E6068">
        <w:rPr>
          <w:szCs w:val="24"/>
        </w:rPr>
        <w:t>) and swing time (</w:t>
      </w:r>
      <w:r w:rsidRPr="00D75715">
        <w:rPr>
          <w:b/>
          <w:bCs/>
          <w:szCs w:val="24"/>
        </w:rPr>
        <w:t>I</w:t>
      </w:r>
      <w:r w:rsidRPr="005E6068">
        <w:rPr>
          <w:szCs w:val="24"/>
        </w:rPr>
        <w:t>). Significantly reduced print width (</w:t>
      </w:r>
      <w:r w:rsidRPr="00D75715">
        <w:rPr>
          <w:b/>
          <w:bCs/>
          <w:szCs w:val="24"/>
        </w:rPr>
        <w:t>B</w:t>
      </w:r>
      <w:r w:rsidRPr="005E6068">
        <w:rPr>
          <w:szCs w:val="24"/>
        </w:rPr>
        <w:t>), print area (</w:t>
      </w:r>
      <w:r w:rsidRPr="00D75715">
        <w:rPr>
          <w:b/>
          <w:bCs/>
          <w:szCs w:val="24"/>
        </w:rPr>
        <w:t>C</w:t>
      </w:r>
      <w:r w:rsidRPr="005E6068">
        <w:rPr>
          <w:szCs w:val="24"/>
        </w:rPr>
        <w:t>), swing speed (</w:t>
      </w:r>
      <w:r w:rsidRPr="00D75715">
        <w:rPr>
          <w:b/>
          <w:bCs/>
          <w:szCs w:val="24"/>
        </w:rPr>
        <w:t>D</w:t>
      </w:r>
      <w:r w:rsidRPr="005E6068">
        <w:rPr>
          <w:szCs w:val="24"/>
        </w:rPr>
        <w:t>), stand time (</w:t>
      </w:r>
      <w:r w:rsidRPr="00D75715">
        <w:rPr>
          <w:b/>
          <w:bCs/>
          <w:szCs w:val="24"/>
        </w:rPr>
        <w:t>G</w:t>
      </w:r>
      <w:r w:rsidRPr="005E6068">
        <w:rPr>
          <w:szCs w:val="24"/>
        </w:rPr>
        <w:t>), single stance time (</w:t>
      </w:r>
      <w:r w:rsidRPr="00D75715">
        <w:rPr>
          <w:b/>
          <w:bCs/>
          <w:szCs w:val="24"/>
        </w:rPr>
        <w:t>J</w:t>
      </w:r>
      <w:r w:rsidRPr="005E6068">
        <w:rPr>
          <w:szCs w:val="24"/>
        </w:rPr>
        <w:t>), max contact area (</w:t>
      </w:r>
      <w:r w:rsidRPr="00D75715">
        <w:rPr>
          <w:b/>
          <w:bCs/>
          <w:szCs w:val="24"/>
        </w:rPr>
        <w:t>K</w:t>
      </w:r>
      <w:r w:rsidRPr="005E6068">
        <w:rPr>
          <w:szCs w:val="24"/>
        </w:rPr>
        <w:t>), max/mean intensity (</w:t>
      </w:r>
      <w:r w:rsidRPr="00D75715">
        <w:rPr>
          <w:b/>
          <w:bCs/>
          <w:szCs w:val="24"/>
        </w:rPr>
        <w:t>L-M</w:t>
      </w:r>
      <w:r w:rsidRPr="005E6068">
        <w:rPr>
          <w:szCs w:val="24"/>
        </w:rPr>
        <w:t>), average speed (</w:t>
      </w:r>
      <w:r w:rsidRPr="00D75715">
        <w:rPr>
          <w:b/>
          <w:bCs/>
          <w:szCs w:val="24"/>
        </w:rPr>
        <w:t>N</w:t>
      </w:r>
      <w:r w:rsidRPr="005E6068">
        <w:rPr>
          <w:szCs w:val="24"/>
        </w:rPr>
        <w:t>) and sciatic static index (</w:t>
      </w:r>
      <w:r w:rsidRPr="00D75715">
        <w:rPr>
          <w:b/>
          <w:bCs/>
          <w:szCs w:val="24"/>
        </w:rPr>
        <w:t>P</w:t>
      </w:r>
      <w:r w:rsidRPr="005E6068">
        <w:rPr>
          <w:szCs w:val="24"/>
        </w:rPr>
        <w:t>). No significant change in stride length (</w:t>
      </w:r>
      <w:r w:rsidRPr="00D75715">
        <w:rPr>
          <w:b/>
          <w:bCs/>
          <w:szCs w:val="24"/>
        </w:rPr>
        <w:t>E</w:t>
      </w:r>
      <w:r w:rsidRPr="005E6068">
        <w:rPr>
          <w:szCs w:val="24"/>
        </w:rPr>
        <w:t>) or maximum speed variation (</w:t>
      </w:r>
      <w:r w:rsidRPr="00D75715">
        <w:rPr>
          <w:b/>
          <w:bCs/>
          <w:szCs w:val="24"/>
        </w:rPr>
        <w:t>O</w:t>
      </w:r>
      <w:r w:rsidRPr="005E6068">
        <w:rPr>
          <w:szCs w:val="24"/>
        </w:rPr>
        <w:t>). */**/*** p=&lt;.05, .01, .001, unpaired T-test.</w:t>
      </w:r>
    </w:p>
    <w:p w14:paraId="76DD75F4" w14:textId="65336D3B" w:rsidR="005E6068" w:rsidRPr="005E6068" w:rsidRDefault="002F4A70" w:rsidP="005E6068">
      <w:pPr>
        <w:rPr>
          <w:szCs w:val="24"/>
        </w:rPr>
      </w:pPr>
      <w:r>
        <w:rPr>
          <w:szCs w:val="24"/>
        </w:rPr>
        <w:br w:type="page"/>
      </w:r>
      <w:r>
        <w:rPr>
          <w:noProof/>
          <w:szCs w:val="24"/>
        </w:rPr>
        <w:lastRenderedPageBreak/>
        <w:drawing>
          <wp:inline distT="0" distB="0" distL="0" distR="0" wp14:anchorId="6AA748FE" wp14:editId="2700C781">
            <wp:extent cx="5872573" cy="230176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3365" b="69689"/>
                    <a:stretch/>
                  </pic:blipFill>
                  <pic:spPr bwMode="auto">
                    <a:xfrm>
                      <a:off x="0" y="0"/>
                      <a:ext cx="5874477" cy="2302512"/>
                    </a:xfrm>
                    <a:prstGeom prst="rect">
                      <a:avLst/>
                    </a:prstGeom>
                    <a:noFill/>
                    <a:ln>
                      <a:noFill/>
                    </a:ln>
                    <a:extLst>
                      <a:ext uri="{53640926-AAD7-44D8-BBD7-CCE9431645EC}">
                        <a14:shadowObscured xmlns:a14="http://schemas.microsoft.com/office/drawing/2010/main"/>
                      </a:ext>
                    </a:extLst>
                  </pic:spPr>
                </pic:pic>
              </a:graphicData>
            </a:graphic>
          </wp:inline>
        </w:drawing>
      </w:r>
    </w:p>
    <w:p w14:paraId="1303F26A" w14:textId="77777777" w:rsidR="005E6068" w:rsidRPr="005E6068" w:rsidRDefault="005E6068" w:rsidP="005E6068">
      <w:pPr>
        <w:rPr>
          <w:szCs w:val="24"/>
        </w:rPr>
      </w:pPr>
      <w:r w:rsidRPr="005E6068">
        <w:rPr>
          <w:b/>
          <w:szCs w:val="24"/>
        </w:rPr>
        <w:t xml:space="preserve">Fig. S4. Mild CCI alone is associated with macrophage accumulation in the sciatic nerve. </w:t>
      </w:r>
      <w:r w:rsidRPr="005E6068">
        <w:rPr>
          <w:szCs w:val="24"/>
        </w:rPr>
        <w:t>(</w:t>
      </w:r>
      <w:r w:rsidRPr="00D75715">
        <w:rPr>
          <w:b/>
          <w:bCs/>
          <w:szCs w:val="24"/>
        </w:rPr>
        <w:t>A</w:t>
      </w:r>
      <w:r w:rsidRPr="005E6068">
        <w:rPr>
          <w:szCs w:val="24"/>
        </w:rPr>
        <w:t>) Increased CD68</w:t>
      </w:r>
      <w:r w:rsidRPr="005E6068">
        <w:rPr>
          <w:szCs w:val="24"/>
          <w:vertAlign w:val="superscript"/>
        </w:rPr>
        <w:t>+</w:t>
      </w:r>
      <w:r w:rsidRPr="005E6068">
        <w:rPr>
          <w:szCs w:val="24"/>
        </w:rPr>
        <w:t xml:space="preserve"> signal density (red) is observed in ipsilateral sciatic nerve 14 days after CCI versus sham surgery controls. PGP9.5 neuronal marker (green), DAPI (blue). Scale bar: 200 µm. (</w:t>
      </w:r>
      <w:r w:rsidRPr="00D75715">
        <w:rPr>
          <w:b/>
          <w:bCs/>
          <w:szCs w:val="24"/>
        </w:rPr>
        <w:t>B</w:t>
      </w:r>
      <w:r w:rsidRPr="005E6068">
        <w:rPr>
          <w:szCs w:val="24"/>
        </w:rPr>
        <w:t xml:space="preserve">) Quantification of CD68 density within sciatic nerves following sham or CCI surgery at </w:t>
      </w:r>
      <w:proofErr w:type="gramStart"/>
      <w:r w:rsidRPr="005E6068">
        <w:rPr>
          <w:szCs w:val="24"/>
        </w:rPr>
        <w:t>3, 14 and 28 days</w:t>
      </w:r>
      <w:proofErr w:type="gramEnd"/>
      <w:r w:rsidRPr="005E6068">
        <w:rPr>
          <w:szCs w:val="24"/>
        </w:rPr>
        <w:t xml:space="preserve"> post-injury. Values expressed as percent of PGP9.5</w:t>
      </w:r>
      <w:r w:rsidRPr="005E6068">
        <w:rPr>
          <w:szCs w:val="24"/>
          <w:vertAlign w:val="superscript"/>
        </w:rPr>
        <w:t>+</w:t>
      </w:r>
      <w:r w:rsidRPr="005E6068">
        <w:rPr>
          <w:szCs w:val="24"/>
        </w:rPr>
        <w:t xml:space="preserve"> area that co-registered as positive for CD68. Group n=6, derived from 2-3 biological replicates. Error bars = mean ± SEM, dpi = days post-injury, * p=&lt;0.05 ‘CCI’ versus respective ‘sham’ timepoint value. Two-way ANOVA, </w:t>
      </w:r>
      <w:proofErr w:type="spellStart"/>
      <w:r w:rsidRPr="005E6068">
        <w:rPr>
          <w:szCs w:val="24"/>
        </w:rPr>
        <w:t>Šídák's</w:t>
      </w:r>
      <w:proofErr w:type="spellEnd"/>
      <w:r w:rsidRPr="005E6068">
        <w:rPr>
          <w:szCs w:val="24"/>
        </w:rPr>
        <w:t xml:space="preserve"> multiple comparisons test.</w:t>
      </w:r>
    </w:p>
    <w:p w14:paraId="19778A1A" w14:textId="57130024" w:rsidR="002F4A70" w:rsidRDefault="002F4A70">
      <w:pPr>
        <w:rPr>
          <w:b/>
          <w:szCs w:val="24"/>
          <w:highlight w:val="yellow"/>
        </w:rPr>
      </w:pPr>
      <w:r>
        <w:rPr>
          <w:b/>
          <w:szCs w:val="24"/>
          <w:highlight w:val="yellow"/>
        </w:rPr>
        <w:br w:type="page"/>
      </w:r>
    </w:p>
    <w:p w14:paraId="0EF94C2F" w14:textId="001F21B1" w:rsidR="005E6068" w:rsidRPr="005E6068" w:rsidRDefault="002F4A70" w:rsidP="005E6068">
      <w:pPr>
        <w:rPr>
          <w:b/>
          <w:szCs w:val="24"/>
          <w:highlight w:val="yellow"/>
        </w:rPr>
      </w:pPr>
      <w:r w:rsidRPr="00485A86">
        <w:rPr>
          <w:b/>
          <w:noProof/>
          <w:szCs w:val="24"/>
        </w:rPr>
        <w:lastRenderedPageBreak/>
        <w:drawing>
          <wp:inline distT="0" distB="0" distL="0" distR="0" wp14:anchorId="123621DE" wp14:editId="65C7A58F">
            <wp:extent cx="5938520" cy="4477407"/>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9662"/>
                    <a:stretch/>
                  </pic:blipFill>
                  <pic:spPr bwMode="auto">
                    <a:xfrm>
                      <a:off x="0" y="0"/>
                      <a:ext cx="5938520" cy="4477407"/>
                    </a:xfrm>
                    <a:prstGeom prst="rect">
                      <a:avLst/>
                    </a:prstGeom>
                    <a:noFill/>
                    <a:ln>
                      <a:noFill/>
                    </a:ln>
                    <a:extLst>
                      <a:ext uri="{53640926-AAD7-44D8-BBD7-CCE9431645EC}">
                        <a14:shadowObscured xmlns:a14="http://schemas.microsoft.com/office/drawing/2010/main"/>
                      </a:ext>
                    </a:extLst>
                  </pic:spPr>
                </pic:pic>
              </a:graphicData>
            </a:graphic>
          </wp:inline>
        </w:drawing>
      </w:r>
    </w:p>
    <w:p w14:paraId="19F9C6C3" w14:textId="087B91AC" w:rsidR="005E6068" w:rsidRPr="005E6068" w:rsidRDefault="005E6068" w:rsidP="005E6068">
      <w:pPr>
        <w:rPr>
          <w:szCs w:val="24"/>
        </w:rPr>
      </w:pPr>
      <w:r w:rsidRPr="005E6068">
        <w:rPr>
          <w:b/>
          <w:szCs w:val="24"/>
        </w:rPr>
        <w:t xml:space="preserve">Fig. S5. Time course of dermis subjected to 1 mm contusion or 1 mm polytrauma. </w:t>
      </w:r>
      <w:r w:rsidRPr="005E6068">
        <w:rPr>
          <w:szCs w:val="24"/>
        </w:rPr>
        <w:t>Increased macrophage density in 1 mm polytrauma dermis versus 1 mm contusion alone. Rows 1-2: 3 days post-injury. Rows 3-4: 14 days post-injury. Rows 5-6: 28 days post-injury. Scale bar: 200 µm.</w:t>
      </w:r>
    </w:p>
    <w:p w14:paraId="1E4AECFA" w14:textId="63F2598E" w:rsidR="002F4A70" w:rsidRDefault="002F4A70">
      <w:pPr>
        <w:rPr>
          <w:b/>
          <w:szCs w:val="24"/>
          <w:highlight w:val="yellow"/>
        </w:rPr>
      </w:pPr>
      <w:r>
        <w:rPr>
          <w:b/>
          <w:szCs w:val="24"/>
          <w:highlight w:val="yellow"/>
        </w:rPr>
        <w:br w:type="page"/>
      </w:r>
    </w:p>
    <w:p w14:paraId="6362978B" w14:textId="369537ED" w:rsidR="005E6068" w:rsidRPr="005E6068" w:rsidRDefault="002F4A70" w:rsidP="005E6068">
      <w:pPr>
        <w:rPr>
          <w:b/>
          <w:szCs w:val="24"/>
          <w:highlight w:val="yellow"/>
        </w:rPr>
      </w:pPr>
      <w:r w:rsidRPr="002F4A70">
        <w:rPr>
          <w:b/>
          <w:noProof/>
          <w:szCs w:val="24"/>
        </w:rPr>
        <w:lastRenderedPageBreak/>
        <w:drawing>
          <wp:inline distT="0" distB="0" distL="0" distR="0" wp14:anchorId="0F30B1EF" wp14:editId="6399E013">
            <wp:extent cx="5402317" cy="7514963"/>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44781" b="38528"/>
                    <a:stretch/>
                  </pic:blipFill>
                  <pic:spPr bwMode="auto">
                    <a:xfrm>
                      <a:off x="0" y="0"/>
                      <a:ext cx="5411660" cy="7527959"/>
                    </a:xfrm>
                    <a:prstGeom prst="rect">
                      <a:avLst/>
                    </a:prstGeom>
                    <a:noFill/>
                    <a:ln>
                      <a:noFill/>
                    </a:ln>
                    <a:extLst>
                      <a:ext uri="{53640926-AAD7-44D8-BBD7-CCE9431645EC}">
                        <a14:shadowObscured xmlns:a14="http://schemas.microsoft.com/office/drawing/2010/main"/>
                      </a:ext>
                    </a:extLst>
                  </pic:spPr>
                </pic:pic>
              </a:graphicData>
            </a:graphic>
          </wp:inline>
        </w:drawing>
      </w:r>
    </w:p>
    <w:p w14:paraId="3B71E6E5" w14:textId="3AC91173" w:rsidR="005E6068" w:rsidRPr="005E6068" w:rsidRDefault="005E6068" w:rsidP="005E6068">
      <w:pPr>
        <w:rPr>
          <w:szCs w:val="24"/>
        </w:rPr>
      </w:pPr>
      <w:r w:rsidRPr="005E6068">
        <w:rPr>
          <w:b/>
          <w:szCs w:val="24"/>
        </w:rPr>
        <w:t xml:space="preserve">Fig. S6. Time course of biceps femoris muscle subjected to 1 mm contusion or 1 mm polytrauma. </w:t>
      </w:r>
      <w:r w:rsidRPr="005E6068">
        <w:rPr>
          <w:szCs w:val="24"/>
        </w:rPr>
        <w:t>Increased macrophage density in 1 mm polytrauma biceps femoris muscle versus 1 mm contusion alone. Rows 1-2: 3 days post-injury. Rows 3-4: 14 days post-injury. Rows 5-6: 28 days post-injury. Scale bar: 100 µm.</w:t>
      </w:r>
    </w:p>
    <w:p w14:paraId="095EEACC" w14:textId="287A0C03" w:rsidR="005E6068" w:rsidRPr="005E6068" w:rsidRDefault="002F4A70" w:rsidP="005E6068">
      <w:pPr>
        <w:rPr>
          <w:b/>
          <w:szCs w:val="24"/>
        </w:rPr>
      </w:pPr>
      <w:r>
        <w:rPr>
          <w:b/>
          <w:noProof/>
          <w:szCs w:val="24"/>
        </w:rPr>
        <w:lastRenderedPageBreak/>
        <w:drawing>
          <wp:inline distT="0" distB="0" distL="0" distR="0" wp14:anchorId="71517245" wp14:editId="71DC4DBF">
            <wp:extent cx="5370786" cy="7452341"/>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67" r="41064" b="33988"/>
                    <a:stretch/>
                  </pic:blipFill>
                  <pic:spPr bwMode="auto">
                    <a:xfrm>
                      <a:off x="0" y="0"/>
                      <a:ext cx="5398936" cy="7491401"/>
                    </a:xfrm>
                    <a:prstGeom prst="rect">
                      <a:avLst/>
                    </a:prstGeom>
                    <a:noFill/>
                    <a:ln>
                      <a:noFill/>
                    </a:ln>
                    <a:extLst>
                      <a:ext uri="{53640926-AAD7-44D8-BBD7-CCE9431645EC}">
                        <a14:shadowObscured xmlns:a14="http://schemas.microsoft.com/office/drawing/2010/main"/>
                      </a:ext>
                    </a:extLst>
                  </pic:spPr>
                </pic:pic>
              </a:graphicData>
            </a:graphic>
          </wp:inline>
        </w:drawing>
      </w:r>
    </w:p>
    <w:p w14:paraId="5A2FC9AB" w14:textId="2E539DA7" w:rsidR="005E6068" w:rsidRPr="005E6068" w:rsidRDefault="005E6068" w:rsidP="005E6068">
      <w:pPr>
        <w:rPr>
          <w:b/>
          <w:szCs w:val="24"/>
          <w:highlight w:val="yellow"/>
        </w:rPr>
      </w:pPr>
      <w:r w:rsidRPr="005E6068">
        <w:rPr>
          <w:b/>
          <w:szCs w:val="24"/>
        </w:rPr>
        <w:t xml:space="preserve">Fig. S7. Time course of gastrocnemius muscle subjected to 1 mm contusion or 1 mm polytrauma. </w:t>
      </w:r>
      <w:r w:rsidRPr="005E6068">
        <w:rPr>
          <w:bCs/>
          <w:szCs w:val="24"/>
        </w:rPr>
        <w:t>Increased macrophage density in 1mm polytrauma gastrocnemius</w:t>
      </w:r>
      <w:r w:rsidRPr="005E6068">
        <w:rPr>
          <w:szCs w:val="24"/>
        </w:rPr>
        <w:t xml:space="preserve"> muscle versus 1 mm contusion alone. Rows 1-2: 3 days post-injury. Rows 3-4: 14 days post-injury. Rows 5-6: 28 days post-injury. Scale bar: 100 µm.</w:t>
      </w:r>
    </w:p>
    <w:p w14:paraId="525B23FC" w14:textId="33E6E446" w:rsidR="005E6068" w:rsidRPr="005E6068" w:rsidRDefault="00485A86" w:rsidP="005E6068">
      <w:pPr>
        <w:rPr>
          <w:b/>
          <w:szCs w:val="24"/>
          <w:highlight w:val="yellow"/>
        </w:rPr>
      </w:pPr>
      <w:r>
        <w:rPr>
          <w:b/>
          <w:szCs w:val="24"/>
          <w:highlight w:val="yellow"/>
        </w:rPr>
        <w:br w:type="page"/>
      </w:r>
      <w:r w:rsidRPr="00485A86">
        <w:rPr>
          <w:b/>
          <w:noProof/>
          <w:szCs w:val="24"/>
        </w:rPr>
        <w:lastRenderedPageBreak/>
        <w:drawing>
          <wp:inline distT="0" distB="0" distL="0" distR="0" wp14:anchorId="153BB7C8" wp14:editId="699F396C">
            <wp:extent cx="5696607" cy="4754163"/>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5135" b="50000"/>
                    <a:stretch/>
                  </pic:blipFill>
                  <pic:spPr bwMode="auto">
                    <a:xfrm>
                      <a:off x="0" y="0"/>
                      <a:ext cx="5699221" cy="4756344"/>
                    </a:xfrm>
                    <a:prstGeom prst="rect">
                      <a:avLst/>
                    </a:prstGeom>
                    <a:noFill/>
                    <a:ln>
                      <a:noFill/>
                    </a:ln>
                    <a:extLst>
                      <a:ext uri="{53640926-AAD7-44D8-BBD7-CCE9431645EC}">
                        <a14:shadowObscured xmlns:a14="http://schemas.microsoft.com/office/drawing/2010/main"/>
                      </a:ext>
                    </a:extLst>
                  </pic:spPr>
                </pic:pic>
              </a:graphicData>
            </a:graphic>
          </wp:inline>
        </w:drawing>
      </w:r>
    </w:p>
    <w:p w14:paraId="4080A1B2" w14:textId="77777777" w:rsidR="005E6068" w:rsidRPr="005E6068" w:rsidRDefault="005E6068" w:rsidP="005E6068">
      <w:pPr>
        <w:rPr>
          <w:szCs w:val="24"/>
        </w:rPr>
      </w:pPr>
      <w:r w:rsidRPr="005E6068">
        <w:rPr>
          <w:b/>
          <w:szCs w:val="24"/>
        </w:rPr>
        <w:t xml:space="preserve">Fig. S8. </w:t>
      </w:r>
      <w:proofErr w:type="spellStart"/>
      <w:r w:rsidRPr="005E6068">
        <w:rPr>
          <w:b/>
          <w:szCs w:val="24"/>
        </w:rPr>
        <w:t>MaFIA</w:t>
      </w:r>
      <w:proofErr w:type="spellEnd"/>
      <w:r w:rsidRPr="005E6068">
        <w:rPr>
          <w:b/>
          <w:szCs w:val="24"/>
        </w:rPr>
        <w:t xml:space="preserve"> polytrauma mouse von Frey data shows similar effects across males and females. </w:t>
      </w:r>
      <w:r w:rsidRPr="005E6068">
        <w:rPr>
          <w:szCs w:val="24"/>
        </w:rPr>
        <w:t>(</w:t>
      </w:r>
      <w:r w:rsidRPr="00D75715">
        <w:rPr>
          <w:b/>
          <w:bCs/>
          <w:szCs w:val="24"/>
        </w:rPr>
        <w:t>A</w:t>
      </w:r>
      <w:r w:rsidRPr="005E6068">
        <w:rPr>
          <w:szCs w:val="24"/>
        </w:rPr>
        <w:t xml:space="preserve">) 1 mm polytrauma induces von Frey hypersensitivity in male mice 3d and 7d post-injury. Following 3 days of AP20187 (2mg/kg, </w:t>
      </w:r>
      <w:proofErr w:type="spellStart"/>
      <w:r w:rsidRPr="005E6068">
        <w:rPr>
          <w:szCs w:val="24"/>
        </w:rPr>
        <w:t>i.p.</w:t>
      </w:r>
      <w:proofErr w:type="spellEnd"/>
      <w:r w:rsidRPr="005E6068">
        <w:rPr>
          <w:szCs w:val="24"/>
        </w:rPr>
        <w:t>) or vehicle dosing, a significant reversal of hypersensitivity persists for up to 21d. (</w:t>
      </w:r>
      <w:r w:rsidRPr="00D75715">
        <w:rPr>
          <w:b/>
          <w:bCs/>
          <w:szCs w:val="24"/>
        </w:rPr>
        <w:t>B</w:t>
      </w:r>
      <w:r w:rsidRPr="005E6068">
        <w:rPr>
          <w:szCs w:val="24"/>
        </w:rPr>
        <w:t>) No significant effect of AP20187 on contralateral male hindlimbs. (</w:t>
      </w:r>
      <w:r w:rsidRPr="00D75715">
        <w:rPr>
          <w:b/>
          <w:bCs/>
          <w:szCs w:val="24"/>
        </w:rPr>
        <w:t>C</w:t>
      </w:r>
      <w:r w:rsidRPr="005E6068">
        <w:rPr>
          <w:szCs w:val="24"/>
        </w:rPr>
        <w:t>) 1 mm polytrauma induces hypersensitivity in female mice 3d and 7d post-injury. AP20187 is associated with a strong tendency to reversal of hypersensitivity up to 14d post-injury. (</w:t>
      </w:r>
      <w:r w:rsidRPr="00D75715">
        <w:rPr>
          <w:b/>
          <w:bCs/>
          <w:szCs w:val="24"/>
        </w:rPr>
        <w:t>D</w:t>
      </w:r>
      <w:r w:rsidRPr="005E6068">
        <w:rPr>
          <w:szCs w:val="24"/>
        </w:rPr>
        <w:t>) No significant effect of AP20187 on female contralateral hindlimb paw withdrawal thresholds.</w:t>
      </w:r>
    </w:p>
    <w:p w14:paraId="21C810B1" w14:textId="1C6AE437" w:rsidR="00485A86" w:rsidRDefault="00485A86">
      <w:pPr>
        <w:rPr>
          <w:szCs w:val="24"/>
        </w:rPr>
      </w:pPr>
      <w:r>
        <w:rPr>
          <w:szCs w:val="24"/>
        </w:rPr>
        <w:br w:type="page"/>
      </w:r>
    </w:p>
    <w:p w14:paraId="4BC1CEBF" w14:textId="35315762" w:rsidR="005E6068" w:rsidRPr="005E6068" w:rsidRDefault="00485A86" w:rsidP="005E6068">
      <w:pPr>
        <w:rPr>
          <w:szCs w:val="24"/>
        </w:rPr>
      </w:pPr>
      <w:r>
        <w:rPr>
          <w:noProof/>
          <w:szCs w:val="24"/>
        </w:rPr>
        <w:lastRenderedPageBreak/>
        <w:drawing>
          <wp:inline distT="0" distB="0" distL="0" distR="0" wp14:anchorId="720473D2" wp14:editId="567B7960">
            <wp:extent cx="5862467" cy="3836276"/>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4251" b="49858"/>
                    <a:stretch/>
                  </pic:blipFill>
                  <pic:spPr bwMode="auto">
                    <a:xfrm>
                      <a:off x="0" y="0"/>
                      <a:ext cx="5863875" cy="3837197"/>
                    </a:xfrm>
                    <a:prstGeom prst="rect">
                      <a:avLst/>
                    </a:prstGeom>
                    <a:noFill/>
                    <a:ln>
                      <a:noFill/>
                    </a:ln>
                    <a:extLst>
                      <a:ext uri="{53640926-AAD7-44D8-BBD7-CCE9431645EC}">
                        <a14:shadowObscured xmlns:a14="http://schemas.microsoft.com/office/drawing/2010/main"/>
                      </a:ext>
                    </a:extLst>
                  </pic:spPr>
                </pic:pic>
              </a:graphicData>
            </a:graphic>
          </wp:inline>
        </w:drawing>
      </w:r>
    </w:p>
    <w:p w14:paraId="133526C7" w14:textId="77777777" w:rsidR="005E6068" w:rsidRPr="005E6068" w:rsidRDefault="005E6068" w:rsidP="005E6068">
      <w:pPr>
        <w:rPr>
          <w:szCs w:val="24"/>
        </w:rPr>
      </w:pPr>
      <w:r w:rsidRPr="005E6068">
        <w:rPr>
          <w:b/>
          <w:szCs w:val="24"/>
        </w:rPr>
        <w:t xml:space="preserve">Fig. S9. Von Frey data for contralateral hindpaws of male and female polytrauma mice treated with DF-NE or CXB-NE. </w:t>
      </w:r>
      <w:r w:rsidRPr="005E6068">
        <w:rPr>
          <w:szCs w:val="24"/>
        </w:rPr>
        <w:t>No significant effect of DF-NE or CXB-NE on contralateral hindpaw paw withdrawal thresholds (</w:t>
      </w:r>
      <w:r w:rsidRPr="00D75715">
        <w:rPr>
          <w:b/>
          <w:bCs/>
          <w:szCs w:val="24"/>
        </w:rPr>
        <w:t>A</w:t>
      </w:r>
      <w:r w:rsidRPr="005E6068">
        <w:rPr>
          <w:szCs w:val="24"/>
        </w:rPr>
        <w:t>) Males (left panel) and females (right panel) with NE dosing at 7 days post-injury. (</w:t>
      </w:r>
      <w:r w:rsidRPr="00D75715">
        <w:rPr>
          <w:b/>
          <w:bCs/>
          <w:szCs w:val="24"/>
        </w:rPr>
        <w:t>B</w:t>
      </w:r>
      <w:r w:rsidRPr="005E6068">
        <w:rPr>
          <w:szCs w:val="24"/>
        </w:rPr>
        <w:t>) Males with NE dosing at 3 days post-injury. (</w:t>
      </w:r>
      <w:r w:rsidRPr="00D75715">
        <w:rPr>
          <w:b/>
          <w:bCs/>
          <w:szCs w:val="24"/>
        </w:rPr>
        <w:t>C</w:t>
      </w:r>
      <w:r w:rsidRPr="005E6068">
        <w:rPr>
          <w:szCs w:val="24"/>
        </w:rPr>
        <w:t>) Males (left panel) and females (right panel) with NE dosing at 1d and 3d post-injury.</w:t>
      </w:r>
    </w:p>
    <w:p w14:paraId="791D56EA" w14:textId="59EC3037" w:rsidR="00485A86" w:rsidRDefault="00485A86">
      <w:pPr>
        <w:rPr>
          <w:b/>
          <w:szCs w:val="24"/>
        </w:rPr>
      </w:pPr>
      <w:r>
        <w:rPr>
          <w:b/>
          <w:szCs w:val="24"/>
        </w:rPr>
        <w:br w:type="page"/>
      </w:r>
    </w:p>
    <w:p w14:paraId="55028DBD" w14:textId="182012F9" w:rsidR="005E6068" w:rsidRPr="005E6068" w:rsidRDefault="00485A86" w:rsidP="00485A86">
      <w:pPr>
        <w:jc w:val="center"/>
        <w:rPr>
          <w:b/>
          <w:szCs w:val="24"/>
        </w:rPr>
      </w:pPr>
      <w:r>
        <w:rPr>
          <w:b/>
          <w:noProof/>
          <w:szCs w:val="24"/>
        </w:rPr>
        <w:lastRenderedPageBreak/>
        <w:drawing>
          <wp:inline distT="0" distB="0" distL="0" distR="0" wp14:anchorId="2AED254C" wp14:editId="017C85E5">
            <wp:extent cx="3615559" cy="278671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205" t="13172" r="54508" b="64445"/>
                    <a:stretch/>
                  </pic:blipFill>
                  <pic:spPr bwMode="auto">
                    <a:xfrm>
                      <a:off x="0" y="0"/>
                      <a:ext cx="3617993" cy="2788586"/>
                    </a:xfrm>
                    <a:prstGeom prst="rect">
                      <a:avLst/>
                    </a:prstGeom>
                    <a:noFill/>
                    <a:ln>
                      <a:noFill/>
                    </a:ln>
                    <a:extLst>
                      <a:ext uri="{53640926-AAD7-44D8-BBD7-CCE9431645EC}">
                        <a14:shadowObscured xmlns:a14="http://schemas.microsoft.com/office/drawing/2010/main"/>
                      </a:ext>
                    </a:extLst>
                  </pic:spPr>
                </pic:pic>
              </a:graphicData>
            </a:graphic>
          </wp:inline>
        </w:drawing>
      </w:r>
    </w:p>
    <w:p w14:paraId="10BF7DE9" w14:textId="21294E2D" w:rsidR="00B9440A" w:rsidRPr="00485A86" w:rsidRDefault="005E6068" w:rsidP="00485A86">
      <w:pPr>
        <w:rPr>
          <w:szCs w:val="24"/>
        </w:rPr>
      </w:pPr>
      <w:r w:rsidRPr="005E6068">
        <w:rPr>
          <w:b/>
          <w:szCs w:val="24"/>
        </w:rPr>
        <w:t xml:space="preserve">Fig. S10. Hindlimb grip strength assay in male polytrauma mice treated with DF-NE or CXB-NE. </w:t>
      </w:r>
      <w:r w:rsidRPr="005E6068">
        <w:rPr>
          <w:szCs w:val="24"/>
        </w:rPr>
        <w:t xml:space="preserve">1 mm polytrauma is associated with a significant decrease in hindlimb grip strength versus controls. DF-NE or CXB-NE dosing at 1d and 3d post-injury does not significantly affect grip strength. */**/*** p=&lt;.05, .01, .001 versus ‘Control + CXB-NE,’ two-way ANOVA, </w:t>
      </w:r>
      <w:proofErr w:type="spellStart"/>
      <w:r w:rsidRPr="005E6068">
        <w:rPr>
          <w:szCs w:val="24"/>
        </w:rPr>
        <w:t>Šídák's</w:t>
      </w:r>
      <w:proofErr w:type="spellEnd"/>
      <w:r w:rsidRPr="005E6068">
        <w:rPr>
          <w:szCs w:val="24"/>
        </w:rPr>
        <w:t xml:space="preserve"> multiple comparisons test.</w:t>
      </w:r>
    </w:p>
    <w:sectPr w:rsidR="00B9440A" w:rsidRPr="00485A86" w:rsidSect="00E853D5">
      <w:headerReference w:type="default" r:id="rId20"/>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596E" w14:textId="77777777" w:rsidR="004D0135" w:rsidRDefault="004D0135">
      <w:r>
        <w:separator/>
      </w:r>
    </w:p>
  </w:endnote>
  <w:endnote w:type="continuationSeparator" w:id="0">
    <w:p w14:paraId="3C791235" w14:textId="77777777" w:rsidR="004D0135" w:rsidRDefault="004D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86132" w14:textId="77777777" w:rsidR="004D0135" w:rsidRDefault="004D0135">
      <w:r>
        <w:separator/>
      </w:r>
    </w:p>
  </w:footnote>
  <w:footnote w:type="continuationSeparator" w:id="0">
    <w:p w14:paraId="5E5EB1B1" w14:textId="77777777" w:rsidR="004D0135" w:rsidRDefault="004D0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83B44"/>
    <w:rsid w:val="000850DC"/>
    <w:rsid w:val="000C07BF"/>
    <w:rsid w:val="000C2771"/>
    <w:rsid w:val="000D46F4"/>
    <w:rsid w:val="000F0DCE"/>
    <w:rsid w:val="000F6BE3"/>
    <w:rsid w:val="00112C5B"/>
    <w:rsid w:val="00114193"/>
    <w:rsid w:val="00115A38"/>
    <w:rsid w:val="0011687B"/>
    <w:rsid w:val="00124F82"/>
    <w:rsid w:val="0016337A"/>
    <w:rsid w:val="00164269"/>
    <w:rsid w:val="001A1BDE"/>
    <w:rsid w:val="001B13CE"/>
    <w:rsid w:val="001F0876"/>
    <w:rsid w:val="001F167C"/>
    <w:rsid w:val="001F5E91"/>
    <w:rsid w:val="002077B9"/>
    <w:rsid w:val="00262D72"/>
    <w:rsid w:val="00294FBB"/>
    <w:rsid w:val="002C030F"/>
    <w:rsid w:val="002F0FB6"/>
    <w:rsid w:val="002F4A70"/>
    <w:rsid w:val="0031671A"/>
    <w:rsid w:val="00331D75"/>
    <w:rsid w:val="00355362"/>
    <w:rsid w:val="00363E44"/>
    <w:rsid w:val="003659A8"/>
    <w:rsid w:val="003669F9"/>
    <w:rsid w:val="00392402"/>
    <w:rsid w:val="00393BAB"/>
    <w:rsid w:val="00395E86"/>
    <w:rsid w:val="003A2FD8"/>
    <w:rsid w:val="003B40E6"/>
    <w:rsid w:val="003E74FB"/>
    <w:rsid w:val="003F5904"/>
    <w:rsid w:val="003F6E14"/>
    <w:rsid w:val="00405336"/>
    <w:rsid w:val="00435ABE"/>
    <w:rsid w:val="004571D5"/>
    <w:rsid w:val="00461D81"/>
    <w:rsid w:val="0046356B"/>
    <w:rsid w:val="00477182"/>
    <w:rsid w:val="004779CB"/>
    <w:rsid w:val="00485A86"/>
    <w:rsid w:val="004A6F57"/>
    <w:rsid w:val="004D0135"/>
    <w:rsid w:val="004E42D8"/>
    <w:rsid w:val="004E7BA2"/>
    <w:rsid w:val="004F7EDF"/>
    <w:rsid w:val="005001AC"/>
    <w:rsid w:val="00527D71"/>
    <w:rsid w:val="00533910"/>
    <w:rsid w:val="005520A8"/>
    <w:rsid w:val="005607DD"/>
    <w:rsid w:val="005A558C"/>
    <w:rsid w:val="005D712F"/>
    <w:rsid w:val="005E28F8"/>
    <w:rsid w:val="005E6068"/>
    <w:rsid w:val="005E6513"/>
    <w:rsid w:val="00607E8E"/>
    <w:rsid w:val="00632CA3"/>
    <w:rsid w:val="00651114"/>
    <w:rsid w:val="00664560"/>
    <w:rsid w:val="00670299"/>
    <w:rsid w:val="00691985"/>
    <w:rsid w:val="00697611"/>
    <w:rsid w:val="006A1B64"/>
    <w:rsid w:val="007108F5"/>
    <w:rsid w:val="00713E5B"/>
    <w:rsid w:val="007402FC"/>
    <w:rsid w:val="007411A1"/>
    <w:rsid w:val="00793072"/>
    <w:rsid w:val="007C45B3"/>
    <w:rsid w:val="007E2786"/>
    <w:rsid w:val="00807D35"/>
    <w:rsid w:val="008218C4"/>
    <w:rsid w:val="00867A98"/>
    <w:rsid w:val="00870867"/>
    <w:rsid w:val="00885C9B"/>
    <w:rsid w:val="008D5D2A"/>
    <w:rsid w:val="00914B63"/>
    <w:rsid w:val="009354F3"/>
    <w:rsid w:val="009447DC"/>
    <w:rsid w:val="00945471"/>
    <w:rsid w:val="00950234"/>
    <w:rsid w:val="00961BA5"/>
    <w:rsid w:val="009743A9"/>
    <w:rsid w:val="009A5287"/>
    <w:rsid w:val="009A7C5F"/>
    <w:rsid w:val="009B2AC5"/>
    <w:rsid w:val="009B7984"/>
    <w:rsid w:val="009F4BED"/>
    <w:rsid w:val="009F7D93"/>
    <w:rsid w:val="00A02E0C"/>
    <w:rsid w:val="00A3403B"/>
    <w:rsid w:val="00A51A12"/>
    <w:rsid w:val="00A53A78"/>
    <w:rsid w:val="00A627D4"/>
    <w:rsid w:val="00A74DA2"/>
    <w:rsid w:val="00A77632"/>
    <w:rsid w:val="00AB399E"/>
    <w:rsid w:val="00AC59D0"/>
    <w:rsid w:val="00AD16B1"/>
    <w:rsid w:val="00AD499C"/>
    <w:rsid w:val="00B36869"/>
    <w:rsid w:val="00B43B31"/>
    <w:rsid w:val="00B47CFA"/>
    <w:rsid w:val="00B574A3"/>
    <w:rsid w:val="00B57F00"/>
    <w:rsid w:val="00B63245"/>
    <w:rsid w:val="00B73C69"/>
    <w:rsid w:val="00B77B2A"/>
    <w:rsid w:val="00B82C22"/>
    <w:rsid w:val="00B93DBA"/>
    <w:rsid w:val="00B9440A"/>
    <w:rsid w:val="00BB2D2A"/>
    <w:rsid w:val="00BC290E"/>
    <w:rsid w:val="00BC3E04"/>
    <w:rsid w:val="00BD1B35"/>
    <w:rsid w:val="00BD58CF"/>
    <w:rsid w:val="00BF0C92"/>
    <w:rsid w:val="00C04CC1"/>
    <w:rsid w:val="00C4096C"/>
    <w:rsid w:val="00C50C6D"/>
    <w:rsid w:val="00C600D9"/>
    <w:rsid w:val="00C92B22"/>
    <w:rsid w:val="00CC1384"/>
    <w:rsid w:val="00CD3720"/>
    <w:rsid w:val="00CF1848"/>
    <w:rsid w:val="00CF5C2F"/>
    <w:rsid w:val="00D04BCF"/>
    <w:rsid w:val="00D11A56"/>
    <w:rsid w:val="00D143D9"/>
    <w:rsid w:val="00D30C95"/>
    <w:rsid w:val="00D51C15"/>
    <w:rsid w:val="00D5511B"/>
    <w:rsid w:val="00D75715"/>
    <w:rsid w:val="00D766F1"/>
    <w:rsid w:val="00DD2E17"/>
    <w:rsid w:val="00DF7D88"/>
    <w:rsid w:val="00E257C8"/>
    <w:rsid w:val="00E40A10"/>
    <w:rsid w:val="00E41512"/>
    <w:rsid w:val="00E4519A"/>
    <w:rsid w:val="00E853D5"/>
    <w:rsid w:val="00E9773B"/>
    <w:rsid w:val="00EA6F42"/>
    <w:rsid w:val="00EC13A3"/>
    <w:rsid w:val="00EC7C85"/>
    <w:rsid w:val="00ED2CBE"/>
    <w:rsid w:val="00F125EE"/>
    <w:rsid w:val="00F12E98"/>
    <w:rsid w:val="00F22029"/>
    <w:rsid w:val="00F515FB"/>
    <w:rsid w:val="00F630EA"/>
    <w:rsid w:val="00F7007E"/>
    <w:rsid w:val="00F73193"/>
    <w:rsid w:val="00F74F95"/>
    <w:rsid w:val="00F80705"/>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paragraph" w:customStyle="1" w:styleId="Head">
    <w:name w:val="Head"/>
    <w:basedOn w:val="Normal"/>
    <w:rsid w:val="005E6068"/>
    <w:pPr>
      <w:keepNext/>
      <w:spacing w:before="120" w:after="120"/>
      <w:jc w:val="center"/>
      <w:outlineLvl w:val="0"/>
    </w:pPr>
    <w:rPr>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image" Target="media/image6.tiff"/><Relationship Id="rId23"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1091</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Shepherd,Andrew J.</cp:lastModifiedBy>
  <cp:revision>3</cp:revision>
  <cp:lastPrinted>2018-01-11T19:53:00Z</cp:lastPrinted>
  <dcterms:created xsi:type="dcterms:W3CDTF">2023-12-11T22:20:00Z</dcterms:created>
  <dcterms:modified xsi:type="dcterms:W3CDTF">2024-01-13T17:02:00Z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