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Supplementary Information for</w:t>
      </w:r>
    </w:p>
    <w:p>
      <w:pPr>
        <w:spacing w:line="360" w:lineRule="exac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A split crRNA with CRISPR-Cas12a enables highly </w:t>
      </w:r>
      <w:r>
        <w:rPr>
          <w:rFonts w:ascii="Arial" w:hAnsi="Arial" w:cs="Arial" w:eastAsiaTheme="minorHAnsi"/>
          <w:sz w:val="28"/>
          <w:szCs w:val="28"/>
        </w:rPr>
        <w:t xml:space="preserve">sensitive, selective, and multiplexed </w:t>
      </w:r>
      <w:r>
        <w:rPr>
          <w:rFonts w:ascii="Arial" w:hAnsi="Arial" w:cs="Arial"/>
          <w:sz w:val="28"/>
          <w:szCs w:val="28"/>
        </w:rPr>
        <w:t>detection of RNA and DNA</w:t>
      </w:r>
    </w:p>
    <w:p>
      <w:pPr>
        <w:pStyle w:val="9"/>
        <w:spacing w:line="240" w:lineRule="atLeast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 Yichuan Chen</w:t>
      </w:r>
      <w:r>
        <w:rPr>
          <w:rFonts w:cs="Arial"/>
          <w:sz w:val="20"/>
          <w:szCs w:val="20"/>
          <w:vertAlign w:val="superscript"/>
        </w:rPr>
        <w:t>a</w:t>
      </w:r>
      <w:r>
        <w:rPr>
          <w:rFonts w:hint="eastAsia" w:eastAsia="宋体" w:cs="Arial"/>
          <w:sz w:val="20"/>
          <w:szCs w:val="20"/>
          <w:vertAlign w:val="superscript"/>
          <w:lang w:val="en-US" w:eastAsia="zh-CN"/>
        </w:rPr>
        <w:t>,</w:t>
      </w:r>
      <w:r>
        <w:rPr>
          <w:rFonts w:cs="Arial"/>
          <w:sz w:val="20"/>
          <w:szCs w:val="20"/>
          <w:vertAlign w:val="superscript"/>
        </w:rPr>
        <w:t>b,1</w:t>
      </w:r>
      <w:r>
        <w:rPr>
          <w:rFonts w:hint="eastAsia" w:eastAsia="宋体" w:cs="Arial"/>
          <w:sz w:val="20"/>
          <w:szCs w:val="20"/>
          <w:vertAlign w:val="baseline"/>
          <w:lang w:val="en-US" w:eastAsia="zh-CN"/>
        </w:rPr>
        <w:t xml:space="preserve">, </w:t>
      </w:r>
      <w:bookmarkStart w:id="0" w:name="OLE_LINK5"/>
      <w:r>
        <w:rPr>
          <w:rFonts w:cs="Arial"/>
          <w:sz w:val="20"/>
          <w:szCs w:val="20"/>
        </w:rPr>
        <w:t>Xinping Wang</w:t>
      </w:r>
      <w:bookmarkEnd w:id="0"/>
      <w:r>
        <w:rPr>
          <w:rFonts w:cs="Arial"/>
          <w:sz w:val="20"/>
          <w:szCs w:val="20"/>
          <w:vertAlign w:val="superscript"/>
        </w:rPr>
        <w:t>b, 1</w:t>
      </w:r>
      <w:r>
        <w:rPr>
          <w:rFonts w:cs="Arial"/>
          <w:sz w:val="20"/>
          <w:szCs w:val="20"/>
        </w:rPr>
        <w:t>,</w:t>
      </w:r>
      <w:r>
        <w:rPr>
          <w:rFonts w:cs="Arial"/>
          <w:sz w:val="20"/>
          <w:szCs w:val="20"/>
          <w:vertAlign w:val="superscript"/>
        </w:rPr>
        <w:t xml:space="preserve"> </w:t>
      </w:r>
      <w:r>
        <w:rPr>
          <w:rFonts w:cs="Arial"/>
          <w:sz w:val="20"/>
          <w:szCs w:val="20"/>
        </w:rPr>
        <w:t>Baoxia He</w:t>
      </w:r>
      <w:r>
        <w:rPr>
          <w:rFonts w:cs="Arial"/>
          <w:sz w:val="20"/>
          <w:szCs w:val="20"/>
          <w:vertAlign w:val="superscript"/>
        </w:rPr>
        <w:t>c</w:t>
      </w:r>
      <w:r>
        <w:rPr>
          <w:rFonts w:cs="Arial"/>
          <w:sz w:val="20"/>
          <w:szCs w:val="20"/>
        </w:rPr>
        <w:t>, Wenhao Yin</w:t>
      </w:r>
      <w:r>
        <w:rPr>
          <w:rFonts w:cs="Arial"/>
          <w:sz w:val="20"/>
          <w:szCs w:val="20"/>
          <w:vertAlign w:val="superscript"/>
        </w:rPr>
        <w:t>d</w:t>
      </w:r>
      <w:r>
        <w:rPr>
          <w:rFonts w:cs="Arial"/>
          <w:sz w:val="20"/>
          <w:szCs w:val="20"/>
        </w:rPr>
        <w:t>,</w:t>
      </w:r>
      <w:r>
        <w:rPr>
          <w:rFonts w:cs="Arial"/>
          <w:sz w:val="20"/>
          <w:szCs w:val="20"/>
          <w:vertAlign w:val="superscript"/>
        </w:rPr>
        <w:t xml:space="preserve"> </w:t>
      </w:r>
      <w:r>
        <w:rPr>
          <w:rFonts w:cs="Arial"/>
          <w:sz w:val="20"/>
          <w:szCs w:val="20"/>
        </w:rPr>
        <w:t>Jie Qiao</w:t>
      </w:r>
      <w:r>
        <w:rPr>
          <w:rFonts w:cs="Arial"/>
          <w:sz w:val="20"/>
          <w:szCs w:val="20"/>
          <w:vertAlign w:val="superscript"/>
        </w:rPr>
        <w:t>a</w:t>
      </w:r>
      <w:r>
        <w:rPr>
          <w:rFonts w:hint="eastAsia" w:eastAsia="宋体" w:cs="Arial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cs="Arial"/>
          <w:sz w:val="20"/>
          <w:szCs w:val="20"/>
        </w:rPr>
        <w:t>*</w:t>
      </w:r>
      <w:r>
        <w:rPr>
          <w:rFonts w:hint="eastAsia" w:eastAsia="宋体" w:cs="Arial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cs="Arial"/>
          <w:sz w:val="20"/>
          <w:szCs w:val="20"/>
        </w:rPr>
        <w:t>and Yi Liu</w:t>
      </w:r>
      <w:bookmarkStart w:id="1" w:name="OLE_LINK1"/>
      <w:r>
        <w:rPr>
          <w:rFonts w:cs="Arial"/>
          <w:sz w:val="20"/>
          <w:szCs w:val="20"/>
          <w:vertAlign w:val="superscript"/>
        </w:rPr>
        <w:t>b,d</w:t>
      </w:r>
      <w:r>
        <w:rPr>
          <w:rFonts w:hint="eastAsia" w:eastAsia="宋体" w:cs="Arial"/>
          <w:sz w:val="20"/>
          <w:szCs w:val="20"/>
          <w:vertAlign w:val="superscript"/>
          <w:lang w:val="en-US" w:eastAsia="zh-CN"/>
        </w:rPr>
        <w:t xml:space="preserve"> </w:t>
      </w:r>
      <w:r>
        <w:rPr>
          <w:rFonts w:cs="Arial"/>
          <w:sz w:val="20"/>
          <w:szCs w:val="20"/>
        </w:rPr>
        <w:t>*</w:t>
      </w:r>
      <w:bookmarkEnd w:id="1"/>
    </w:p>
    <w:p>
      <w:pPr>
        <w:pStyle w:val="9"/>
        <w:spacing w:line="240" w:lineRule="atLeast"/>
        <w:jc w:val="both"/>
        <w:rPr>
          <w:rFonts w:cs="Arial"/>
          <w:sz w:val="20"/>
          <w:szCs w:val="20"/>
        </w:rPr>
      </w:pPr>
      <w:bookmarkStart w:id="2" w:name="_GoBack"/>
      <w:bookmarkEnd w:id="2"/>
    </w:p>
    <w:p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[a]</w:t>
      </w:r>
      <w:r>
        <w:rPr>
          <w:rFonts w:ascii="Arial" w:hAnsi="Arial" w:cs="Arial"/>
          <w:sz w:val="20"/>
          <w:szCs w:val="20"/>
        </w:rPr>
        <w:t xml:space="preserve"> School of Life Science and Technology, Wuhan Polytechnic University, Hubei 430023 (China)</w:t>
      </w:r>
    </w:p>
    <w:p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 xml:space="preserve">[b] </w:t>
      </w:r>
      <w:r>
        <w:rPr>
          <w:rFonts w:ascii="Arial" w:hAnsi="Arial" w:cs="Arial"/>
          <w:sz w:val="20"/>
          <w:szCs w:val="20"/>
        </w:rPr>
        <w:t>State Key Laboratory of Biocatalysis and Enzyme Engineering, School of Life Sciences, Hubei University, Hubei 430042 (China)</w:t>
      </w:r>
    </w:p>
    <w:p>
      <w:pPr>
        <w:spacing w:after="0"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[c]</w:t>
      </w:r>
      <w:r>
        <w:rPr>
          <w:rFonts w:ascii="Arial" w:hAnsi="Arial" w:cs="Arial"/>
          <w:sz w:val="20"/>
          <w:szCs w:val="20"/>
        </w:rPr>
        <w:t xml:space="preserve"> Department of pharmacy, Henan cancer hospital, Henan 350003 (China)</w:t>
      </w:r>
    </w:p>
    <w:p>
      <w:pPr>
        <w:spacing w:after="0"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[d]</w:t>
      </w:r>
      <w:r>
        <w:rPr>
          <w:rFonts w:ascii="Arial" w:hAnsi="Arial" w:cs="Arial"/>
          <w:sz w:val="20"/>
          <w:szCs w:val="20"/>
        </w:rPr>
        <w:t xml:space="preserve"> BravoVax Co., Ltd., Wuhan, Hubei 430075 (China)</w:t>
      </w:r>
    </w:p>
    <w:p>
      <w:pPr>
        <w:spacing w:after="0"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 xml:space="preserve"> J. Q., Y. C., and X.W. contributed equally to this work </w:t>
      </w:r>
    </w:p>
    <w:p>
      <w:pPr>
        <w:spacing w:after="0"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To whom correspondence should be addressed. </w:t>
      </w:r>
    </w:p>
    <w:p>
      <w:pPr>
        <w:spacing w:after="0"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 xml:space="preserve"> yiliu0825@hubu.edu.cn</w:t>
      </w: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adjustRightInd w:val="0"/>
        <w:snapToGrid w:val="0"/>
        <w:spacing w:after="0" w:line="360" w:lineRule="exac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This PDF file includes:</w:t>
      </w:r>
    </w:p>
    <w:p>
      <w:pPr>
        <w:adjustRightInd w:val="0"/>
        <w:snapToGrid w:val="0"/>
        <w:spacing w:after="0" w:line="360" w:lineRule="exact"/>
        <w:ind w:left="72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able S1</w:t>
      </w:r>
    </w:p>
    <w:p>
      <w:pPr>
        <w:adjustRightInd w:val="0"/>
        <w:snapToGrid w:val="0"/>
        <w:spacing w:after="0" w:line="360" w:lineRule="exact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Figures S1 to S3</w:t>
      </w:r>
    </w:p>
    <w:p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</w:t>
      </w: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rPr>
          <w:rFonts w:ascii="Arial" w:hAnsi="Arial" w:cs="Arial"/>
          <w:b/>
          <w:bCs/>
          <w:sz w:val="24"/>
          <w:szCs w:val="24"/>
        </w:rPr>
      </w:pPr>
    </w:p>
    <w:p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TableS1. </w:t>
      </w:r>
      <w:r>
        <w:rPr>
          <w:rFonts w:ascii="Arial" w:hAnsi="Arial" w:cs="Arial"/>
          <w:sz w:val="24"/>
          <w:szCs w:val="24"/>
        </w:rPr>
        <w:t>Sequences of the RNAs and ssDNA activators used in this work.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scaffold RNA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5’-AAUUUCUACUAAGUGUAGAU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等线" w:hAnsi="等线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spacer RNA: HPV16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5’-UGAAGUAGAUAUGGCAGCAC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等线" w:hAnsi="等线" w:eastAsia="Times New Roman" w:cs="Times New Roman"/>
                <w:kern w:val="0"/>
                <w:sz w:val="21"/>
                <w:szCs w:val="21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spacer RNA: HPV18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5’-ACAAUAUGUGCUUCUACACA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spacer RNA: EMX1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5’-GUCACCUCCAAUGACUAGGG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spacer RNA: PRDX4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5’-GCCGCGACAACUCCGGACCA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miR-21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5’-TCAACATCAGTCTGATAAGCTA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miR-31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5’-AGCTATGCCAGCATCTTGCCT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miR-17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5’-CTACCTGCACTGTAAGCACTTTG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miR-let-7a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5’-AACTATACAACCTACTACCTCA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pre miR-21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5’-TCAACATCAGTCTGATAAGCTA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HIV-head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5’-CAATAGCAATTGGTACAAGC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HIV-mid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5’-AATGAAAGCAACACTTTTTA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ssDNA: HIV-tail</w:t>
            </w:r>
          </w:p>
        </w:tc>
        <w:tc>
          <w:tcPr>
            <w:tcW w:w="5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5’-TGTTATGAAACAAACTTGGC</w:t>
            </w:r>
            <w:r>
              <w:rPr>
                <w:rFonts w:hint="eastAsia" w:ascii="Arial" w:hAnsi="Arial" w:eastAsia="Times New Roman" w:cs="Arial"/>
                <w:kern w:val="0"/>
                <w:sz w:val="24"/>
                <w:szCs w:val="24"/>
                <w14:ligatures w14:val="none"/>
              </w:rPr>
              <w:t>-</w:t>
            </w:r>
            <w:r>
              <w:rPr>
                <w:rFonts w:ascii="Arial" w:hAnsi="Arial" w:eastAsia="Times New Roman" w:cs="Arial"/>
                <w:kern w:val="0"/>
                <w:sz w:val="24"/>
                <w:szCs w:val="24"/>
                <w14:ligatures w14:val="none"/>
              </w:rPr>
              <w:t>3’</w:t>
            </w:r>
          </w:p>
        </w:tc>
      </w:tr>
    </w:tbl>
    <w:p>
      <w:pPr>
        <w:spacing w:after="0" w:line="360" w:lineRule="exact"/>
        <w:rPr>
          <w:sz w:val="20"/>
          <w:szCs w:val="20"/>
        </w:rPr>
      </w:pPr>
      <w:r>
        <w:rPr>
          <w:rFonts w:ascii="Arial" w:hAnsi="Arial" w:cs="Arial"/>
          <w:vertAlign w:val="superscript"/>
        </w:rPr>
        <w:t>a</w:t>
      </w:r>
      <w:r>
        <w:rPr>
          <w:rFonts w:ascii="Arial" w:hAnsi="Arial" w:cs="Arial"/>
        </w:rPr>
        <w:t xml:space="preserve"> Note: We adopted the same ssDNA activator for the detection of miR-21 and pre miR-21. The sequences of miR-21 and pre miR-21 are listed in the following:</w:t>
      </w:r>
    </w:p>
    <w:p>
      <w:pPr>
        <w:spacing w:after="0" w:line="360" w:lineRule="exact"/>
        <w:rPr>
          <w:sz w:val="20"/>
          <w:szCs w:val="20"/>
        </w:rPr>
      </w:pPr>
      <w:r>
        <w:rPr>
          <w:rFonts w:ascii="Arial" w:hAnsi="Arial" w:cs="Arial"/>
          <w:b/>
          <w:bCs/>
        </w:rPr>
        <w:t>miR-21:</w:t>
      </w:r>
      <w:r>
        <w:rPr>
          <w:rFonts w:ascii="Arial" w:hAnsi="Arial" w:cs="Arial"/>
        </w:rPr>
        <w:t xml:space="preserve"> 5’-UAGCUUAUCAGACUGAUGUUGA-3’</w:t>
      </w:r>
    </w:p>
    <w:p>
      <w:pPr>
        <w:suppressAutoHyphens/>
        <w:spacing w:after="0" w:line="360" w:lineRule="exac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pre miR-21: </w:t>
      </w:r>
      <w:r>
        <w:rPr>
          <w:rFonts w:ascii="Arial" w:hAnsi="Arial" w:cs="Arial"/>
        </w:rPr>
        <w:t>5’-UGUCGGGUAGCUUAUCAGACUGAUGUUGACUGUUGAAUCUCA</w:t>
      </w:r>
    </w:p>
    <w:p>
      <w:pPr>
        <w:suppressAutoHyphens/>
        <w:spacing w:after="0" w:line="360" w:lineRule="exact"/>
        <w:rPr>
          <w:rFonts w:ascii="Arial" w:hAnsi="Arial" w:cs="Arial"/>
        </w:rPr>
      </w:pPr>
      <w:r>
        <w:rPr>
          <w:rFonts w:ascii="Arial" w:hAnsi="Arial" w:cs="Arial"/>
        </w:rPr>
        <w:t>UGGCAACACCAGUCGAUGGGCUGUCUGACA-3’</w:t>
      </w:r>
    </w:p>
    <w:p>
      <w:pPr>
        <w:suppressAutoHyphens/>
        <w:wordWrap w:val="0"/>
        <w:jc w:val="left"/>
      </w:pPr>
    </w:p>
    <w:p/>
    <w:p/>
    <w:p/>
    <w:p/>
    <w:p/>
    <w:p/>
    <w:p/>
    <w:p/>
    <w:p/>
    <w:p/>
    <w:p/>
    <w:p/>
    <w:p/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145415</wp:posOffset>
            </wp:positionV>
            <wp:extent cx="2558415" cy="3082925"/>
            <wp:effectExtent l="0" t="0" r="0" b="3175"/>
            <wp:wrapTight wrapText="bothSides">
              <wp:wrapPolygon>
                <wp:start x="0" y="0"/>
                <wp:lineTo x="0" y="21489"/>
                <wp:lineTo x="21391" y="21489"/>
                <wp:lineTo x="21391" y="0"/>
                <wp:lineTo x="0" y="0"/>
              </wp:wrapPolygon>
            </wp:wrapTight>
            <wp:docPr id="8947350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735056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>
      <w:pPr>
        <w:spacing w:after="0" w:line="360" w:lineRule="exact"/>
        <w:rPr>
          <w:rFonts w:ascii="Arial" w:hAnsi="Arial" w:cs="Arial"/>
          <w:b/>
          <w:bCs/>
        </w:rPr>
      </w:pPr>
    </w:p>
    <w:p>
      <w:pPr>
        <w:spacing w:after="0" w:line="360" w:lineRule="exac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Figure S1. </w:t>
      </w:r>
      <w:r>
        <w:rPr>
          <w:rFonts w:ascii="Arial" w:hAnsi="Arial" w:cs="Arial"/>
        </w:rPr>
        <w:t xml:space="preserve">10 % SDS-PAGE analysis of the purified recombinant AsCas12a and LwaCas13a proteins. </w:t>
      </w: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spacing w:after="0" w:line="360" w:lineRule="exac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144145</wp:posOffset>
            </wp:positionV>
            <wp:extent cx="5048250" cy="3230245"/>
            <wp:effectExtent l="0" t="0" r="0" b="8255"/>
            <wp:wrapTight wrapText="bothSides">
              <wp:wrapPolygon>
                <wp:start x="0" y="0"/>
                <wp:lineTo x="0" y="21528"/>
                <wp:lineTo x="21518" y="21528"/>
                <wp:lineTo x="21518" y="0"/>
                <wp:lineTo x="0" y="0"/>
              </wp:wrapPolygon>
            </wp:wrapTight>
            <wp:docPr id="11333523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352325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360" w:lineRule="exact"/>
        <w:rPr>
          <w:sz w:val="20"/>
          <w:szCs w:val="20"/>
        </w:rPr>
      </w:pPr>
      <w:r>
        <w:rPr>
          <w:rFonts w:ascii="Arial" w:hAnsi="Arial" w:cs="Arial"/>
          <w:b/>
          <w:bCs/>
        </w:rPr>
        <w:t xml:space="preserve">Figure S2. </w:t>
      </w:r>
      <w:r>
        <w:rPr>
          <w:rFonts w:ascii="Arial" w:hAnsi="Arial" w:cs="Arial"/>
        </w:rPr>
        <w:t xml:space="preserve">The real time fluorescence recording for the </w:t>
      </w:r>
      <w:r>
        <w:rPr>
          <w:rFonts w:ascii="Arial" w:hAnsi="Arial" w:cs="Arial"/>
          <w:i/>
          <w:iCs/>
        </w:rPr>
        <w:t>trans</w:t>
      </w:r>
      <w:r>
        <w:rPr>
          <w:rFonts w:ascii="Arial" w:hAnsi="Arial" w:cs="Arial"/>
        </w:rPr>
        <w:t xml:space="preserve">-cleavage of different targeted DNAs by wild-type Cas12a or SCas12a, including the gene fragments derived from (a) HPV16, (b) HPV18, (c) EMX1 and (d) PRDX4. </w:t>
      </w:r>
    </w:p>
    <w:p>
      <w:pPr>
        <w:spacing w:after="0" w:line="360" w:lineRule="exact"/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spacing w:after="0" w:line="360" w:lineRule="exac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6350</wp:posOffset>
            </wp:positionH>
            <wp:positionV relativeFrom="paragraph">
              <wp:posOffset>120650</wp:posOffset>
            </wp:positionV>
            <wp:extent cx="5212080" cy="1487805"/>
            <wp:effectExtent l="0" t="0" r="7620" b="0"/>
            <wp:wrapTight wrapText="bothSides">
              <wp:wrapPolygon>
                <wp:start x="0" y="0"/>
                <wp:lineTo x="0" y="21296"/>
                <wp:lineTo x="21553" y="21296"/>
                <wp:lineTo x="21553" y="0"/>
                <wp:lineTo x="0" y="0"/>
              </wp:wrapPolygon>
            </wp:wrapTight>
            <wp:docPr id="14888271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827102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" t="2796" r="2699" b="6240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14878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0" w:line="360" w:lineRule="exac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S3.</w:t>
      </w:r>
      <w:r>
        <w:rPr>
          <w:rFonts w:ascii="Arial" w:hAnsi="Arial" w:cs="Arial"/>
        </w:rPr>
        <w:t xml:space="preserve"> Determination of the limit of detection of SCas12a fluorescence assay using different miRNA substrates, including (a) miR-17, (b) miR-31, and (c) miR-let-7a.</w:t>
      </w: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xNjE0NjBhZDY2MDgxODg1ZmJjYjAwYWI3MjcxYmYifQ=="/>
  </w:docVars>
  <w:rsids>
    <w:rsidRoot w:val="006B61A6"/>
    <w:rsid w:val="00012D84"/>
    <w:rsid w:val="00043A66"/>
    <w:rsid w:val="00044780"/>
    <w:rsid w:val="00063994"/>
    <w:rsid w:val="0012414B"/>
    <w:rsid w:val="0016712D"/>
    <w:rsid w:val="001844E1"/>
    <w:rsid w:val="001E6C59"/>
    <w:rsid w:val="002D5A66"/>
    <w:rsid w:val="0036663B"/>
    <w:rsid w:val="00394F89"/>
    <w:rsid w:val="003A215A"/>
    <w:rsid w:val="003E136F"/>
    <w:rsid w:val="00450464"/>
    <w:rsid w:val="004E2005"/>
    <w:rsid w:val="00521C38"/>
    <w:rsid w:val="00664CBE"/>
    <w:rsid w:val="006B61A6"/>
    <w:rsid w:val="006C3C90"/>
    <w:rsid w:val="00772297"/>
    <w:rsid w:val="007A0BB7"/>
    <w:rsid w:val="007B3D71"/>
    <w:rsid w:val="00863698"/>
    <w:rsid w:val="00875FBA"/>
    <w:rsid w:val="00896503"/>
    <w:rsid w:val="008A7409"/>
    <w:rsid w:val="008E3F2C"/>
    <w:rsid w:val="00937745"/>
    <w:rsid w:val="009601E2"/>
    <w:rsid w:val="009E6759"/>
    <w:rsid w:val="00AA6795"/>
    <w:rsid w:val="00B46956"/>
    <w:rsid w:val="00B65AEB"/>
    <w:rsid w:val="00BC03EE"/>
    <w:rsid w:val="00C42056"/>
    <w:rsid w:val="00C73186"/>
    <w:rsid w:val="00C92331"/>
    <w:rsid w:val="00CD6D50"/>
    <w:rsid w:val="00CE34DA"/>
    <w:rsid w:val="00CE628D"/>
    <w:rsid w:val="00D035B6"/>
    <w:rsid w:val="00DA4085"/>
    <w:rsid w:val="00DC516B"/>
    <w:rsid w:val="00DF702A"/>
    <w:rsid w:val="00E8774C"/>
    <w:rsid w:val="00ED490E"/>
    <w:rsid w:val="00F32FCA"/>
    <w:rsid w:val="00FD1983"/>
    <w:rsid w:val="00FD7710"/>
    <w:rsid w:val="6C2A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table" w:styleId="5">
    <w:name w:val="Table Grid"/>
    <w:basedOn w:val="4"/>
    <w:autoRedefine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</w:style>
  <w:style w:type="character" w:customStyle="1" w:styleId="8">
    <w:name w:val="页脚 字符"/>
    <w:basedOn w:val="6"/>
    <w:link w:val="2"/>
    <w:autoRedefine/>
    <w:qFormat/>
    <w:uiPriority w:val="99"/>
  </w:style>
  <w:style w:type="paragraph" w:customStyle="1" w:styleId="9">
    <w:name w:val="Authors"/>
    <w:basedOn w:val="1"/>
    <w:autoRedefine/>
    <w:qFormat/>
    <w:uiPriority w:val="0"/>
    <w:pPr>
      <w:widowControl/>
      <w:spacing w:before="120" w:after="120" w:line="320" w:lineRule="exact"/>
      <w:jc w:val="left"/>
    </w:pPr>
    <w:rPr>
      <w:rFonts w:ascii="Arial" w:hAnsi="Arial" w:eastAsia="MS Mincho" w:cs="Times New Roman"/>
      <w:kern w:val="0"/>
      <w:szCs w:val="24"/>
      <w:lang w:val="en-GB" w:eastAsia="ja-JP"/>
      <w14:ligatures w14:val="none"/>
    </w:rPr>
  </w:style>
  <w:style w:type="paragraph" w:styleId="10">
    <w:name w:val="List Paragraph"/>
    <w:basedOn w:val="1"/>
    <w:autoRedefine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341</Words>
  <Characters>1950</Characters>
  <Lines>16</Lines>
  <Paragraphs>4</Paragraphs>
  <TotalTime>0</TotalTime>
  <ScaleCrop>false</ScaleCrop>
  <LinksUpToDate>false</LinksUpToDate>
  <CharactersWithSpaces>2287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2023-12-09T12:35:00Z</dcterms:created>
  <dc:creator>yi liu</dc:creator>
  <cp:lastModifiedBy>刘奕</cp:lastModifiedBy>
  <dcterms:modified xsi:type="dcterms:W3CDTF">2024-01-13T03:11:30Z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A6C3AB5836D84969A5BFA5BE782759A5_12</vt:lpwstr>
  </property>
</Properties>
</file>