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DF35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Triiodothyronine Supplementation for Children Undergoing Cardiopulmonary Bypass: A Meta-Analysis</w:t>
      </w:r>
    </w:p>
    <w:p w14:paraId="1D60DD4E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Monique R Radman, MD, MAS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, April E Slee, PhD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Eva M Marwali, MD,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Michael A Portman, MD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4</w:t>
      </w:r>
    </w:p>
    <w:p w14:paraId="2816C64A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Cardiac Critical Care, Department of Pediatrics, Seattle Children’s Hospital, University of Washington, Seattle, Washington</w:t>
      </w:r>
    </w:p>
    <w:p w14:paraId="0CC1CD44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New Arch Consulting, Issaquah, Washington</w:t>
      </w:r>
    </w:p>
    <w:p w14:paraId="01EC6F04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Pediatric Cardiac Intensive Care, National Cardiovascular Center Harapan Kita, Jakarta, Indonesia</w:t>
      </w:r>
    </w:p>
    <w:p w14:paraId="666BA09A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Cardiology, Department of Pediatrics, Seattle Children’s Hospital, University of Washington, Seattle, Washington</w:t>
      </w:r>
    </w:p>
    <w:p w14:paraId="49FD1DF9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Thyroid Hormone in Pediatric Cardiac Surgery</w:t>
      </w:r>
    </w:p>
    <w:p w14:paraId="0E73A4C3" w14:textId="77777777" w:rsidR="000B0003" w:rsidRDefault="000B0003" w:rsidP="000B0003">
      <w:pPr>
        <w:spacing w:after="120"/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Address for Correspondence:  Monique R Radman, MD, MAS, Division of Cardiac Critical Care, Seattle Children’s Hospital, 4800 Sand Point Way NE, RC.2.820, Seattle, WA 98105. E-mail: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monique.radman@seattlechildrens.org</w:t>
        </w:r>
      </w:hyperlink>
    </w:p>
    <w:p w14:paraId="093FEC38" w14:textId="77777777" w:rsidR="000B0003" w:rsidRDefault="000B000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D97792B" w14:textId="77777777" w:rsidR="00D54B53" w:rsidRDefault="00D54B53" w:rsidP="00D54B53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Information Figure Legends</w:t>
      </w:r>
    </w:p>
    <w:p w14:paraId="37106F71" w14:textId="77777777" w:rsidR="00D54B53" w:rsidRDefault="00D54B53" w:rsidP="00D54B53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900F9B" w14:textId="77777777" w:rsidR="00D54B53" w:rsidRDefault="00D54B53" w:rsidP="00D54B5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 Cochrane’s risk of bias assessment for each of the 5 included randomized controlled trials.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included trials had an overall low risk of bias.</w:t>
      </w:r>
    </w:p>
    <w:p w14:paraId="0DB360B6" w14:textId="77777777" w:rsidR="00D54B53" w:rsidRDefault="00D54B53" w:rsidP="00D54B53">
      <w:pPr>
        <w:spacing w:line="48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S2 Forest plot demonstrating effect of triiodothyronine (T3) versus placebo on mortality.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association between T3 and mortality is shown in the overall population and by age, country and RACHS-1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Consensus-based method for risk adjustment for surgery for congenital heart disease) </w:t>
      </w:r>
      <w:r>
        <w:rPr>
          <w:rFonts w:ascii="Times New Roman" w:eastAsia="Times New Roman" w:hAnsi="Times New Roman" w:cs="Times New Roman"/>
          <w:sz w:val="24"/>
          <w:szCs w:val="24"/>
        </w:rPr>
        <w:t>categories with censoring at 30 days. There was no significant association between T3 supplementation and 30-day mortality in the overall study group or by age group, country of origin or risk category.</w:t>
      </w:r>
    </w:p>
    <w:p w14:paraId="579EAE74" w14:textId="77777777" w:rsidR="00D54B53" w:rsidRDefault="00D54B5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15B5490" w14:textId="49AEF2A0" w:rsidR="006B3D84" w:rsidRPr="000B0003" w:rsidRDefault="00DA132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B0003">
        <w:rPr>
          <w:rFonts w:ascii="Times New Roman" w:hAnsi="Times New Roman" w:cs="Times New Roman"/>
          <w:b/>
          <w:bCs/>
          <w:noProof/>
          <w:sz w:val="24"/>
          <w:szCs w:val="24"/>
        </w:rPr>
        <w:t>Supplemental Figures</w:t>
      </w:r>
    </w:p>
    <w:p w14:paraId="0721B8B6" w14:textId="27C89A85" w:rsidR="00DA132D" w:rsidRDefault="00DA132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Fig. S1</w:t>
      </w:r>
    </w:p>
    <w:p w14:paraId="2C599E04" w14:textId="736C9495" w:rsidR="00DA132D" w:rsidRDefault="00DA132D">
      <w:pPr>
        <w:rPr>
          <w:rFonts w:ascii="Times New Roman" w:hAnsi="Times New Roman" w:cs="Times New Roman"/>
          <w:noProof/>
          <w:sz w:val="24"/>
          <w:szCs w:val="24"/>
        </w:rPr>
      </w:pPr>
    </w:p>
    <w:p w14:paraId="278D0DFE" w14:textId="07CCCB54" w:rsidR="00DA132D" w:rsidRDefault="00DA132D">
      <w:r>
        <w:rPr>
          <w:noProof/>
        </w:rPr>
        <w:drawing>
          <wp:inline distT="0" distB="0" distL="0" distR="0" wp14:anchorId="3658665B" wp14:editId="75B6FB1F">
            <wp:extent cx="5943600" cy="30600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0FAC1" w14:textId="55DCA300" w:rsidR="00DA132D" w:rsidRDefault="00DA132D"/>
    <w:p w14:paraId="653FACC1" w14:textId="3591F0D2" w:rsidR="00DA132D" w:rsidRDefault="00DA132D"/>
    <w:p w14:paraId="0C662A2B" w14:textId="5570D8F2" w:rsidR="00DA132D" w:rsidRPr="00DA132D" w:rsidRDefault="00DA132D">
      <w:pPr>
        <w:rPr>
          <w:rFonts w:ascii="Times New Roman" w:hAnsi="Times New Roman" w:cs="Times New Roman"/>
          <w:sz w:val="24"/>
          <w:szCs w:val="24"/>
        </w:rPr>
      </w:pPr>
      <w:r w:rsidRPr="00DA132D">
        <w:rPr>
          <w:rFonts w:ascii="Times New Roman" w:hAnsi="Times New Roman" w:cs="Times New Roman"/>
          <w:sz w:val="24"/>
          <w:szCs w:val="24"/>
        </w:rPr>
        <w:t>Fig. S2</w:t>
      </w:r>
    </w:p>
    <w:p w14:paraId="55EB983C" w14:textId="1DCD5B96" w:rsidR="00DA132D" w:rsidRDefault="00DA132D">
      <w:r>
        <w:rPr>
          <w:noProof/>
        </w:rPr>
        <w:drawing>
          <wp:inline distT="0" distB="0" distL="0" distR="0" wp14:anchorId="6A3F3BEB" wp14:editId="50CFF82E">
            <wp:extent cx="5943600" cy="42964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1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2D"/>
    <w:rsid w:val="000B0003"/>
    <w:rsid w:val="000F69CC"/>
    <w:rsid w:val="006B3D84"/>
    <w:rsid w:val="00D54B53"/>
    <w:rsid w:val="00DA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4F71"/>
  <w15:chartTrackingRefBased/>
  <w15:docId w15:val="{AC5C3FE1-FDDA-4519-85CC-86AD1EBB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onique.radman@seattlechildre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Radman-Harrison, Monique</dc:creator>
  <cp:keywords/>
  <dc:description/>
  <cp:lastModifiedBy>Pradeep Gaikwad</cp:lastModifiedBy>
  <cp:revision>3</cp:revision>
  <dcterms:created xsi:type="dcterms:W3CDTF">2024-01-12T21:57:00Z</dcterms:created>
  <dcterms:modified xsi:type="dcterms:W3CDTF">2024-01-16T11:35:00Z</dcterms:modified>
</cp:coreProperties>
</file>