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00EBAD" w14:textId="20AD677F" w:rsidR="007B6EE0" w:rsidRPr="00BB28A6" w:rsidRDefault="00BB28A6" w:rsidP="00BB28A6">
      <w:pPr>
        <w:spacing w:line="480" w:lineRule="auto"/>
        <w:rPr>
          <w:rFonts w:ascii="Arial" w:hAnsi="Arial" w:cs="Arial"/>
          <w:sz w:val="24"/>
          <w:szCs w:val="24"/>
        </w:rPr>
      </w:pPr>
      <w:r w:rsidRPr="00BB28A6">
        <w:rPr>
          <w:rFonts w:ascii="Arial" w:hAnsi="Arial" w:cs="Arial"/>
          <w:b/>
          <w:sz w:val="24"/>
          <w:szCs w:val="24"/>
        </w:rPr>
        <w:t>Supplemental Table 1.</w:t>
      </w:r>
      <w:r w:rsidR="007B6EE0" w:rsidRPr="00BB28A6">
        <w:rPr>
          <w:rFonts w:ascii="Arial" w:hAnsi="Arial" w:cs="Arial"/>
          <w:sz w:val="24"/>
          <w:szCs w:val="24"/>
        </w:rPr>
        <w:t xml:space="preserve"> The exclusion criteria for our patient population, following the contraindications of conventional brain MRI.  </w:t>
      </w:r>
    </w:p>
    <w:tbl>
      <w:tblPr>
        <w:tblStyle w:val="TableGrid"/>
        <w:tblW w:w="9805" w:type="dxa"/>
        <w:tblLook w:val="04A0" w:firstRow="1" w:lastRow="0" w:firstColumn="1" w:lastColumn="0" w:noHBand="0" w:noVBand="1"/>
      </w:tblPr>
      <w:tblGrid>
        <w:gridCol w:w="9805"/>
      </w:tblGrid>
      <w:tr w:rsidR="00BB28A6" w:rsidRPr="00BB28A6" w14:paraId="141957B9" w14:textId="77777777" w:rsidTr="00BB28A6">
        <w:tc>
          <w:tcPr>
            <w:tcW w:w="9805" w:type="dxa"/>
            <w:vAlign w:val="center"/>
          </w:tcPr>
          <w:p w14:paraId="223987BE" w14:textId="5CC75116" w:rsidR="00BB28A6" w:rsidRPr="00BB28A6" w:rsidRDefault="00BB28A6" w:rsidP="00BB28A6">
            <w:pPr>
              <w:pStyle w:val="ListParagraph"/>
              <w:numPr>
                <w:ilvl w:val="0"/>
                <w:numId w:val="1"/>
              </w:numPr>
              <w:spacing w:line="360" w:lineRule="auto"/>
              <w:jc w:val="left"/>
              <w:rPr>
                <w:sz w:val="24"/>
                <w:szCs w:val="24"/>
              </w:rPr>
            </w:pPr>
            <w:r w:rsidRPr="00BB28A6">
              <w:rPr>
                <w:rFonts w:ascii="Arial" w:hAnsi="Arial" w:cs="Arial"/>
                <w:sz w:val="24"/>
                <w:szCs w:val="24"/>
              </w:rPr>
              <w:t>Patient weight exceeding 440lbs (200kg).</w:t>
            </w:r>
          </w:p>
        </w:tc>
      </w:tr>
      <w:tr w:rsidR="00BB28A6" w:rsidRPr="00BB28A6" w14:paraId="5E607D5C" w14:textId="77777777" w:rsidTr="00BB28A6">
        <w:tc>
          <w:tcPr>
            <w:tcW w:w="9805" w:type="dxa"/>
            <w:vAlign w:val="center"/>
          </w:tcPr>
          <w:p w14:paraId="2B470390" w14:textId="1CF0CBCE" w:rsidR="00BB28A6" w:rsidRPr="00BB28A6" w:rsidRDefault="00BB28A6" w:rsidP="00BB28A6">
            <w:pPr>
              <w:pStyle w:val="ListParagraph"/>
              <w:numPr>
                <w:ilvl w:val="0"/>
                <w:numId w:val="1"/>
              </w:numPr>
              <w:spacing w:line="360" w:lineRule="auto"/>
              <w:jc w:val="left"/>
              <w:rPr>
                <w:sz w:val="24"/>
                <w:szCs w:val="24"/>
              </w:rPr>
            </w:pPr>
            <w:r w:rsidRPr="00BB28A6">
              <w:rPr>
                <w:rFonts w:ascii="Arial" w:hAnsi="Arial" w:cs="Arial"/>
                <w:sz w:val="24"/>
                <w:szCs w:val="24"/>
              </w:rPr>
              <w:t xml:space="preserve">Metal implants, such as pacemakers, defibrillators, implanted insulin pumps, deep brain stimulators, </w:t>
            </w:r>
            <w:proofErr w:type="spellStart"/>
            <w:r w:rsidRPr="00BB28A6">
              <w:rPr>
                <w:rFonts w:ascii="Arial" w:hAnsi="Arial" w:cs="Arial"/>
                <w:sz w:val="24"/>
                <w:szCs w:val="24"/>
              </w:rPr>
              <w:t>vagus</w:t>
            </w:r>
            <w:proofErr w:type="spellEnd"/>
            <w:r w:rsidRPr="00BB28A6">
              <w:rPr>
                <w:rFonts w:ascii="Arial" w:hAnsi="Arial" w:cs="Arial"/>
                <w:sz w:val="24"/>
                <w:szCs w:val="24"/>
              </w:rPr>
              <w:t xml:space="preserve"> nerve stimulators, cochlear implants, or programmable shunts.</w:t>
            </w:r>
          </w:p>
        </w:tc>
      </w:tr>
      <w:tr w:rsidR="00BB28A6" w:rsidRPr="00BB28A6" w14:paraId="0068DEDF" w14:textId="77777777" w:rsidTr="00BB28A6">
        <w:tc>
          <w:tcPr>
            <w:tcW w:w="9805" w:type="dxa"/>
            <w:vAlign w:val="center"/>
          </w:tcPr>
          <w:p w14:paraId="36B6084A" w14:textId="119BB163" w:rsidR="00BB28A6" w:rsidRPr="00BB28A6" w:rsidRDefault="00BB28A6" w:rsidP="00BB28A6">
            <w:pPr>
              <w:pStyle w:val="ListParagraph"/>
              <w:numPr>
                <w:ilvl w:val="0"/>
                <w:numId w:val="1"/>
              </w:numPr>
              <w:spacing w:line="360" w:lineRule="auto"/>
              <w:jc w:val="left"/>
              <w:rPr>
                <w:sz w:val="24"/>
                <w:szCs w:val="24"/>
              </w:rPr>
            </w:pPr>
            <w:r w:rsidRPr="00BB28A6">
              <w:rPr>
                <w:rFonts w:ascii="Arial" w:hAnsi="Arial" w:cs="Arial"/>
                <w:sz w:val="24"/>
                <w:szCs w:val="24"/>
              </w:rPr>
              <w:t>MRI-incompatible surgical hardware, such as staples, screws, or ferromagnetic implants (e.g., aneurysm clips, surgical clips, prostheses, cochlear implant).</w:t>
            </w:r>
          </w:p>
        </w:tc>
      </w:tr>
      <w:tr w:rsidR="00BB28A6" w:rsidRPr="00BB28A6" w14:paraId="31BC362A" w14:textId="77777777" w:rsidTr="00BB28A6">
        <w:tc>
          <w:tcPr>
            <w:tcW w:w="9805" w:type="dxa"/>
            <w:vAlign w:val="center"/>
          </w:tcPr>
          <w:p w14:paraId="523AB846" w14:textId="408A3839" w:rsidR="00BB28A6" w:rsidRPr="00BB28A6" w:rsidRDefault="00BB28A6" w:rsidP="00BB28A6">
            <w:pPr>
              <w:pStyle w:val="ListParagraph"/>
              <w:numPr>
                <w:ilvl w:val="0"/>
                <w:numId w:val="1"/>
              </w:numPr>
              <w:spacing w:line="360" w:lineRule="auto"/>
              <w:jc w:val="left"/>
              <w:rPr>
                <w:sz w:val="24"/>
                <w:szCs w:val="24"/>
              </w:rPr>
            </w:pPr>
            <w:r w:rsidRPr="00BB28A6">
              <w:rPr>
                <w:rFonts w:ascii="Arial" w:hAnsi="Arial" w:cs="Arial"/>
                <w:sz w:val="24"/>
                <w:szCs w:val="24"/>
              </w:rPr>
              <w:t>Artiﬁcial hearts or heart valves with steel parts, metal fragments, shrapnel, tattoos near the eye, permanent make-up, steel implants, or other irremovable ferromagnetic objects.</w:t>
            </w:r>
          </w:p>
        </w:tc>
      </w:tr>
    </w:tbl>
    <w:p w14:paraId="51A18700" w14:textId="77777777" w:rsidR="00BB28A6" w:rsidRDefault="00BB28A6"/>
    <w:p w14:paraId="680AAF82" w14:textId="77777777" w:rsidR="002F459D" w:rsidRDefault="002F459D"/>
    <w:p w14:paraId="6C2E03E0" w14:textId="77777777" w:rsidR="002F459D" w:rsidRDefault="002F459D" w:rsidP="002F459D">
      <w:pPr>
        <w:rPr>
          <w:rFonts w:ascii="Arial" w:hAnsi="Arial" w:cs="Arial"/>
          <w:b/>
          <w:sz w:val="24"/>
          <w:szCs w:val="24"/>
        </w:rPr>
        <w:sectPr w:rsidR="002F459D">
          <w:pgSz w:w="12240" w:h="15840"/>
          <w:pgMar w:top="1440" w:right="1440" w:bottom="1440" w:left="1440" w:header="720" w:footer="720" w:gutter="0"/>
          <w:cols w:space="720"/>
          <w:docGrid w:linePitch="360"/>
        </w:sectPr>
      </w:pPr>
    </w:p>
    <w:p w14:paraId="32BD5728" w14:textId="5808F4BE" w:rsidR="00101BB6" w:rsidRPr="00635E6C" w:rsidRDefault="00101BB6" w:rsidP="00101BB6">
      <w:pPr>
        <w:spacing w:line="360" w:lineRule="auto"/>
        <w:jc w:val="left"/>
        <w:rPr>
          <w:rFonts w:ascii="Arial" w:hAnsi="Arial" w:cs="Arial"/>
          <w:sz w:val="24"/>
          <w:szCs w:val="24"/>
        </w:rPr>
      </w:pPr>
      <w:r w:rsidRPr="00635E6C">
        <w:rPr>
          <w:rFonts w:ascii="Arial" w:hAnsi="Arial" w:cs="Arial"/>
          <w:b/>
          <w:sz w:val="24"/>
          <w:szCs w:val="24"/>
        </w:rPr>
        <w:lastRenderedPageBreak/>
        <w:t xml:space="preserve">Supplemental Table 2. </w:t>
      </w:r>
      <w:r w:rsidRPr="00101BB6">
        <w:rPr>
          <w:rFonts w:ascii="Arial" w:hAnsi="Arial" w:cs="Arial"/>
          <w:bCs/>
          <w:sz w:val="24"/>
          <w:szCs w:val="24"/>
        </w:rPr>
        <w:t>Description of</w:t>
      </w:r>
      <w:r>
        <w:rPr>
          <w:rFonts w:ascii="Arial" w:hAnsi="Arial" w:cs="Arial"/>
          <w:b/>
          <w:sz w:val="24"/>
          <w:szCs w:val="24"/>
        </w:rPr>
        <w:t xml:space="preserve"> </w:t>
      </w:r>
      <w:r>
        <w:rPr>
          <w:rFonts w:ascii="Arial" w:hAnsi="Arial" w:cs="Arial"/>
          <w:sz w:val="24"/>
          <w:szCs w:val="24"/>
        </w:rPr>
        <w:t>a</w:t>
      </w:r>
      <w:r w:rsidRPr="00635E6C">
        <w:rPr>
          <w:rFonts w:ascii="Arial" w:hAnsi="Arial" w:cs="Arial"/>
          <w:sz w:val="24"/>
          <w:szCs w:val="24"/>
        </w:rPr>
        <w:t xml:space="preserve">dverse </w:t>
      </w:r>
      <w:r>
        <w:rPr>
          <w:rFonts w:ascii="Arial" w:hAnsi="Arial" w:cs="Arial"/>
          <w:sz w:val="24"/>
          <w:szCs w:val="24"/>
        </w:rPr>
        <w:t>e</w:t>
      </w:r>
      <w:r w:rsidRPr="00635E6C">
        <w:rPr>
          <w:rFonts w:ascii="Arial" w:hAnsi="Arial" w:cs="Arial"/>
          <w:sz w:val="24"/>
          <w:szCs w:val="24"/>
        </w:rPr>
        <w:t xml:space="preserve">vents </w:t>
      </w:r>
      <w:r>
        <w:rPr>
          <w:rFonts w:ascii="Arial" w:hAnsi="Arial" w:cs="Arial"/>
          <w:sz w:val="24"/>
          <w:szCs w:val="24"/>
        </w:rPr>
        <w:t>during ULF-</w:t>
      </w:r>
      <w:proofErr w:type="spellStart"/>
      <w:r>
        <w:rPr>
          <w:rFonts w:ascii="Arial" w:hAnsi="Arial" w:cs="Arial"/>
          <w:sz w:val="24"/>
          <w:szCs w:val="24"/>
        </w:rPr>
        <w:t>pMRI</w:t>
      </w:r>
      <w:proofErr w:type="spellEnd"/>
      <w:r>
        <w:rPr>
          <w:rFonts w:ascii="Arial" w:hAnsi="Arial" w:cs="Arial"/>
          <w:sz w:val="24"/>
          <w:szCs w:val="24"/>
        </w:rPr>
        <w:t xml:space="preserve"> scan.</w:t>
      </w:r>
    </w:p>
    <w:tbl>
      <w:tblPr>
        <w:tblStyle w:val="TableGrid"/>
        <w:tblW w:w="9805" w:type="dxa"/>
        <w:tblLook w:val="04A0" w:firstRow="1" w:lastRow="0" w:firstColumn="1" w:lastColumn="0" w:noHBand="0" w:noVBand="1"/>
      </w:tblPr>
      <w:tblGrid>
        <w:gridCol w:w="445"/>
        <w:gridCol w:w="9360"/>
      </w:tblGrid>
      <w:tr w:rsidR="00101BB6" w:rsidRPr="00635E6C" w14:paraId="19A095D1" w14:textId="77777777" w:rsidTr="000509B4">
        <w:tc>
          <w:tcPr>
            <w:tcW w:w="445" w:type="dxa"/>
          </w:tcPr>
          <w:p w14:paraId="24C56151" w14:textId="77777777" w:rsidR="00101BB6" w:rsidRPr="00635E6C" w:rsidRDefault="00101BB6" w:rsidP="000509B4">
            <w:pPr>
              <w:spacing w:line="360" w:lineRule="auto"/>
              <w:rPr>
                <w:rFonts w:ascii="Arial" w:hAnsi="Arial" w:cs="Arial"/>
                <w:b/>
                <w:bCs/>
                <w:sz w:val="24"/>
                <w:szCs w:val="24"/>
              </w:rPr>
            </w:pPr>
          </w:p>
        </w:tc>
        <w:tc>
          <w:tcPr>
            <w:tcW w:w="9360" w:type="dxa"/>
          </w:tcPr>
          <w:p w14:paraId="4333145A" w14:textId="77777777" w:rsidR="00101BB6" w:rsidRPr="006511F9" w:rsidRDefault="00101BB6" w:rsidP="000509B4">
            <w:pPr>
              <w:spacing w:line="360" w:lineRule="auto"/>
              <w:rPr>
                <w:rFonts w:ascii="Arial" w:hAnsi="Arial" w:cs="Arial"/>
                <w:b/>
                <w:bCs/>
                <w:sz w:val="24"/>
                <w:szCs w:val="24"/>
              </w:rPr>
            </w:pPr>
            <w:r w:rsidRPr="006511F9">
              <w:rPr>
                <w:rFonts w:ascii="Arial" w:hAnsi="Arial" w:cs="Arial"/>
                <w:b/>
                <w:bCs/>
                <w:sz w:val="24"/>
                <w:szCs w:val="24"/>
              </w:rPr>
              <w:t>Adverse event description</w:t>
            </w:r>
          </w:p>
        </w:tc>
      </w:tr>
      <w:tr w:rsidR="00101BB6" w:rsidRPr="00635E6C" w14:paraId="4A2E8B80" w14:textId="77777777" w:rsidTr="000509B4">
        <w:tc>
          <w:tcPr>
            <w:tcW w:w="445" w:type="dxa"/>
          </w:tcPr>
          <w:p w14:paraId="40A03397" w14:textId="77777777" w:rsidR="00101BB6" w:rsidRPr="00635E6C" w:rsidRDefault="00101BB6" w:rsidP="000509B4">
            <w:pPr>
              <w:spacing w:line="360" w:lineRule="auto"/>
              <w:rPr>
                <w:rFonts w:ascii="Arial" w:hAnsi="Arial" w:cs="Arial"/>
                <w:sz w:val="24"/>
                <w:szCs w:val="24"/>
              </w:rPr>
            </w:pPr>
            <w:r w:rsidRPr="00635E6C">
              <w:rPr>
                <w:rFonts w:ascii="Arial" w:hAnsi="Arial" w:cs="Arial"/>
                <w:sz w:val="24"/>
                <w:szCs w:val="24"/>
              </w:rPr>
              <w:t>1</w:t>
            </w:r>
          </w:p>
        </w:tc>
        <w:tc>
          <w:tcPr>
            <w:tcW w:w="9360" w:type="dxa"/>
          </w:tcPr>
          <w:p w14:paraId="5CE7F854" w14:textId="40F6A4F1" w:rsidR="00101BB6" w:rsidRPr="00635E6C" w:rsidRDefault="00101BB6" w:rsidP="000509B4">
            <w:pPr>
              <w:widowControl/>
              <w:wordWrap/>
              <w:autoSpaceDE/>
              <w:autoSpaceDN/>
              <w:spacing w:line="360" w:lineRule="auto"/>
              <w:rPr>
                <w:rFonts w:ascii="Arial" w:hAnsi="Arial" w:cs="Arial"/>
                <w:color w:val="000000"/>
                <w:sz w:val="24"/>
                <w:szCs w:val="24"/>
              </w:rPr>
            </w:pPr>
            <w:r w:rsidRPr="00635E6C">
              <w:rPr>
                <w:rFonts w:ascii="Arial" w:hAnsi="Arial" w:cs="Arial"/>
                <w:color w:val="000000"/>
                <w:sz w:val="24"/>
                <w:szCs w:val="24"/>
              </w:rPr>
              <w:t>ECMO flow decreased from 6.0 to 0.9. Vital signs also decreased (MAP, HR, SpO</w:t>
            </w:r>
            <w:r w:rsidRPr="00101BB6">
              <w:rPr>
                <w:rFonts w:ascii="Arial" w:hAnsi="Arial" w:cs="Arial"/>
                <w:color w:val="000000"/>
                <w:sz w:val="24"/>
                <w:szCs w:val="24"/>
                <w:vertAlign w:val="subscript"/>
              </w:rPr>
              <w:t>2</w:t>
            </w:r>
            <w:r w:rsidRPr="00635E6C">
              <w:rPr>
                <w:rFonts w:ascii="Arial" w:hAnsi="Arial" w:cs="Arial"/>
                <w:color w:val="000000"/>
                <w:sz w:val="24"/>
                <w:szCs w:val="24"/>
              </w:rPr>
              <w:t xml:space="preserve">). The attending physician attempted to pause MRI acquisition, but </w:t>
            </w:r>
            <w:r>
              <w:rPr>
                <w:rFonts w:ascii="Arial" w:hAnsi="Arial" w:cs="Arial"/>
                <w:color w:val="000000"/>
                <w:sz w:val="24"/>
                <w:szCs w:val="24"/>
              </w:rPr>
              <w:t xml:space="preserve">the </w:t>
            </w:r>
            <w:r w:rsidRPr="00635E6C">
              <w:rPr>
                <w:rFonts w:ascii="Arial" w:hAnsi="Arial" w:cs="Arial"/>
                <w:color w:val="000000"/>
                <w:sz w:val="24"/>
                <w:szCs w:val="24"/>
              </w:rPr>
              <w:t xml:space="preserve">scan continued, and the patient recovered spontaneously. ECMO flow and vital signs returned to normal. </w:t>
            </w:r>
            <w:r>
              <w:rPr>
                <w:rFonts w:ascii="Arial" w:hAnsi="Arial" w:cs="Arial"/>
                <w:color w:val="000000"/>
                <w:sz w:val="24"/>
                <w:szCs w:val="24"/>
              </w:rPr>
              <w:t>The clinical</w:t>
            </w:r>
            <w:r w:rsidRPr="00635E6C">
              <w:rPr>
                <w:rFonts w:ascii="Arial" w:hAnsi="Arial" w:cs="Arial"/>
                <w:color w:val="000000"/>
                <w:sz w:val="24"/>
                <w:szCs w:val="24"/>
              </w:rPr>
              <w:t xml:space="preserve"> team stated </w:t>
            </w:r>
            <w:r>
              <w:rPr>
                <w:rFonts w:ascii="Arial" w:hAnsi="Arial" w:cs="Arial"/>
                <w:color w:val="000000"/>
                <w:sz w:val="24"/>
                <w:szCs w:val="24"/>
              </w:rPr>
              <w:t xml:space="preserve">the </w:t>
            </w:r>
            <w:r w:rsidRPr="00635E6C">
              <w:rPr>
                <w:rFonts w:ascii="Arial" w:hAnsi="Arial" w:cs="Arial"/>
                <w:color w:val="000000"/>
                <w:sz w:val="24"/>
                <w:szCs w:val="24"/>
              </w:rPr>
              <w:t xml:space="preserve">patient had a similar episode in the morning.  </w:t>
            </w:r>
          </w:p>
        </w:tc>
      </w:tr>
      <w:tr w:rsidR="00101BB6" w:rsidRPr="00635E6C" w14:paraId="552325F8" w14:textId="77777777" w:rsidTr="000509B4">
        <w:tc>
          <w:tcPr>
            <w:tcW w:w="445" w:type="dxa"/>
          </w:tcPr>
          <w:p w14:paraId="76AA974C" w14:textId="77777777" w:rsidR="00101BB6" w:rsidRPr="00635E6C" w:rsidRDefault="00101BB6" w:rsidP="000509B4">
            <w:pPr>
              <w:spacing w:line="360" w:lineRule="auto"/>
              <w:rPr>
                <w:rFonts w:ascii="Arial" w:hAnsi="Arial" w:cs="Arial"/>
                <w:sz w:val="24"/>
                <w:szCs w:val="24"/>
              </w:rPr>
            </w:pPr>
            <w:r w:rsidRPr="00635E6C">
              <w:rPr>
                <w:rFonts w:ascii="Arial" w:hAnsi="Arial" w:cs="Arial"/>
                <w:sz w:val="24"/>
                <w:szCs w:val="24"/>
              </w:rPr>
              <w:t>2</w:t>
            </w:r>
          </w:p>
        </w:tc>
        <w:tc>
          <w:tcPr>
            <w:tcW w:w="9360" w:type="dxa"/>
          </w:tcPr>
          <w:p w14:paraId="097B2ABC" w14:textId="1FE1F9FC" w:rsidR="00101BB6" w:rsidRPr="00635E6C" w:rsidRDefault="00101BB6" w:rsidP="000509B4">
            <w:pPr>
              <w:widowControl/>
              <w:wordWrap/>
              <w:autoSpaceDE/>
              <w:autoSpaceDN/>
              <w:spacing w:line="360" w:lineRule="auto"/>
              <w:rPr>
                <w:rFonts w:ascii="Arial" w:hAnsi="Arial" w:cs="Arial"/>
                <w:color w:val="000000"/>
                <w:sz w:val="24"/>
                <w:szCs w:val="24"/>
              </w:rPr>
            </w:pPr>
            <w:r w:rsidRPr="00635E6C">
              <w:rPr>
                <w:rFonts w:ascii="Arial" w:hAnsi="Arial" w:cs="Arial"/>
                <w:color w:val="000000"/>
                <w:sz w:val="24"/>
                <w:szCs w:val="24"/>
              </w:rPr>
              <w:t xml:space="preserve">When </w:t>
            </w:r>
            <w:r>
              <w:rPr>
                <w:rFonts w:ascii="Arial" w:hAnsi="Arial" w:cs="Arial"/>
                <w:color w:val="000000"/>
                <w:sz w:val="24"/>
                <w:szCs w:val="24"/>
              </w:rPr>
              <w:t xml:space="preserve">the </w:t>
            </w:r>
            <w:r w:rsidRPr="00635E6C">
              <w:rPr>
                <w:rFonts w:ascii="Arial" w:hAnsi="Arial" w:cs="Arial"/>
                <w:color w:val="000000"/>
                <w:sz w:val="24"/>
                <w:szCs w:val="24"/>
              </w:rPr>
              <w:t xml:space="preserve">patient was moved, ECMO flow and MAPs decreased. It resolved after </w:t>
            </w:r>
            <w:r>
              <w:rPr>
                <w:rFonts w:ascii="Arial" w:hAnsi="Arial" w:cs="Arial"/>
                <w:color w:val="000000"/>
                <w:sz w:val="24"/>
                <w:szCs w:val="24"/>
              </w:rPr>
              <w:t xml:space="preserve">the </w:t>
            </w:r>
            <w:r w:rsidRPr="00635E6C">
              <w:rPr>
                <w:rFonts w:ascii="Arial" w:hAnsi="Arial" w:cs="Arial"/>
                <w:color w:val="000000"/>
                <w:sz w:val="24"/>
                <w:szCs w:val="24"/>
              </w:rPr>
              <w:t xml:space="preserve">intervention. These events continued intermittently and resolved spontaneously. The attending physician did a bedside </w:t>
            </w:r>
            <w:r>
              <w:rPr>
                <w:rFonts w:ascii="Arial" w:hAnsi="Arial" w:cs="Arial"/>
                <w:color w:val="000000"/>
                <w:sz w:val="24"/>
                <w:szCs w:val="24"/>
              </w:rPr>
              <w:t>echocardiogram</w:t>
            </w:r>
            <w:r w:rsidRPr="00635E6C">
              <w:rPr>
                <w:rFonts w:ascii="Arial" w:hAnsi="Arial" w:cs="Arial"/>
                <w:color w:val="000000"/>
                <w:sz w:val="24"/>
                <w:szCs w:val="24"/>
              </w:rPr>
              <w:t xml:space="preserve"> which showed </w:t>
            </w:r>
            <w:r>
              <w:rPr>
                <w:rFonts w:ascii="Arial" w:hAnsi="Arial" w:cs="Arial"/>
                <w:color w:val="000000"/>
                <w:sz w:val="24"/>
                <w:szCs w:val="24"/>
              </w:rPr>
              <w:t xml:space="preserve">a </w:t>
            </w:r>
            <w:r w:rsidRPr="00635E6C">
              <w:rPr>
                <w:rFonts w:ascii="Arial" w:hAnsi="Arial" w:cs="Arial"/>
                <w:color w:val="000000"/>
                <w:sz w:val="24"/>
                <w:szCs w:val="24"/>
              </w:rPr>
              <w:t>small IVC. 250ml IVF was administered. Events resolved. It was determined that she was too flexed at the hip.</w:t>
            </w:r>
          </w:p>
        </w:tc>
      </w:tr>
      <w:tr w:rsidR="00101BB6" w:rsidRPr="00635E6C" w14:paraId="49231FD2" w14:textId="77777777" w:rsidTr="000509B4">
        <w:tc>
          <w:tcPr>
            <w:tcW w:w="445" w:type="dxa"/>
          </w:tcPr>
          <w:p w14:paraId="4074735C" w14:textId="77777777" w:rsidR="00101BB6" w:rsidRPr="00635E6C" w:rsidRDefault="00101BB6" w:rsidP="000509B4">
            <w:pPr>
              <w:spacing w:line="360" w:lineRule="auto"/>
              <w:rPr>
                <w:rFonts w:ascii="Arial" w:hAnsi="Arial" w:cs="Arial"/>
                <w:sz w:val="24"/>
                <w:szCs w:val="24"/>
              </w:rPr>
            </w:pPr>
            <w:r w:rsidRPr="00635E6C">
              <w:rPr>
                <w:rFonts w:ascii="Arial" w:hAnsi="Arial" w:cs="Arial"/>
                <w:sz w:val="24"/>
                <w:szCs w:val="24"/>
              </w:rPr>
              <w:t>3</w:t>
            </w:r>
          </w:p>
        </w:tc>
        <w:tc>
          <w:tcPr>
            <w:tcW w:w="9360" w:type="dxa"/>
          </w:tcPr>
          <w:p w14:paraId="4E7A6936" w14:textId="34FCE54F" w:rsidR="00101BB6" w:rsidRPr="00635E6C" w:rsidRDefault="00101BB6" w:rsidP="000509B4">
            <w:pPr>
              <w:widowControl/>
              <w:wordWrap/>
              <w:autoSpaceDE/>
              <w:autoSpaceDN/>
              <w:spacing w:line="360" w:lineRule="auto"/>
              <w:rPr>
                <w:rFonts w:ascii="Arial" w:hAnsi="Arial" w:cs="Arial"/>
                <w:color w:val="000000"/>
                <w:sz w:val="24"/>
                <w:szCs w:val="24"/>
              </w:rPr>
            </w:pPr>
            <w:r w:rsidRPr="00635E6C">
              <w:rPr>
                <w:rFonts w:ascii="Arial" w:hAnsi="Arial" w:cs="Arial"/>
                <w:color w:val="000000"/>
                <w:sz w:val="24"/>
                <w:szCs w:val="24"/>
              </w:rPr>
              <w:t xml:space="preserve">Approximately 6 minutes after the </w:t>
            </w:r>
            <w:r>
              <w:rPr>
                <w:rFonts w:ascii="Arial" w:hAnsi="Arial" w:cs="Arial"/>
                <w:color w:val="000000"/>
                <w:sz w:val="24"/>
                <w:szCs w:val="24"/>
              </w:rPr>
              <w:t>ULF-</w:t>
            </w:r>
            <w:proofErr w:type="spellStart"/>
            <w:r w:rsidRPr="00635E6C">
              <w:rPr>
                <w:rFonts w:ascii="Arial" w:hAnsi="Arial" w:cs="Arial"/>
                <w:color w:val="000000"/>
                <w:sz w:val="24"/>
                <w:szCs w:val="24"/>
              </w:rPr>
              <w:t>pMRI</w:t>
            </w:r>
            <w:proofErr w:type="spellEnd"/>
            <w:r w:rsidRPr="00635E6C">
              <w:rPr>
                <w:rFonts w:ascii="Arial" w:hAnsi="Arial" w:cs="Arial"/>
                <w:color w:val="000000"/>
                <w:sz w:val="24"/>
                <w:szCs w:val="24"/>
              </w:rPr>
              <w:t xml:space="preserve"> was started during </w:t>
            </w:r>
            <w:r>
              <w:rPr>
                <w:rFonts w:ascii="Arial" w:hAnsi="Arial" w:cs="Arial"/>
                <w:color w:val="000000"/>
                <w:sz w:val="24"/>
                <w:szCs w:val="24"/>
              </w:rPr>
              <w:t xml:space="preserve">the </w:t>
            </w:r>
            <w:r w:rsidRPr="00635E6C">
              <w:rPr>
                <w:rFonts w:ascii="Arial" w:hAnsi="Arial" w:cs="Arial"/>
                <w:color w:val="000000"/>
                <w:sz w:val="24"/>
                <w:szCs w:val="24"/>
              </w:rPr>
              <w:t xml:space="preserve">acquisition of the DWI images, the intraarterial balloon pump (IABP) stopped functioning, and the scan was paused. It was subsequently determined the magnetic field generated by </w:t>
            </w:r>
            <w:r>
              <w:rPr>
                <w:rFonts w:ascii="Arial" w:hAnsi="Arial" w:cs="Arial"/>
                <w:color w:val="000000"/>
                <w:sz w:val="24"/>
                <w:szCs w:val="24"/>
              </w:rPr>
              <w:t>ULF-</w:t>
            </w:r>
            <w:proofErr w:type="spellStart"/>
            <w:r w:rsidRPr="00635E6C">
              <w:rPr>
                <w:rFonts w:ascii="Arial" w:hAnsi="Arial" w:cs="Arial"/>
                <w:color w:val="000000"/>
                <w:sz w:val="24"/>
                <w:szCs w:val="24"/>
              </w:rPr>
              <w:t>pMRI</w:t>
            </w:r>
            <w:proofErr w:type="spellEnd"/>
            <w:r w:rsidRPr="00635E6C">
              <w:rPr>
                <w:rFonts w:ascii="Arial" w:hAnsi="Arial" w:cs="Arial"/>
                <w:color w:val="000000"/>
                <w:sz w:val="24"/>
                <w:szCs w:val="24"/>
              </w:rPr>
              <w:t xml:space="preserve"> affected the </w:t>
            </w:r>
            <w:r>
              <w:rPr>
                <w:rFonts w:ascii="Arial" w:hAnsi="Arial" w:cs="Arial"/>
                <w:color w:val="000000"/>
                <w:sz w:val="24"/>
                <w:szCs w:val="24"/>
              </w:rPr>
              <w:t>patient's</w:t>
            </w:r>
            <w:r w:rsidRPr="00635E6C">
              <w:rPr>
                <w:rFonts w:ascii="Arial" w:hAnsi="Arial" w:cs="Arial"/>
                <w:color w:val="000000"/>
                <w:sz w:val="24"/>
                <w:szCs w:val="24"/>
              </w:rPr>
              <w:t xml:space="preserve"> ECG leads causing significant </w:t>
            </w:r>
            <w:r>
              <w:rPr>
                <w:rFonts w:ascii="Arial" w:hAnsi="Arial" w:cs="Arial"/>
                <w:color w:val="000000"/>
                <w:sz w:val="24"/>
                <w:szCs w:val="24"/>
              </w:rPr>
              <w:t>artifacts</w:t>
            </w:r>
            <w:r w:rsidRPr="00635E6C">
              <w:rPr>
                <w:rFonts w:ascii="Arial" w:hAnsi="Arial" w:cs="Arial"/>
                <w:color w:val="000000"/>
                <w:sz w:val="24"/>
                <w:szCs w:val="24"/>
              </w:rPr>
              <w:t xml:space="preserve"> on telemetry. Given that the IABP was set to ECG trigger, cycling stopped as telemetry </w:t>
            </w:r>
            <w:r>
              <w:rPr>
                <w:rFonts w:ascii="Arial" w:hAnsi="Arial" w:cs="Arial"/>
                <w:color w:val="000000"/>
                <w:sz w:val="24"/>
                <w:szCs w:val="24"/>
              </w:rPr>
              <w:t>returned</w:t>
            </w:r>
            <w:r w:rsidRPr="00635E6C">
              <w:rPr>
                <w:rFonts w:ascii="Arial" w:hAnsi="Arial" w:cs="Arial"/>
                <w:color w:val="000000"/>
                <w:sz w:val="24"/>
                <w:szCs w:val="24"/>
              </w:rPr>
              <w:t xml:space="preserve"> </w:t>
            </w:r>
            <w:r>
              <w:rPr>
                <w:rFonts w:ascii="Arial" w:hAnsi="Arial" w:cs="Arial"/>
                <w:color w:val="000000"/>
                <w:sz w:val="24"/>
                <w:szCs w:val="24"/>
              </w:rPr>
              <w:t>a</w:t>
            </w:r>
            <w:r w:rsidRPr="00635E6C">
              <w:rPr>
                <w:rFonts w:ascii="Arial" w:hAnsi="Arial" w:cs="Arial"/>
                <w:color w:val="000000"/>
                <w:sz w:val="24"/>
                <w:szCs w:val="24"/>
              </w:rPr>
              <w:t xml:space="preserve"> </w:t>
            </w:r>
            <w:r>
              <w:rPr>
                <w:rFonts w:ascii="Arial" w:hAnsi="Arial" w:cs="Arial"/>
                <w:color w:val="000000"/>
                <w:sz w:val="24"/>
                <w:szCs w:val="24"/>
              </w:rPr>
              <w:t xml:space="preserve">heart rate </w:t>
            </w:r>
            <w:r w:rsidRPr="00635E6C">
              <w:rPr>
                <w:rFonts w:ascii="Arial" w:hAnsi="Arial" w:cs="Arial"/>
                <w:color w:val="000000"/>
                <w:sz w:val="24"/>
                <w:szCs w:val="24"/>
              </w:rPr>
              <w:t xml:space="preserve">of zero. Triggering on the IABP was then switched to internal at a set rate of 75 beats per minute. The PI and physicians </w:t>
            </w:r>
            <w:r>
              <w:rPr>
                <w:rFonts w:ascii="Arial" w:hAnsi="Arial" w:cs="Arial"/>
                <w:color w:val="000000"/>
                <w:sz w:val="24"/>
                <w:szCs w:val="24"/>
              </w:rPr>
              <w:t>caring for</w:t>
            </w:r>
            <w:r w:rsidRPr="00635E6C">
              <w:rPr>
                <w:rFonts w:ascii="Arial" w:hAnsi="Arial" w:cs="Arial"/>
                <w:color w:val="000000"/>
                <w:sz w:val="24"/>
                <w:szCs w:val="24"/>
              </w:rPr>
              <w:t xml:space="preserve"> the patient conferenced at </w:t>
            </w:r>
            <w:r>
              <w:rPr>
                <w:rFonts w:ascii="Arial" w:hAnsi="Arial" w:cs="Arial"/>
                <w:color w:val="000000"/>
                <w:sz w:val="24"/>
                <w:szCs w:val="24"/>
              </w:rPr>
              <w:t xml:space="preserve">the </w:t>
            </w:r>
            <w:r w:rsidRPr="00635E6C">
              <w:rPr>
                <w:rFonts w:ascii="Arial" w:hAnsi="Arial" w:cs="Arial"/>
                <w:color w:val="000000"/>
                <w:sz w:val="24"/>
                <w:szCs w:val="24"/>
              </w:rPr>
              <w:t>bedside and deemed it safe to continue the scan. The scan was resumed without any other issues.</w:t>
            </w:r>
          </w:p>
        </w:tc>
      </w:tr>
    </w:tbl>
    <w:p w14:paraId="494ECB61" w14:textId="77777777" w:rsidR="00101BB6" w:rsidRDefault="00101BB6" w:rsidP="00101BB6">
      <w:pPr>
        <w:spacing w:line="240" w:lineRule="auto"/>
        <w:contextualSpacing/>
        <w:rPr>
          <w:rFonts w:ascii="Arial" w:hAnsi="Arial" w:cs="Arial"/>
          <w:color w:val="202124"/>
          <w:sz w:val="22"/>
          <w:shd w:val="clear" w:color="auto" w:fill="FFFFFF"/>
        </w:rPr>
        <w:sectPr w:rsidR="00101BB6">
          <w:pgSz w:w="12240" w:h="15840"/>
          <w:pgMar w:top="1440" w:right="1440" w:bottom="1440" w:left="1440" w:header="720" w:footer="720" w:gutter="0"/>
          <w:cols w:space="720"/>
          <w:docGrid w:linePitch="360"/>
        </w:sectPr>
      </w:pPr>
      <w:r w:rsidRPr="00101BB6">
        <w:rPr>
          <w:rFonts w:ascii="Arial" w:hAnsi="Arial" w:cs="Arial"/>
          <w:sz w:val="22"/>
        </w:rPr>
        <w:t>ULF-</w:t>
      </w:r>
      <w:proofErr w:type="spellStart"/>
      <w:r w:rsidRPr="00101BB6">
        <w:rPr>
          <w:rFonts w:ascii="Arial" w:hAnsi="Arial" w:cs="Arial"/>
          <w:sz w:val="22"/>
        </w:rPr>
        <w:t>pMRI</w:t>
      </w:r>
      <w:proofErr w:type="spellEnd"/>
      <w:r w:rsidRPr="00101BB6">
        <w:rPr>
          <w:rFonts w:ascii="Arial" w:hAnsi="Arial" w:cs="Arial"/>
          <w:sz w:val="22"/>
        </w:rPr>
        <w:t xml:space="preserve">: ultra-low-field (0.064T) portable MRI, MAP: mean </w:t>
      </w:r>
      <w:r>
        <w:rPr>
          <w:rFonts w:ascii="Arial" w:hAnsi="Arial" w:cs="Arial"/>
          <w:sz w:val="22"/>
        </w:rPr>
        <w:t>arterial</w:t>
      </w:r>
      <w:r w:rsidRPr="00101BB6">
        <w:rPr>
          <w:rFonts w:ascii="Arial" w:hAnsi="Arial" w:cs="Arial"/>
          <w:sz w:val="22"/>
        </w:rPr>
        <w:t xml:space="preserve"> pressure, HR: heart rate, IVC: inferior vena cava, IVF: intravenous fluid, ECG: </w:t>
      </w:r>
      <w:r w:rsidRPr="00101BB6">
        <w:rPr>
          <w:rFonts w:ascii="Arial" w:hAnsi="Arial" w:cs="Arial"/>
          <w:color w:val="202124"/>
          <w:sz w:val="22"/>
          <w:shd w:val="clear" w:color="auto" w:fill="FFFFFF"/>
        </w:rPr>
        <w:t>electrocardiogram</w:t>
      </w:r>
      <w:r>
        <w:rPr>
          <w:rFonts w:ascii="Arial" w:hAnsi="Arial" w:cs="Arial"/>
          <w:color w:val="202124"/>
          <w:sz w:val="22"/>
          <w:shd w:val="clear" w:color="auto" w:fill="FFFFFF"/>
        </w:rPr>
        <w:t xml:space="preserve">. </w:t>
      </w:r>
    </w:p>
    <w:p w14:paraId="7A9DA248" w14:textId="77777777" w:rsidR="00101BB6" w:rsidRPr="00635E6C" w:rsidRDefault="00101BB6" w:rsidP="00101BB6">
      <w:pPr>
        <w:spacing w:line="360" w:lineRule="auto"/>
        <w:rPr>
          <w:rFonts w:ascii="Arial" w:hAnsi="Arial" w:cs="Arial"/>
          <w:sz w:val="24"/>
          <w:szCs w:val="24"/>
        </w:rPr>
      </w:pPr>
      <w:r w:rsidRPr="00635E6C">
        <w:rPr>
          <w:rFonts w:ascii="Arial" w:hAnsi="Arial" w:cs="Arial"/>
          <w:b/>
          <w:sz w:val="24"/>
          <w:szCs w:val="24"/>
        </w:rPr>
        <w:t xml:space="preserve">Supplemental Table </w:t>
      </w:r>
      <w:r>
        <w:rPr>
          <w:rFonts w:ascii="Arial" w:hAnsi="Arial" w:cs="Arial"/>
          <w:b/>
          <w:sz w:val="24"/>
          <w:szCs w:val="24"/>
        </w:rPr>
        <w:t>3</w:t>
      </w:r>
      <w:r w:rsidRPr="00635E6C">
        <w:rPr>
          <w:rFonts w:ascii="Arial" w:hAnsi="Arial" w:cs="Arial"/>
          <w:b/>
          <w:sz w:val="24"/>
          <w:szCs w:val="24"/>
        </w:rPr>
        <w:t xml:space="preserve">. </w:t>
      </w:r>
      <w:r w:rsidRPr="00635E6C">
        <w:rPr>
          <w:rFonts w:ascii="Arial" w:hAnsi="Arial" w:cs="Arial"/>
          <w:sz w:val="24"/>
          <w:szCs w:val="24"/>
        </w:rPr>
        <w:t>Artifact</w:t>
      </w:r>
      <w:r>
        <w:rPr>
          <w:rFonts w:ascii="Arial" w:hAnsi="Arial" w:cs="Arial"/>
          <w:sz w:val="24"/>
          <w:szCs w:val="24"/>
        </w:rPr>
        <w:t>s on ULF-</w:t>
      </w:r>
      <w:proofErr w:type="spellStart"/>
      <w:r>
        <w:rPr>
          <w:rFonts w:ascii="Arial" w:hAnsi="Arial" w:cs="Arial"/>
          <w:sz w:val="24"/>
          <w:szCs w:val="24"/>
        </w:rPr>
        <w:t>pMRI</w:t>
      </w:r>
      <w:proofErr w:type="spellEnd"/>
      <w:r>
        <w:rPr>
          <w:rFonts w:ascii="Arial" w:hAnsi="Arial" w:cs="Arial"/>
          <w:sz w:val="24"/>
          <w:szCs w:val="24"/>
        </w:rPr>
        <w:t xml:space="preserve"> imaging.</w:t>
      </w:r>
    </w:p>
    <w:tbl>
      <w:tblPr>
        <w:tblStyle w:val="TableGrid"/>
        <w:tblW w:w="9805" w:type="dxa"/>
        <w:tblLayout w:type="fixed"/>
        <w:tblLook w:val="06A0" w:firstRow="1" w:lastRow="0" w:firstColumn="1" w:lastColumn="0" w:noHBand="1" w:noVBand="1"/>
      </w:tblPr>
      <w:tblGrid>
        <w:gridCol w:w="625"/>
        <w:gridCol w:w="9180"/>
      </w:tblGrid>
      <w:tr w:rsidR="00101BB6" w:rsidRPr="00635E6C" w14:paraId="4729F850" w14:textId="77777777" w:rsidTr="000509B4">
        <w:trPr>
          <w:trHeight w:val="300"/>
        </w:trPr>
        <w:tc>
          <w:tcPr>
            <w:tcW w:w="625" w:type="dxa"/>
          </w:tcPr>
          <w:p w14:paraId="0C67A38A" w14:textId="77777777" w:rsidR="00101BB6" w:rsidRPr="00635E6C" w:rsidRDefault="00101BB6" w:rsidP="000509B4">
            <w:pPr>
              <w:spacing w:line="360" w:lineRule="auto"/>
              <w:jc w:val="left"/>
              <w:rPr>
                <w:rFonts w:ascii="Arial" w:eastAsia="Calibri" w:hAnsi="Arial" w:cs="Arial"/>
                <w:b/>
                <w:bCs/>
                <w:color w:val="000000" w:themeColor="text1"/>
                <w:sz w:val="24"/>
                <w:szCs w:val="24"/>
              </w:rPr>
            </w:pPr>
          </w:p>
        </w:tc>
        <w:tc>
          <w:tcPr>
            <w:tcW w:w="9180" w:type="dxa"/>
          </w:tcPr>
          <w:p w14:paraId="7EF99083" w14:textId="77777777" w:rsidR="00101BB6" w:rsidRPr="00635E6C" w:rsidRDefault="00101BB6" w:rsidP="000509B4">
            <w:pPr>
              <w:spacing w:line="360" w:lineRule="auto"/>
              <w:jc w:val="left"/>
              <w:rPr>
                <w:rFonts w:ascii="Arial" w:eastAsia="Calibri" w:hAnsi="Arial" w:cs="Arial"/>
                <w:b/>
                <w:bCs/>
                <w:color w:val="000000" w:themeColor="text1"/>
                <w:sz w:val="24"/>
                <w:szCs w:val="24"/>
              </w:rPr>
            </w:pPr>
            <w:r w:rsidRPr="00635E6C">
              <w:rPr>
                <w:rFonts w:ascii="Arial" w:eastAsia="Calibri" w:hAnsi="Arial" w:cs="Arial"/>
                <w:b/>
                <w:bCs/>
                <w:color w:val="000000" w:themeColor="text1"/>
                <w:sz w:val="24"/>
                <w:szCs w:val="24"/>
              </w:rPr>
              <w:t>Artifact</w:t>
            </w:r>
            <w:r>
              <w:rPr>
                <w:rFonts w:ascii="Arial" w:eastAsia="Calibri" w:hAnsi="Arial" w:cs="Arial"/>
                <w:b/>
                <w:bCs/>
                <w:color w:val="000000" w:themeColor="text1"/>
                <w:sz w:val="24"/>
                <w:szCs w:val="24"/>
              </w:rPr>
              <w:t xml:space="preserve"> description</w:t>
            </w:r>
          </w:p>
        </w:tc>
      </w:tr>
      <w:tr w:rsidR="00101BB6" w:rsidRPr="00635E6C" w14:paraId="48B2A1FD" w14:textId="77777777" w:rsidTr="000509B4">
        <w:trPr>
          <w:trHeight w:val="300"/>
        </w:trPr>
        <w:tc>
          <w:tcPr>
            <w:tcW w:w="625" w:type="dxa"/>
          </w:tcPr>
          <w:p w14:paraId="3027DF51" w14:textId="77777777" w:rsidR="00101BB6" w:rsidRPr="00635E6C" w:rsidRDefault="00101BB6" w:rsidP="000509B4">
            <w:pPr>
              <w:spacing w:line="360" w:lineRule="auto"/>
              <w:jc w:val="left"/>
              <w:rPr>
                <w:rFonts w:ascii="Arial" w:hAnsi="Arial" w:cs="Arial"/>
                <w:sz w:val="24"/>
                <w:szCs w:val="24"/>
              </w:rPr>
            </w:pPr>
            <w:r w:rsidRPr="00635E6C">
              <w:rPr>
                <w:rFonts w:ascii="Arial" w:eastAsia="Calibri" w:hAnsi="Arial" w:cs="Arial"/>
                <w:color w:val="000000" w:themeColor="text1"/>
                <w:sz w:val="24"/>
                <w:szCs w:val="24"/>
              </w:rPr>
              <w:t>1</w:t>
            </w:r>
          </w:p>
        </w:tc>
        <w:tc>
          <w:tcPr>
            <w:tcW w:w="9180" w:type="dxa"/>
          </w:tcPr>
          <w:p w14:paraId="04AF007E" w14:textId="02A62268" w:rsidR="00101BB6" w:rsidRPr="00635E6C" w:rsidRDefault="00101BB6" w:rsidP="000509B4">
            <w:pPr>
              <w:spacing w:line="360" w:lineRule="auto"/>
              <w:jc w:val="left"/>
              <w:rPr>
                <w:rFonts w:ascii="Arial" w:hAnsi="Arial" w:cs="Arial"/>
                <w:sz w:val="24"/>
                <w:szCs w:val="24"/>
              </w:rPr>
            </w:pPr>
            <w:r w:rsidRPr="00635E6C">
              <w:rPr>
                <w:rFonts w:ascii="Arial" w:eastAsia="Calibri" w:hAnsi="Arial" w:cs="Arial"/>
                <w:color w:val="000000" w:themeColor="text1"/>
                <w:sz w:val="24"/>
                <w:szCs w:val="24"/>
              </w:rPr>
              <w:t xml:space="preserve">Significant artifact on diffusion images, especially at </w:t>
            </w:r>
            <w:r>
              <w:rPr>
                <w:rFonts w:ascii="Arial" w:eastAsia="Calibri" w:hAnsi="Arial" w:cs="Arial"/>
                <w:color w:val="000000" w:themeColor="text1"/>
                <w:sz w:val="24"/>
                <w:szCs w:val="24"/>
              </w:rPr>
              <w:t xml:space="preserve">the </w:t>
            </w:r>
            <w:r w:rsidRPr="00635E6C">
              <w:rPr>
                <w:rFonts w:ascii="Arial" w:eastAsia="Calibri" w:hAnsi="Arial" w:cs="Arial"/>
                <w:color w:val="000000" w:themeColor="text1"/>
                <w:sz w:val="24"/>
                <w:szCs w:val="24"/>
              </w:rPr>
              <w:t xml:space="preserve">skull base. The resolution and contrast </w:t>
            </w:r>
            <w:r>
              <w:rPr>
                <w:rFonts w:ascii="Arial" w:eastAsia="Calibri" w:hAnsi="Arial" w:cs="Arial"/>
                <w:color w:val="000000" w:themeColor="text1"/>
                <w:sz w:val="24"/>
                <w:szCs w:val="24"/>
              </w:rPr>
              <w:t>were</w:t>
            </w:r>
            <w:r w:rsidRPr="00635E6C">
              <w:rPr>
                <w:rFonts w:ascii="Arial" w:eastAsia="Calibri" w:hAnsi="Arial" w:cs="Arial"/>
                <w:color w:val="000000" w:themeColor="text1"/>
                <w:sz w:val="24"/>
                <w:szCs w:val="24"/>
              </w:rPr>
              <w:t xml:space="preserve"> suboptimal, and it </w:t>
            </w:r>
            <w:r>
              <w:rPr>
                <w:rFonts w:ascii="Arial" w:eastAsia="Calibri" w:hAnsi="Arial" w:cs="Arial"/>
                <w:color w:val="000000" w:themeColor="text1"/>
                <w:sz w:val="24"/>
                <w:szCs w:val="24"/>
              </w:rPr>
              <w:t>was</w:t>
            </w:r>
            <w:r w:rsidRPr="00635E6C">
              <w:rPr>
                <w:rFonts w:ascii="Arial" w:eastAsia="Calibri" w:hAnsi="Arial" w:cs="Arial"/>
                <w:color w:val="000000" w:themeColor="text1"/>
                <w:sz w:val="24"/>
                <w:szCs w:val="24"/>
              </w:rPr>
              <w:t xml:space="preserve"> unclear what if any abnormality represents infarct vs. artifact since it encompasse</w:t>
            </w:r>
            <w:r>
              <w:rPr>
                <w:rFonts w:ascii="Arial" w:eastAsia="Calibri" w:hAnsi="Arial" w:cs="Arial"/>
                <w:color w:val="000000" w:themeColor="text1"/>
                <w:sz w:val="24"/>
                <w:szCs w:val="24"/>
              </w:rPr>
              <w:t>d</w:t>
            </w:r>
            <w:r w:rsidRPr="00635E6C">
              <w:rPr>
                <w:rFonts w:ascii="Arial" w:eastAsia="Calibri" w:hAnsi="Arial" w:cs="Arial"/>
                <w:color w:val="000000" w:themeColor="text1"/>
                <w:sz w:val="24"/>
                <w:szCs w:val="24"/>
              </w:rPr>
              <w:t xml:space="preserve"> different vascular territories. </w:t>
            </w:r>
          </w:p>
        </w:tc>
      </w:tr>
      <w:tr w:rsidR="00101BB6" w:rsidRPr="00635E6C" w14:paraId="7AB16851" w14:textId="77777777" w:rsidTr="000509B4">
        <w:trPr>
          <w:trHeight w:val="300"/>
        </w:trPr>
        <w:tc>
          <w:tcPr>
            <w:tcW w:w="625" w:type="dxa"/>
          </w:tcPr>
          <w:p w14:paraId="07FD33F1" w14:textId="77777777" w:rsidR="00101BB6" w:rsidRPr="00635E6C" w:rsidRDefault="00101BB6" w:rsidP="000509B4">
            <w:pPr>
              <w:spacing w:line="360" w:lineRule="auto"/>
              <w:jc w:val="left"/>
              <w:rPr>
                <w:rFonts w:ascii="Arial" w:hAnsi="Arial" w:cs="Arial"/>
                <w:sz w:val="24"/>
                <w:szCs w:val="24"/>
              </w:rPr>
            </w:pPr>
            <w:r w:rsidRPr="00635E6C">
              <w:rPr>
                <w:rFonts w:ascii="Arial" w:eastAsia="Calibri" w:hAnsi="Arial" w:cs="Arial"/>
                <w:color w:val="000000" w:themeColor="text1"/>
                <w:sz w:val="24"/>
                <w:szCs w:val="24"/>
              </w:rPr>
              <w:t>2</w:t>
            </w:r>
          </w:p>
        </w:tc>
        <w:tc>
          <w:tcPr>
            <w:tcW w:w="9180" w:type="dxa"/>
          </w:tcPr>
          <w:p w14:paraId="17BE4D8A" w14:textId="77777777" w:rsidR="00101BB6" w:rsidRPr="00635E6C" w:rsidRDefault="00101BB6" w:rsidP="000509B4">
            <w:pPr>
              <w:spacing w:line="360" w:lineRule="auto"/>
              <w:jc w:val="left"/>
              <w:rPr>
                <w:rFonts w:ascii="Arial" w:hAnsi="Arial" w:cs="Arial"/>
                <w:sz w:val="24"/>
                <w:szCs w:val="24"/>
              </w:rPr>
            </w:pPr>
            <w:r>
              <w:rPr>
                <w:rFonts w:ascii="Arial" w:eastAsia="Calibri" w:hAnsi="Arial" w:cs="Arial"/>
                <w:color w:val="000000" w:themeColor="text1"/>
                <w:sz w:val="24"/>
                <w:szCs w:val="24"/>
              </w:rPr>
              <w:t>A</w:t>
            </w:r>
            <w:r w:rsidRPr="00635E6C">
              <w:rPr>
                <w:rFonts w:ascii="Arial" w:eastAsia="Calibri" w:hAnsi="Arial" w:cs="Arial"/>
                <w:color w:val="000000" w:themeColor="text1"/>
                <w:sz w:val="24"/>
                <w:szCs w:val="24"/>
              </w:rPr>
              <w:t>rtifact anteriorly obscuring anterior inferior brain</w:t>
            </w:r>
          </w:p>
        </w:tc>
      </w:tr>
      <w:tr w:rsidR="00101BB6" w:rsidRPr="00635E6C" w14:paraId="249215A1" w14:textId="77777777" w:rsidTr="000509B4">
        <w:trPr>
          <w:trHeight w:val="300"/>
        </w:trPr>
        <w:tc>
          <w:tcPr>
            <w:tcW w:w="625" w:type="dxa"/>
          </w:tcPr>
          <w:p w14:paraId="02FBECAE" w14:textId="77777777" w:rsidR="00101BB6" w:rsidRPr="00635E6C" w:rsidRDefault="00101BB6" w:rsidP="000509B4">
            <w:pPr>
              <w:spacing w:line="360" w:lineRule="auto"/>
              <w:jc w:val="left"/>
              <w:rPr>
                <w:rFonts w:ascii="Arial" w:hAnsi="Arial" w:cs="Arial"/>
                <w:sz w:val="24"/>
                <w:szCs w:val="24"/>
              </w:rPr>
            </w:pPr>
            <w:r w:rsidRPr="00635E6C">
              <w:rPr>
                <w:rFonts w:ascii="Arial" w:eastAsia="Calibri" w:hAnsi="Arial" w:cs="Arial"/>
                <w:color w:val="000000" w:themeColor="text1"/>
                <w:sz w:val="24"/>
                <w:szCs w:val="24"/>
              </w:rPr>
              <w:t>3</w:t>
            </w:r>
          </w:p>
        </w:tc>
        <w:tc>
          <w:tcPr>
            <w:tcW w:w="9180" w:type="dxa"/>
          </w:tcPr>
          <w:p w14:paraId="15B38F6D" w14:textId="2D5622E8" w:rsidR="00101BB6" w:rsidRPr="00635E6C" w:rsidRDefault="00101BB6" w:rsidP="000509B4">
            <w:pPr>
              <w:spacing w:line="360" w:lineRule="auto"/>
              <w:jc w:val="left"/>
              <w:rPr>
                <w:rFonts w:ascii="Arial" w:hAnsi="Arial" w:cs="Arial"/>
                <w:sz w:val="24"/>
                <w:szCs w:val="24"/>
              </w:rPr>
            </w:pPr>
            <w:r>
              <w:rPr>
                <w:rFonts w:ascii="Arial" w:eastAsia="Calibri" w:hAnsi="Arial" w:cs="Arial"/>
                <w:color w:val="000000" w:themeColor="text1"/>
                <w:sz w:val="24"/>
                <w:szCs w:val="24"/>
              </w:rPr>
              <w:t>A</w:t>
            </w:r>
            <w:r w:rsidRPr="00635E6C">
              <w:rPr>
                <w:rFonts w:ascii="Arial" w:eastAsia="Calibri" w:hAnsi="Arial" w:cs="Arial"/>
                <w:color w:val="000000" w:themeColor="text1"/>
                <w:sz w:val="24"/>
                <w:szCs w:val="24"/>
              </w:rPr>
              <w:t xml:space="preserve">rtifact in </w:t>
            </w:r>
            <w:r>
              <w:rPr>
                <w:rFonts w:ascii="Arial" w:eastAsia="Calibri" w:hAnsi="Arial" w:cs="Arial"/>
                <w:color w:val="000000" w:themeColor="text1"/>
                <w:sz w:val="24"/>
                <w:szCs w:val="24"/>
              </w:rPr>
              <w:t xml:space="preserve">the </w:t>
            </w:r>
            <w:r w:rsidRPr="00635E6C">
              <w:rPr>
                <w:rFonts w:ascii="Arial" w:eastAsia="Calibri" w:hAnsi="Arial" w:cs="Arial"/>
                <w:color w:val="000000" w:themeColor="text1"/>
                <w:sz w:val="24"/>
                <w:szCs w:val="24"/>
              </w:rPr>
              <w:t xml:space="preserve">right side of </w:t>
            </w:r>
            <w:r>
              <w:rPr>
                <w:rFonts w:ascii="Arial" w:eastAsia="Calibri" w:hAnsi="Arial" w:cs="Arial"/>
                <w:color w:val="000000" w:themeColor="text1"/>
                <w:sz w:val="24"/>
                <w:szCs w:val="24"/>
              </w:rPr>
              <w:t xml:space="preserve">the </w:t>
            </w:r>
            <w:r w:rsidRPr="00635E6C">
              <w:rPr>
                <w:rFonts w:ascii="Arial" w:eastAsia="Calibri" w:hAnsi="Arial" w:cs="Arial"/>
                <w:color w:val="000000" w:themeColor="text1"/>
                <w:sz w:val="24"/>
                <w:szCs w:val="24"/>
              </w:rPr>
              <w:t>head which obscure</w:t>
            </w:r>
            <w:r>
              <w:rPr>
                <w:rFonts w:ascii="Arial" w:eastAsia="Calibri" w:hAnsi="Arial" w:cs="Arial"/>
                <w:color w:val="000000" w:themeColor="text1"/>
                <w:sz w:val="24"/>
                <w:szCs w:val="24"/>
              </w:rPr>
              <w:t>d</w:t>
            </w:r>
            <w:r w:rsidRPr="00635E6C">
              <w:rPr>
                <w:rFonts w:ascii="Arial" w:eastAsia="Calibri" w:hAnsi="Arial" w:cs="Arial"/>
                <w:color w:val="000000" w:themeColor="text1"/>
                <w:sz w:val="24"/>
                <w:szCs w:val="24"/>
              </w:rPr>
              <w:t xml:space="preserve"> </w:t>
            </w:r>
            <w:r>
              <w:rPr>
                <w:rFonts w:ascii="Arial" w:eastAsia="Calibri" w:hAnsi="Arial" w:cs="Arial"/>
                <w:color w:val="000000" w:themeColor="text1"/>
                <w:sz w:val="24"/>
                <w:szCs w:val="24"/>
              </w:rPr>
              <w:t xml:space="preserve">the </w:t>
            </w:r>
            <w:r w:rsidRPr="00635E6C">
              <w:rPr>
                <w:rFonts w:ascii="Arial" w:eastAsia="Calibri" w:hAnsi="Arial" w:cs="Arial"/>
                <w:color w:val="000000" w:themeColor="text1"/>
                <w:sz w:val="24"/>
                <w:szCs w:val="24"/>
              </w:rPr>
              <w:t xml:space="preserve">underlying brain more towards </w:t>
            </w:r>
            <w:r>
              <w:rPr>
                <w:rFonts w:ascii="Arial" w:eastAsia="Calibri" w:hAnsi="Arial" w:cs="Arial"/>
                <w:color w:val="000000" w:themeColor="text1"/>
                <w:sz w:val="24"/>
                <w:szCs w:val="24"/>
              </w:rPr>
              <w:t xml:space="preserve">the </w:t>
            </w:r>
            <w:r w:rsidRPr="00635E6C">
              <w:rPr>
                <w:rFonts w:ascii="Arial" w:eastAsia="Calibri" w:hAnsi="Arial" w:cs="Arial"/>
                <w:color w:val="000000" w:themeColor="text1"/>
                <w:sz w:val="24"/>
                <w:szCs w:val="24"/>
              </w:rPr>
              <w:t xml:space="preserve">top of </w:t>
            </w:r>
            <w:r>
              <w:rPr>
                <w:rFonts w:ascii="Arial" w:eastAsia="Calibri" w:hAnsi="Arial" w:cs="Arial"/>
                <w:color w:val="000000" w:themeColor="text1"/>
                <w:sz w:val="24"/>
                <w:szCs w:val="24"/>
              </w:rPr>
              <w:t xml:space="preserve">the </w:t>
            </w:r>
            <w:r w:rsidRPr="00635E6C">
              <w:rPr>
                <w:rFonts w:ascii="Arial" w:eastAsia="Calibri" w:hAnsi="Arial" w:cs="Arial"/>
                <w:color w:val="000000" w:themeColor="text1"/>
                <w:sz w:val="24"/>
                <w:szCs w:val="24"/>
              </w:rPr>
              <w:t>head</w:t>
            </w:r>
          </w:p>
        </w:tc>
      </w:tr>
      <w:tr w:rsidR="00101BB6" w:rsidRPr="00635E6C" w14:paraId="64B6D18C" w14:textId="77777777" w:rsidTr="000509B4">
        <w:trPr>
          <w:trHeight w:val="300"/>
        </w:trPr>
        <w:tc>
          <w:tcPr>
            <w:tcW w:w="625" w:type="dxa"/>
          </w:tcPr>
          <w:p w14:paraId="1354817B" w14:textId="77777777" w:rsidR="00101BB6" w:rsidRPr="00635E6C" w:rsidRDefault="00101BB6" w:rsidP="000509B4">
            <w:pPr>
              <w:spacing w:line="360" w:lineRule="auto"/>
              <w:jc w:val="left"/>
              <w:rPr>
                <w:rFonts w:ascii="Arial" w:hAnsi="Arial" w:cs="Arial"/>
                <w:sz w:val="24"/>
                <w:szCs w:val="24"/>
              </w:rPr>
            </w:pPr>
            <w:r w:rsidRPr="00635E6C">
              <w:rPr>
                <w:rFonts w:ascii="Arial" w:eastAsia="Calibri" w:hAnsi="Arial" w:cs="Arial"/>
                <w:color w:val="000000" w:themeColor="text1"/>
                <w:sz w:val="24"/>
                <w:szCs w:val="24"/>
              </w:rPr>
              <w:t>4</w:t>
            </w:r>
          </w:p>
        </w:tc>
        <w:tc>
          <w:tcPr>
            <w:tcW w:w="9180" w:type="dxa"/>
          </w:tcPr>
          <w:p w14:paraId="2BF803CE" w14:textId="691DB0D6" w:rsidR="00101BB6" w:rsidRPr="00635E6C" w:rsidRDefault="00101BB6" w:rsidP="000509B4">
            <w:pPr>
              <w:spacing w:line="360" w:lineRule="auto"/>
              <w:jc w:val="left"/>
              <w:rPr>
                <w:rFonts w:ascii="Arial" w:hAnsi="Arial" w:cs="Arial"/>
                <w:sz w:val="24"/>
                <w:szCs w:val="24"/>
              </w:rPr>
            </w:pPr>
            <w:r>
              <w:rPr>
                <w:rFonts w:ascii="Arial" w:eastAsia="Calibri" w:hAnsi="Arial" w:cs="Arial"/>
                <w:color w:val="000000" w:themeColor="text1"/>
                <w:sz w:val="24"/>
                <w:szCs w:val="24"/>
              </w:rPr>
              <w:t>A</w:t>
            </w:r>
            <w:r w:rsidRPr="00635E6C">
              <w:rPr>
                <w:rFonts w:ascii="Arial" w:eastAsia="Calibri" w:hAnsi="Arial" w:cs="Arial"/>
                <w:color w:val="000000" w:themeColor="text1"/>
                <w:sz w:val="24"/>
                <w:szCs w:val="24"/>
              </w:rPr>
              <w:t xml:space="preserve">rtifact with loss of signal in </w:t>
            </w:r>
            <w:r>
              <w:rPr>
                <w:rFonts w:ascii="Arial" w:eastAsia="Calibri" w:hAnsi="Arial" w:cs="Arial"/>
                <w:color w:val="000000" w:themeColor="text1"/>
                <w:sz w:val="24"/>
                <w:szCs w:val="24"/>
              </w:rPr>
              <w:t xml:space="preserve">the </w:t>
            </w:r>
            <w:r w:rsidRPr="00635E6C">
              <w:rPr>
                <w:rFonts w:ascii="Arial" w:eastAsia="Calibri" w:hAnsi="Arial" w:cs="Arial"/>
                <w:color w:val="000000" w:themeColor="text1"/>
                <w:sz w:val="24"/>
                <w:szCs w:val="24"/>
              </w:rPr>
              <w:t xml:space="preserve">right lower area of </w:t>
            </w:r>
            <w:r>
              <w:rPr>
                <w:rFonts w:ascii="Arial" w:eastAsia="Calibri" w:hAnsi="Arial" w:cs="Arial"/>
                <w:color w:val="000000" w:themeColor="text1"/>
                <w:sz w:val="24"/>
                <w:szCs w:val="24"/>
              </w:rPr>
              <w:t xml:space="preserve">the </w:t>
            </w:r>
            <w:r w:rsidRPr="00635E6C">
              <w:rPr>
                <w:rFonts w:ascii="Arial" w:eastAsia="Calibri" w:hAnsi="Arial" w:cs="Arial"/>
                <w:color w:val="000000" w:themeColor="text1"/>
                <w:sz w:val="24"/>
                <w:szCs w:val="24"/>
              </w:rPr>
              <w:t>brain</w:t>
            </w:r>
          </w:p>
        </w:tc>
      </w:tr>
      <w:tr w:rsidR="00101BB6" w:rsidRPr="00635E6C" w14:paraId="3A09470D" w14:textId="77777777" w:rsidTr="000509B4">
        <w:trPr>
          <w:trHeight w:val="300"/>
        </w:trPr>
        <w:tc>
          <w:tcPr>
            <w:tcW w:w="625" w:type="dxa"/>
          </w:tcPr>
          <w:p w14:paraId="5491CE49" w14:textId="77777777" w:rsidR="00101BB6" w:rsidRPr="00635E6C" w:rsidRDefault="00101BB6" w:rsidP="000509B4">
            <w:pPr>
              <w:spacing w:line="360" w:lineRule="auto"/>
              <w:jc w:val="left"/>
              <w:rPr>
                <w:rFonts w:ascii="Arial" w:hAnsi="Arial" w:cs="Arial"/>
                <w:sz w:val="24"/>
                <w:szCs w:val="24"/>
              </w:rPr>
            </w:pPr>
            <w:r w:rsidRPr="00635E6C">
              <w:rPr>
                <w:rFonts w:ascii="Arial" w:eastAsia="Calibri" w:hAnsi="Arial" w:cs="Arial"/>
                <w:color w:val="000000" w:themeColor="text1"/>
                <w:sz w:val="24"/>
                <w:szCs w:val="24"/>
              </w:rPr>
              <w:t>5</w:t>
            </w:r>
          </w:p>
        </w:tc>
        <w:tc>
          <w:tcPr>
            <w:tcW w:w="9180" w:type="dxa"/>
          </w:tcPr>
          <w:p w14:paraId="78A3ABF8" w14:textId="3315FEF3" w:rsidR="00101BB6" w:rsidRPr="00635E6C" w:rsidRDefault="00101BB6" w:rsidP="000509B4">
            <w:pPr>
              <w:spacing w:line="360" w:lineRule="auto"/>
              <w:jc w:val="left"/>
              <w:rPr>
                <w:rFonts w:ascii="Arial" w:hAnsi="Arial" w:cs="Arial"/>
                <w:sz w:val="24"/>
                <w:szCs w:val="24"/>
              </w:rPr>
            </w:pPr>
            <w:r>
              <w:rPr>
                <w:rFonts w:ascii="Arial" w:eastAsia="Calibri" w:hAnsi="Arial" w:cs="Arial"/>
                <w:color w:val="000000" w:themeColor="text1"/>
                <w:sz w:val="24"/>
                <w:szCs w:val="24"/>
              </w:rPr>
              <w:t>S</w:t>
            </w:r>
            <w:r w:rsidRPr="00635E6C">
              <w:rPr>
                <w:rFonts w:ascii="Arial" w:eastAsia="Calibri" w:hAnsi="Arial" w:cs="Arial"/>
                <w:color w:val="000000" w:themeColor="text1"/>
                <w:sz w:val="24"/>
                <w:szCs w:val="24"/>
              </w:rPr>
              <w:t xml:space="preserve">usceptibility artifact around </w:t>
            </w:r>
            <w:r>
              <w:rPr>
                <w:rFonts w:ascii="Arial" w:eastAsia="Calibri" w:hAnsi="Arial" w:cs="Arial"/>
                <w:color w:val="000000" w:themeColor="text1"/>
                <w:sz w:val="24"/>
                <w:szCs w:val="24"/>
              </w:rPr>
              <w:t xml:space="preserve">the </w:t>
            </w:r>
            <w:r w:rsidRPr="00635E6C">
              <w:rPr>
                <w:rFonts w:ascii="Arial" w:eastAsia="Calibri" w:hAnsi="Arial" w:cs="Arial"/>
                <w:color w:val="000000" w:themeColor="text1"/>
                <w:sz w:val="24"/>
                <w:szCs w:val="24"/>
              </w:rPr>
              <w:t>right orbit</w:t>
            </w:r>
          </w:p>
        </w:tc>
      </w:tr>
      <w:tr w:rsidR="00101BB6" w:rsidRPr="00635E6C" w14:paraId="3E980DE5" w14:textId="77777777" w:rsidTr="000509B4">
        <w:trPr>
          <w:trHeight w:val="300"/>
        </w:trPr>
        <w:tc>
          <w:tcPr>
            <w:tcW w:w="625" w:type="dxa"/>
          </w:tcPr>
          <w:p w14:paraId="10F77E3D" w14:textId="77777777" w:rsidR="00101BB6" w:rsidRPr="00635E6C" w:rsidRDefault="00101BB6" w:rsidP="000509B4">
            <w:pPr>
              <w:spacing w:line="360" w:lineRule="auto"/>
              <w:jc w:val="left"/>
              <w:rPr>
                <w:rFonts w:ascii="Arial" w:hAnsi="Arial" w:cs="Arial"/>
                <w:sz w:val="24"/>
                <w:szCs w:val="24"/>
              </w:rPr>
            </w:pPr>
            <w:r w:rsidRPr="00635E6C">
              <w:rPr>
                <w:rFonts w:ascii="Arial" w:eastAsia="Calibri" w:hAnsi="Arial" w:cs="Arial"/>
                <w:color w:val="000000" w:themeColor="text1"/>
                <w:sz w:val="24"/>
                <w:szCs w:val="24"/>
              </w:rPr>
              <w:t>6</w:t>
            </w:r>
          </w:p>
        </w:tc>
        <w:tc>
          <w:tcPr>
            <w:tcW w:w="9180" w:type="dxa"/>
          </w:tcPr>
          <w:p w14:paraId="01B2ACB3" w14:textId="77777777" w:rsidR="00101BB6" w:rsidRPr="00635E6C" w:rsidRDefault="00101BB6" w:rsidP="000509B4">
            <w:pPr>
              <w:spacing w:line="360" w:lineRule="auto"/>
              <w:jc w:val="left"/>
              <w:rPr>
                <w:rFonts w:ascii="Arial" w:hAnsi="Arial" w:cs="Arial"/>
                <w:sz w:val="24"/>
                <w:szCs w:val="24"/>
              </w:rPr>
            </w:pPr>
            <w:r>
              <w:rPr>
                <w:rFonts w:ascii="Arial" w:eastAsia="Calibri" w:hAnsi="Arial" w:cs="Arial"/>
                <w:color w:val="000000" w:themeColor="text1"/>
                <w:sz w:val="24"/>
                <w:szCs w:val="24"/>
              </w:rPr>
              <w:t>A</w:t>
            </w:r>
            <w:r w:rsidRPr="00635E6C">
              <w:rPr>
                <w:rFonts w:ascii="Arial" w:eastAsia="Calibri" w:hAnsi="Arial" w:cs="Arial"/>
                <w:color w:val="000000" w:themeColor="text1"/>
                <w:sz w:val="24"/>
                <w:szCs w:val="24"/>
              </w:rPr>
              <w:t>rtifact in the right side of the brain and cerebellum in the B900 images</w:t>
            </w:r>
          </w:p>
        </w:tc>
      </w:tr>
      <w:tr w:rsidR="00101BB6" w:rsidRPr="00635E6C" w14:paraId="662F273C" w14:textId="77777777" w:rsidTr="000509B4">
        <w:trPr>
          <w:trHeight w:val="300"/>
        </w:trPr>
        <w:tc>
          <w:tcPr>
            <w:tcW w:w="625" w:type="dxa"/>
          </w:tcPr>
          <w:p w14:paraId="6A59CCE1" w14:textId="77777777" w:rsidR="00101BB6" w:rsidRPr="00635E6C" w:rsidRDefault="00101BB6" w:rsidP="000509B4">
            <w:pPr>
              <w:spacing w:line="360" w:lineRule="auto"/>
              <w:jc w:val="left"/>
              <w:rPr>
                <w:rFonts w:ascii="Arial" w:hAnsi="Arial" w:cs="Arial"/>
                <w:sz w:val="24"/>
                <w:szCs w:val="24"/>
              </w:rPr>
            </w:pPr>
            <w:r w:rsidRPr="00635E6C">
              <w:rPr>
                <w:rFonts w:ascii="Arial" w:eastAsia="Calibri" w:hAnsi="Arial" w:cs="Arial"/>
                <w:color w:val="000000" w:themeColor="text1"/>
                <w:sz w:val="24"/>
                <w:szCs w:val="24"/>
              </w:rPr>
              <w:t>7</w:t>
            </w:r>
          </w:p>
        </w:tc>
        <w:tc>
          <w:tcPr>
            <w:tcW w:w="9180" w:type="dxa"/>
          </w:tcPr>
          <w:p w14:paraId="1215B78C" w14:textId="6DE277C2" w:rsidR="00101BB6" w:rsidRPr="00635E6C" w:rsidRDefault="00101BB6" w:rsidP="000509B4">
            <w:pPr>
              <w:spacing w:line="360" w:lineRule="auto"/>
              <w:jc w:val="left"/>
              <w:rPr>
                <w:rFonts w:ascii="Arial" w:hAnsi="Arial" w:cs="Arial"/>
                <w:sz w:val="24"/>
                <w:szCs w:val="24"/>
              </w:rPr>
            </w:pPr>
            <w:r>
              <w:rPr>
                <w:rFonts w:ascii="Arial" w:eastAsia="Calibri" w:hAnsi="Arial" w:cs="Arial"/>
                <w:color w:val="000000" w:themeColor="text1"/>
                <w:sz w:val="24"/>
                <w:szCs w:val="24"/>
              </w:rPr>
              <w:t>A</w:t>
            </w:r>
            <w:r w:rsidRPr="00635E6C">
              <w:rPr>
                <w:rFonts w:ascii="Arial" w:eastAsia="Calibri" w:hAnsi="Arial" w:cs="Arial"/>
                <w:color w:val="000000" w:themeColor="text1"/>
                <w:sz w:val="24"/>
                <w:szCs w:val="24"/>
              </w:rPr>
              <w:t xml:space="preserve">rtifact in areas of </w:t>
            </w:r>
            <w:r>
              <w:rPr>
                <w:rFonts w:ascii="Arial" w:eastAsia="Calibri" w:hAnsi="Arial" w:cs="Arial"/>
                <w:color w:val="000000" w:themeColor="text1"/>
                <w:sz w:val="24"/>
                <w:szCs w:val="24"/>
              </w:rPr>
              <w:t xml:space="preserve">the </w:t>
            </w:r>
            <w:r w:rsidRPr="00635E6C">
              <w:rPr>
                <w:rFonts w:ascii="Arial" w:eastAsia="Calibri" w:hAnsi="Arial" w:cs="Arial"/>
                <w:color w:val="000000" w:themeColor="text1"/>
                <w:sz w:val="24"/>
                <w:szCs w:val="24"/>
              </w:rPr>
              <w:t>right cerebral hemisphere on DWI</w:t>
            </w:r>
          </w:p>
        </w:tc>
      </w:tr>
      <w:tr w:rsidR="00101BB6" w:rsidRPr="00635E6C" w14:paraId="6AED749A" w14:textId="77777777" w:rsidTr="000509B4">
        <w:trPr>
          <w:trHeight w:val="300"/>
        </w:trPr>
        <w:tc>
          <w:tcPr>
            <w:tcW w:w="625" w:type="dxa"/>
          </w:tcPr>
          <w:p w14:paraId="3A011D89" w14:textId="77777777" w:rsidR="00101BB6" w:rsidRPr="00635E6C" w:rsidRDefault="00101BB6" w:rsidP="000509B4">
            <w:pPr>
              <w:spacing w:line="360" w:lineRule="auto"/>
              <w:jc w:val="left"/>
              <w:rPr>
                <w:rFonts w:ascii="Arial" w:hAnsi="Arial" w:cs="Arial"/>
                <w:sz w:val="24"/>
                <w:szCs w:val="24"/>
              </w:rPr>
            </w:pPr>
            <w:r w:rsidRPr="00635E6C">
              <w:rPr>
                <w:rFonts w:ascii="Arial" w:eastAsia="Calibri" w:hAnsi="Arial" w:cs="Arial"/>
                <w:color w:val="000000" w:themeColor="text1"/>
                <w:sz w:val="24"/>
                <w:szCs w:val="24"/>
              </w:rPr>
              <w:t>8</w:t>
            </w:r>
          </w:p>
        </w:tc>
        <w:tc>
          <w:tcPr>
            <w:tcW w:w="9180" w:type="dxa"/>
          </w:tcPr>
          <w:p w14:paraId="57D6EA75" w14:textId="0E357C62" w:rsidR="00101BB6" w:rsidRPr="00635E6C" w:rsidRDefault="00101BB6" w:rsidP="000509B4">
            <w:pPr>
              <w:spacing w:line="360" w:lineRule="auto"/>
              <w:jc w:val="left"/>
              <w:rPr>
                <w:rFonts w:ascii="Arial" w:hAnsi="Arial" w:cs="Arial"/>
                <w:sz w:val="24"/>
                <w:szCs w:val="24"/>
              </w:rPr>
            </w:pPr>
            <w:r>
              <w:rPr>
                <w:rFonts w:ascii="Arial" w:eastAsia="Calibri" w:hAnsi="Arial" w:cs="Arial"/>
                <w:color w:val="000000" w:themeColor="text1"/>
                <w:sz w:val="24"/>
                <w:szCs w:val="24"/>
              </w:rPr>
              <w:t>The artifact</w:t>
            </w:r>
            <w:r w:rsidRPr="00635E6C">
              <w:rPr>
                <w:rFonts w:ascii="Arial" w:eastAsia="Calibri" w:hAnsi="Arial" w:cs="Arial"/>
                <w:color w:val="000000" w:themeColor="text1"/>
                <w:sz w:val="24"/>
                <w:szCs w:val="24"/>
              </w:rPr>
              <w:t xml:space="preserve"> was present due to </w:t>
            </w:r>
            <w:r>
              <w:rPr>
                <w:rFonts w:ascii="Arial" w:eastAsia="Calibri" w:hAnsi="Arial" w:cs="Arial"/>
                <w:color w:val="000000" w:themeColor="text1"/>
                <w:sz w:val="24"/>
                <w:szCs w:val="24"/>
              </w:rPr>
              <w:t xml:space="preserve">an </w:t>
            </w:r>
            <w:r w:rsidRPr="00635E6C">
              <w:rPr>
                <w:rFonts w:ascii="Arial" w:eastAsia="Calibri" w:hAnsi="Arial" w:cs="Arial"/>
                <w:color w:val="000000" w:themeColor="text1"/>
                <w:sz w:val="24"/>
                <w:szCs w:val="24"/>
              </w:rPr>
              <w:t xml:space="preserve">open RF cage. </w:t>
            </w:r>
          </w:p>
        </w:tc>
      </w:tr>
    </w:tbl>
    <w:p w14:paraId="329F1994" w14:textId="51211972" w:rsidR="00101BB6" w:rsidRPr="00635E6C" w:rsidRDefault="00101BB6" w:rsidP="00101BB6">
      <w:pPr>
        <w:rPr>
          <w:rFonts w:ascii="Arial" w:hAnsi="Arial" w:cs="Arial"/>
          <w:sz w:val="24"/>
          <w:szCs w:val="24"/>
        </w:rPr>
        <w:sectPr w:rsidR="00101BB6" w:rsidRPr="00635E6C">
          <w:pgSz w:w="12240" w:h="15840"/>
          <w:pgMar w:top="1440" w:right="1440" w:bottom="1440" w:left="1440" w:header="720" w:footer="720" w:gutter="0"/>
          <w:cols w:space="720"/>
          <w:docGrid w:linePitch="360"/>
        </w:sectPr>
      </w:pPr>
      <w:r w:rsidRPr="00101BB6">
        <w:rPr>
          <w:rFonts w:ascii="Arial" w:hAnsi="Arial" w:cs="Arial"/>
          <w:sz w:val="22"/>
        </w:rPr>
        <w:t>ULF-</w:t>
      </w:r>
      <w:proofErr w:type="spellStart"/>
      <w:r w:rsidRPr="00101BB6">
        <w:rPr>
          <w:rFonts w:ascii="Arial" w:hAnsi="Arial" w:cs="Arial"/>
          <w:sz w:val="22"/>
        </w:rPr>
        <w:t>pMRI</w:t>
      </w:r>
      <w:proofErr w:type="spellEnd"/>
      <w:r w:rsidRPr="00101BB6">
        <w:rPr>
          <w:rFonts w:ascii="Arial" w:hAnsi="Arial" w:cs="Arial"/>
          <w:sz w:val="22"/>
        </w:rPr>
        <w:t>: ultra-low-field (0.064T) portable MRI,</w:t>
      </w:r>
      <w:r>
        <w:rPr>
          <w:rFonts w:ascii="Arial" w:hAnsi="Arial" w:cs="Arial"/>
          <w:sz w:val="22"/>
        </w:rPr>
        <w:t xml:space="preserve"> DWI: diffuse weighted imaging.</w:t>
      </w:r>
    </w:p>
    <w:p w14:paraId="245626B2" w14:textId="77777777" w:rsidR="00101BB6" w:rsidRPr="00635E6C" w:rsidRDefault="00101BB6" w:rsidP="00101BB6">
      <w:pPr>
        <w:spacing w:line="360" w:lineRule="auto"/>
        <w:jc w:val="left"/>
        <w:rPr>
          <w:rFonts w:ascii="Arial" w:hAnsi="Arial" w:cs="Arial"/>
          <w:sz w:val="24"/>
          <w:szCs w:val="24"/>
        </w:rPr>
      </w:pPr>
      <w:r w:rsidRPr="00635E6C">
        <w:rPr>
          <w:rFonts w:ascii="Arial" w:hAnsi="Arial" w:cs="Arial"/>
          <w:b/>
          <w:sz w:val="24"/>
          <w:szCs w:val="24"/>
        </w:rPr>
        <w:t xml:space="preserve">Supplemental Table </w:t>
      </w:r>
      <w:r>
        <w:rPr>
          <w:rFonts w:ascii="Arial" w:hAnsi="Arial" w:cs="Arial"/>
          <w:b/>
          <w:sz w:val="24"/>
          <w:szCs w:val="24"/>
        </w:rPr>
        <w:t>4</w:t>
      </w:r>
      <w:r w:rsidRPr="00635E6C">
        <w:rPr>
          <w:rFonts w:ascii="Arial" w:hAnsi="Arial" w:cs="Arial"/>
          <w:b/>
          <w:sz w:val="24"/>
          <w:szCs w:val="24"/>
        </w:rPr>
        <w:t xml:space="preserve">. </w:t>
      </w:r>
      <w:r w:rsidRPr="00635E6C">
        <w:rPr>
          <w:rFonts w:ascii="Arial" w:hAnsi="Arial" w:cs="Arial"/>
          <w:sz w:val="24"/>
          <w:szCs w:val="24"/>
        </w:rPr>
        <w:t xml:space="preserve">Neurological diagnosis </w:t>
      </w:r>
      <w:r>
        <w:rPr>
          <w:rFonts w:ascii="Arial" w:hAnsi="Arial" w:cs="Arial"/>
          <w:sz w:val="24"/>
          <w:szCs w:val="24"/>
        </w:rPr>
        <w:t>of ABI patients based on ULF-</w:t>
      </w:r>
      <w:proofErr w:type="spellStart"/>
      <w:r>
        <w:rPr>
          <w:rFonts w:ascii="Arial" w:hAnsi="Arial" w:cs="Arial"/>
          <w:sz w:val="24"/>
          <w:szCs w:val="24"/>
        </w:rPr>
        <w:t>pMRI</w:t>
      </w:r>
      <w:proofErr w:type="spellEnd"/>
      <w:r>
        <w:rPr>
          <w:rFonts w:ascii="Arial" w:hAnsi="Arial" w:cs="Arial"/>
          <w:sz w:val="24"/>
          <w:szCs w:val="24"/>
        </w:rPr>
        <w:t xml:space="preserve"> and CT readings.</w:t>
      </w:r>
    </w:p>
    <w:tbl>
      <w:tblPr>
        <w:tblStyle w:val="TableGrid"/>
        <w:tblW w:w="14400" w:type="dxa"/>
        <w:tblInd w:w="-545" w:type="dxa"/>
        <w:tblLayout w:type="fixed"/>
        <w:tblLook w:val="06A0" w:firstRow="1" w:lastRow="0" w:firstColumn="1" w:lastColumn="0" w:noHBand="1" w:noVBand="1"/>
      </w:tblPr>
      <w:tblGrid>
        <w:gridCol w:w="450"/>
        <w:gridCol w:w="720"/>
        <w:gridCol w:w="1080"/>
        <w:gridCol w:w="990"/>
        <w:gridCol w:w="900"/>
        <w:gridCol w:w="2700"/>
        <w:gridCol w:w="3510"/>
        <w:gridCol w:w="4050"/>
      </w:tblGrid>
      <w:tr w:rsidR="00101BB6" w:rsidRPr="00635E6C" w14:paraId="33B605C6" w14:textId="77777777" w:rsidTr="00593420">
        <w:trPr>
          <w:trHeight w:val="300"/>
        </w:trPr>
        <w:tc>
          <w:tcPr>
            <w:tcW w:w="450" w:type="dxa"/>
            <w:vAlign w:val="center"/>
          </w:tcPr>
          <w:p w14:paraId="18174E96" w14:textId="77777777" w:rsidR="00101BB6" w:rsidRPr="00593420" w:rsidRDefault="00101BB6" w:rsidP="00101BB6">
            <w:pPr>
              <w:spacing w:line="360" w:lineRule="auto"/>
              <w:jc w:val="left"/>
              <w:rPr>
                <w:rFonts w:ascii="Arial" w:eastAsia="Calibri" w:hAnsi="Arial" w:cs="Arial"/>
                <w:b/>
                <w:bCs/>
                <w:color w:val="000000" w:themeColor="text1"/>
                <w:sz w:val="22"/>
              </w:rPr>
            </w:pPr>
          </w:p>
        </w:tc>
        <w:tc>
          <w:tcPr>
            <w:tcW w:w="720" w:type="dxa"/>
            <w:vAlign w:val="center"/>
          </w:tcPr>
          <w:p w14:paraId="512E94C0" w14:textId="77777777" w:rsidR="00101BB6" w:rsidRPr="00593420" w:rsidRDefault="00101BB6" w:rsidP="00101BB6">
            <w:pPr>
              <w:spacing w:line="360" w:lineRule="auto"/>
              <w:jc w:val="center"/>
              <w:rPr>
                <w:rFonts w:ascii="Arial" w:eastAsia="Calibri" w:hAnsi="Arial" w:cs="Arial"/>
                <w:b/>
                <w:bCs/>
                <w:color w:val="000000" w:themeColor="text1"/>
                <w:sz w:val="22"/>
              </w:rPr>
            </w:pPr>
            <w:r w:rsidRPr="00593420">
              <w:rPr>
                <w:rFonts w:ascii="Arial" w:eastAsia="Calibri" w:hAnsi="Arial" w:cs="Arial"/>
                <w:b/>
                <w:bCs/>
                <w:color w:val="000000" w:themeColor="text1"/>
                <w:sz w:val="22"/>
              </w:rPr>
              <w:t>Age</w:t>
            </w:r>
          </w:p>
        </w:tc>
        <w:tc>
          <w:tcPr>
            <w:tcW w:w="1080" w:type="dxa"/>
            <w:vAlign w:val="center"/>
          </w:tcPr>
          <w:p w14:paraId="030D75CD" w14:textId="77777777" w:rsidR="00101BB6" w:rsidRPr="00593420" w:rsidRDefault="00101BB6" w:rsidP="00101BB6">
            <w:pPr>
              <w:spacing w:line="360" w:lineRule="auto"/>
              <w:jc w:val="center"/>
              <w:rPr>
                <w:rFonts w:ascii="Arial" w:eastAsia="Calibri" w:hAnsi="Arial" w:cs="Arial"/>
                <w:b/>
                <w:bCs/>
                <w:color w:val="000000" w:themeColor="text1"/>
                <w:sz w:val="22"/>
              </w:rPr>
            </w:pPr>
            <w:r w:rsidRPr="00593420">
              <w:rPr>
                <w:rFonts w:ascii="Arial" w:eastAsia="Calibri" w:hAnsi="Arial" w:cs="Arial"/>
                <w:b/>
                <w:bCs/>
                <w:color w:val="000000" w:themeColor="text1"/>
                <w:sz w:val="22"/>
              </w:rPr>
              <w:t>Gender</w:t>
            </w:r>
          </w:p>
        </w:tc>
        <w:tc>
          <w:tcPr>
            <w:tcW w:w="990" w:type="dxa"/>
            <w:vAlign w:val="center"/>
          </w:tcPr>
          <w:p w14:paraId="366CEA1A" w14:textId="77777777" w:rsidR="00101BB6" w:rsidRPr="00593420" w:rsidRDefault="00101BB6" w:rsidP="00101BB6">
            <w:pPr>
              <w:spacing w:line="360" w:lineRule="auto"/>
              <w:jc w:val="center"/>
              <w:rPr>
                <w:rFonts w:ascii="Arial" w:eastAsia="Calibri" w:hAnsi="Arial" w:cs="Arial"/>
                <w:b/>
                <w:bCs/>
                <w:color w:val="000000" w:themeColor="text1"/>
                <w:sz w:val="22"/>
              </w:rPr>
            </w:pPr>
            <w:r w:rsidRPr="00593420">
              <w:rPr>
                <w:rFonts w:ascii="Arial" w:eastAsia="Calibri" w:hAnsi="Arial" w:cs="Arial"/>
                <w:b/>
                <w:bCs/>
                <w:color w:val="000000" w:themeColor="text1"/>
                <w:sz w:val="22"/>
              </w:rPr>
              <w:t>Race</w:t>
            </w:r>
          </w:p>
        </w:tc>
        <w:tc>
          <w:tcPr>
            <w:tcW w:w="900" w:type="dxa"/>
            <w:vAlign w:val="center"/>
          </w:tcPr>
          <w:p w14:paraId="0B5DBCDF" w14:textId="77777777" w:rsidR="00101BB6" w:rsidRPr="00593420" w:rsidRDefault="00101BB6" w:rsidP="00101BB6">
            <w:pPr>
              <w:spacing w:line="360" w:lineRule="auto"/>
              <w:jc w:val="center"/>
              <w:rPr>
                <w:rFonts w:ascii="Arial" w:eastAsia="Calibri" w:hAnsi="Arial" w:cs="Arial"/>
                <w:b/>
                <w:bCs/>
                <w:color w:val="000000" w:themeColor="text1"/>
                <w:sz w:val="22"/>
              </w:rPr>
            </w:pPr>
            <w:r w:rsidRPr="00593420">
              <w:rPr>
                <w:rFonts w:ascii="Arial" w:eastAsia="Calibri" w:hAnsi="Arial" w:cs="Arial"/>
                <w:b/>
                <w:bCs/>
                <w:color w:val="000000" w:themeColor="text1"/>
                <w:sz w:val="22"/>
              </w:rPr>
              <w:t>BMI</w:t>
            </w:r>
          </w:p>
        </w:tc>
        <w:tc>
          <w:tcPr>
            <w:tcW w:w="2700" w:type="dxa"/>
            <w:vAlign w:val="center"/>
          </w:tcPr>
          <w:p w14:paraId="26235DD4" w14:textId="77777777" w:rsidR="00101BB6" w:rsidRPr="00593420" w:rsidRDefault="00101BB6" w:rsidP="00101BB6">
            <w:pPr>
              <w:spacing w:line="360" w:lineRule="auto"/>
              <w:jc w:val="center"/>
              <w:rPr>
                <w:rFonts w:ascii="Arial" w:eastAsia="Calibri" w:hAnsi="Arial" w:cs="Arial"/>
                <w:b/>
                <w:bCs/>
                <w:color w:val="000000" w:themeColor="text1"/>
                <w:sz w:val="22"/>
              </w:rPr>
            </w:pPr>
            <w:r w:rsidRPr="00593420">
              <w:rPr>
                <w:rFonts w:ascii="Arial" w:eastAsia="Calibri" w:hAnsi="Arial" w:cs="Arial"/>
                <w:b/>
                <w:bCs/>
                <w:color w:val="000000" w:themeColor="text1"/>
                <w:sz w:val="22"/>
              </w:rPr>
              <w:t>Neurological Diagnosis</w:t>
            </w:r>
          </w:p>
        </w:tc>
        <w:tc>
          <w:tcPr>
            <w:tcW w:w="3510" w:type="dxa"/>
            <w:vAlign w:val="center"/>
          </w:tcPr>
          <w:p w14:paraId="35D344F0" w14:textId="77777777" w:rsidR="00101BB6" w:rsidRPr="00593420" w:rsidRDefault="00101BB6" w:rsidP="00101BB6">
            <w:pPr>
              <w:spacing w:line="360" w:lineRule="auto"/>
              <w:jc w:val="center"/>
              <w:rPr>
                <w:rFonts w:ascii="Arial" w:eastAsia="Calibri" w:hAnsi="Arial" w:cs="Arial"/>
                <w:b/>
                <w:bCs/>
                <w:color w:val="000000" w:themeColor="text1"/>
                <w:sz w:val="22"/>
              </w:rPr>
            </w:pPr>
            <w:r w:rsidRPr="00593420">
              <w:rPr>
                <w:rFonts w:ascii="Arial" w:eastAsia="Calibri" w:hAnsi="Arial" w:cs="Arial"/>
                <w:b/>
                <w:bCs/>
                <w:color w:val="000000" w:themeColor="text1"/>
                <w:sz w:val="22"/>
              </w:rPr>
              <w:t>CT Read</w:t>
            </w:r>
          </w:p>
        </w:tc>
        <w:tc>
          <w:tcPr>
            <w:tcW w:w="4050" w:type="dxa"/>
            <w:vAlign w:val="center"/>
          </w:tcPr>
          <w:p w14:paraId="05088A80" w14:textId="77777777" w:rsidR="00101BB6" w:rsidRPr="00593420" w:rsidRDefault="00101BB6" w:rsidP="00101BB6">
            <w:pPr>
              <w:spacing w:line="360" w:lineRule="auto"/>
              <w:jc w:val="center"/>
              <w:rPr>
                <w:rFonts w:ascii="Arial" w:eastAsia="Calibri" w:hAnsi="Arial" w:cs="Arial"/>
                <w:b/>
                <w:bCs/>
                <w:color w:val="000000" w:themeColor="text1"/>
                <w:sz w:val="22"/>
              </w:rPr>
            </w:pPr>
            <w:r w:rsidRPr="00593420">
              <w:rPr>
                <w:rFonts w:ascii="Arial" w:eastAsia="Calibri" w:hAnsi="Arial" w:cs="Arial"/>
                <w:b/>
                <w:bCs/>
                <w:color w:val="000000" w:themeColor="text1"/>
                <w:sz w:val="22"/>
              </w:rPr>
              <w:t>ULF-</w:t>
            </w:r>
            <w:proofErr w:type="spellStart"/>
            <w:r w:rsidRPr="00593420">
              <w:rPr>
                <w:rFonts w:ascii="Arial" w:eastAsia="Calibri" w:hAnsi="Arial" w:cs="Arial"/>
                <w:b/>
                <w:bCs/>
                <w:color w:val="000000" w:themeColor="text1"/>
                <w:sz w:val="22"/>
              </w:rPr>
              <w:t>pMRI</w:t>
            </w:r>
            <w:proofErr w:type="spellEnd"/>
            <w:r w:rsidRPr="00593420">
              <w:rPr>
                <w:rFonts w:ascii="Arial" w:eastAsia="Calibri" w:hAnsi="Arial" w:cs="Arial"/>
                <w:b/>
                <w:bCs/>
                <w:color w:val="000000" w:themeColor="text1"/>
                <w:sz w:val="22"/>
              </w:rPr>
              <w:t xml:space="preserve"> Read</w:t>
            </w:r>
          </w:p>
        </w:tc>
      </w:tr>
      <w:tr w:rsidR="00101BB6" w:rsidRPr="00635E6C" w14:paraId="2457787C" w14:textId="77777777" w:rsidTr="00593420">
        <w:trPr>
          <w:trHeight w:val="300"/>
        </w:trPr>
        <w:tc>
          <w:tcPr>
            <w:tcW w:w="450" w:type="dxa"/>
            <w:vAlign w:val="center"/>
          </w:tcPr>
          <w:p w14:paraId="69085C63" w14:textId="77777777" w:rsidR="00101BB6" w:rsidRPr="00593420" w:rsidRDefault="00101BB6" w:rsidP="00101BB6">
            <w:pPr>
              <w:spacing w:line="360" w:lineRule="auto"/>
              <w:jc w:val="left"/>
              <w:rPr>
                <w:rFonts w:ascii="Arial" w:hAnsi="Arial" w:cs="Arial"/>
                <w:sz w:val="22"/>
              </w:rPr>
            </w:pPr>
            <w:r w:rsidRPr="00593420">
              <w:rPr>
                <w:rFonts w:ascii="Arial" w:eastAsia="Calibri" w:hAnsi="Arial" w:cs="Arial"/>
                <w:color w:val="000000" w:themeColor="text1"/>
                <w:sz w:val="22"/>
              </w:rPr>
              <w:t>1</w:t>
            </w:r>
          </w:p>
        </w:tc>
        <w:tc>
          <w:tcPr>
            <w:tcW w:w="720" w:type="dxa"/>
            <w:vAlign w:val="center"/>
          </w:tcPr>
          <w:p w14:paraId="00CD2B8B"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58</w:t>
            </w:r>
          </w:p>
        </w:tc>
        <w:tc>
          <w:tcPr>
            <w:tcW w:w="1080" w:type="dxa"/>
            <w:vAlign w:val="center"/>
          </w:tcPr>
          <w:p w14:paraId="5A0C2459" w14:textId="4E68698F" w:rsidR="00101BB6" w:rsidRPr="00593420" w:rsidRDefault="00101BB6" w:rsidP="00101BB6">
            <w:pPr>
              <w:spacing w:line="360" w:lineRule="auto"/>
              <w:jc w:val="center"/>
              <w:rPr>
                <w:rFonts w:ascii="Arial" w:eastAsia="Calibri" w:hAnsi="Arial" w:cs="Arial"/>
                <w:color w:val="000000" w:themeColor="text1"/>
                <w:sz w:val="22"/>
              </w:rPr>
            </w:pPr>
            <w:r w:rsidRPr="00593420">
              <w:rPr>
                <w:rFonts w:ascii="Arial" w:eastAsia="Calibri" w:hAnsi="Arial" w:cs="Arial"/>
                <w:color w:val="000000" w:themeColor="text1"/>
                <w:sz w:val="22"/>
              </w:rPr>
              <w:t>Female</w:t>
            </w:r>
          </w:p>
        </w:tc>
        <w:tc>
          <w:tcPr>
            <w:tcW w:w="990" w:type="dxa"/>
            <w:vAlign w:val="center"/>
          </w:tcPr>
          <w:p w14:paraId="1EDB54A9"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White</w:t>
            </w:r>
          </w:p>
        </w:tc>
        <w:tc>
          <w:tcPr>
            <w:tcW w:w="900" w:type="dxa"/>
            <w:vAlign w:val="center"/>
          </w:tcPr>
          <w:p w14:paraId="5F4B8CAB"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35.46</w:t>
            </w:r>
          </w:p>
        </w:tc>
        <w:tc>
          <w:tcPr>
            <w:tcW w:w="2700" w:type="dxa"/>
            <w:vAlign w:val="center"/>
          </w:tcPr>
          <w:p w14:paraId="70605B94"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Ischemic Stroke (on MRI) and IPH (on CT scan)</w:t>
            </w:r>
          </w:p>
        </w:tc>
        <w:tc>
          <w:tcPr>
            <w:tcW w:w="3510" w:type="dxa"/>
            <w:vAlign w:val="center"/>
          </w:tcPr>
          <w:p w14:paraId="3BA62657"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Multiple supratentorial brain parenchymal hemorrhage.</w:t>
            </w:r>
          </w:p>
        </w:tc>
        <w:tc>
          <w:tcPr>
            <w:tcW w:w="4050" w:type="dxa"/>
            <w:vAlign w:val="center"/>
          </w:tcPr>
          <w:p w14:paraId="7019AEE5"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Possible right frontal lobe acute infarct diffusion image. Right parietal encephalomalacia from old infarct.</w:t>
            </w:r>
          </w:p>
        </w:tc>
      </w:tr>
      <w:tr w:rsidR="00101BB6" w:rsidRPr="00635E6C" w14:paraId="62CC8654" w14:textId="77777777" w:rsidTr="00593420">
        <w:trPr>
          <w:trHeight w:val="1830"/>
        </w:trPr>
        <w:tc>
          <w:tcPr>
            <w:tcW w:w="450" w:type="dxa"/>
            <w:vAlign w:val="center"/>
          </w:tcPr>
          <w:p w14:paraId="4AB5F919" w14:textId="77777777" w:rsidR="00101BB6" w:rsidRPr="00593420" w:rsidRDefault="00101BB6" w:rsidP="00101BB6">
            <w:pPr>
              <w:spacing w:line="360" w:lineRule="auto"/>
              <w:jc w:val="left"/>
              <w:rPr>
                <w:rFonts w:ascii="Arial" w:hAnsi="Arial" w:cs="Arial"/>
                <w:sz w:val="22"/>
              </w:rPr>
            </w:pPr>
            <w:r w:rsidRPr="00593420">
              <w:rPr>
                <w:rFonts w:ascii="Arial" w:eastAsia="Calibri" w:hAnsi="Arial" w:cs="Arial"/>
                <w:color w:val="000000" w:themeColor="text1"/>
                <w:sz w:val="22"/>
              </w:rPr>
              <w:t>2</w:t>
            </w:r>
          </w:p>
        </w:tc>
        <w:tc>
          <w:tcPr>
            <w:tcW w:w="720" w:type="dxa"/>
            <w:vAlign w:val="center"/>
          </w:tcPr>
          <w:p w14:paraId="42221BEF"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72</w:t>
            </w:r>
          </w:p>
        </w:tc>
        <w:tc>
          <w:tcPr>
            <w:tcW w:w="1080" w:type="dxa"/>
            <w:vAlign w:val="center"/>
          </w:tcPr>
          <w:p w14:paraId="31967039" w14:textId="2CAB1F39" w:rsidR="00101BB6" w:rsidRPr="00593420" w:rsidRDefault="00101BB6" w:rsidP="00101BB6">
            <w:pPr>
              <w:spacing w:line="360" w:lineRule="auto"/>
              <w:jc w:val="center"/>
              <w:rPr>
                <w:rFonts w:ascii="Arial" w:eastAsia="Calibri" w:hAnsi="Arial" w:cs="Arial"/>
                <w:color w:val="000000" w:themeColor="text1"/>
                <w:sz w:val="22"/>
              </w:rPr>
            </w:pPr>
            <w:r w:rsidRPr="00593420">
              <w:rPr>
                <w:rFonts w:ascii="Arial" w:eastAsia="Calibri" w:hAnsi="Arial" w:cs="Arial"/>
                <w:color w:val="000000" w:themeColor="text1"/>
                <w:sz w:val="22"/>
              </w:rPr>
              <w:t>Male</w:t>
            </w:r>
          </w:p>
        </w:tc>
        <w:tc>
          <w:tcPr>
            <w:tcW w:w="990" w:type="dxa"/>
            <w:vAlign w:val="center"/>
          </w:tcPr>
          <w:p w14:paraId="735C10B9"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White</w:t>
            </w:r>
          </w:p>
        </w:tc>
        <w:tc>
          <w:tcPr>
            <w:tcW w:w="900" w:type="dxa"/>
            <w:vAlign w:val="center"/>
          </w:tcPr>
          <w:p w14:paraId="2DFA7721"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44.8</w:t>
            </w:r>
          </w:p>
        </w:tc>
        <w:tc>
          <w:tcPr>
            <w:tcW w:w="2700" w:type="dxa"/>
            <w:vAlign w:val="center"/>
          </w:tcPr>
          <w:p w14:paraId="7CB8F272" w14:textId="77777777" w:rsidR="00101BB6" w:rsidRPr="00593420" w:rsidRDefault="00101BB6" w:rsidP="00101BB6">
            <w:pPr>
              <w:spacing w:line="360" w:lineRule="auto"/>
              <w:jc w:val="center"/>
              <w:rPr>
                <w:rFonts w:ascii="Arial" w:eastAsia="Calibri" w:hAnsi="Arial" w:cs="Arial"/>
                <w:color w:val="000000" w:themeColor="text1"/>
                <w:sz w:val="22"/>
              </w:rPr>
            </w:pPr>
            <w:r w:rsidRPr="00593420">
              <w:rPr>
                <w:rFonts w:ascii="Arial" w:eastAsia="Calibri" w:hAnsi="Arial" w:cs="Arial"/>
                <w:color w:val="000000" w:themeColor="text1"/>
                <w:sz w:val="22"/>
              </w:rPr>
              <w:t>Ischemic stroke (on MRI)</w:t>
            </w:r>
          </w:p>
        </w:tc>
        <w:tc>
          <w:tcPr>
            <w:tcW w:w="3510" w:type="dxa"/>
            <w:vAlign w:val="center"/>
          </w:tcPr>
          <w:p w14:paraId="5E39E7DD" w14:textId="18F24D89" w:rsidR="00101BB6" w:rsidRPr="00593420" w:rsidRDefault="00101BB6" w:rsidP="00101BB6">
            <w:pPr>
              <w:spacing w:line="360" w:lineRule="auto"/>
              <w:jc w:val="center"/>
              <w:rPr>
                <w:rFonts w:ascii="Arial" w:eastAsia="Calibri" w:hAnsi="Arial" w:cs="Arial"/>
                <w:color w:val="000000" w:themeColor="text1"/>
                <w:sz w:val="22"/>
              </w:rPr>
            </w:pPr>
            <w:r w:rsidRPr="00593420">
              <w:rPr>
                <w:rFonts w:ascii="Arial" w:eastAsia="Calibri" w:hAnsi="Arial" w:cs="Arial"/>
                <w:color w:val="000000" w:themeColor="text1"/>
                <w:sz w:val="22"/>
              </w:rPr>
              <w:t>Increased effacement of the cerebral sulci bilaterally.</w:t>
            </w:r>
          </w:p>
        </w:tc>
        <w:tc>
          <w:tcPr>
            <w:tcW w:w="4050" w:type="dxa"/>
            <w:vAlign w:val="center"/>
          </w:tcPr>
          <w:p w14:paraId="6E80EB37" w14:textId="77777777" w:rsidR="00101BB6" w:rsidRPr="00593420" w:rsidRDefault="00101BB6" w:rsidP="00101BB6">
            <w:pPr>
              <w:spacing w:line="360" w:lineRule="auto"/>
              <w:jc w:val="center"/>
              <w:rPr>
                <w:rFonts w:ascii="Arial" w:hAnsi="Arial" w:cs="Arial"/>
                <w:sz w:val="22"/>
                <w:highlight w:val="yellow"/>
              </w:rPr>
            </w:pPr>
            <w:r w:rsidRPr="00593420">
              <w:rPr>
                <w:rFonts w:ascii="Arial" w:eastAsia="Calibri" w:hAnsi="Arial" w:cs="Arial"/>
                <w:color w:val="000000" w:themeColor="text1"/>
                <w:sz w:val="22"/>
              </w:rPr>
              <w:t>T2 signal abnormality in occipital lobes and left temporal land parietal lobe with diffusion restriction.</w:t>
            </w:r>
          </w:p>
        </w:tc>
      </w:tr>
      <w:tr w:rsidR="00101BB6" w:rsidRPr="00635E6C" w14:paraId="1C35EE32" w14:textId="77777777" w:rsidTr="00593420">
        <w:trPr>
          <w:trHeight w:val="300"/>
        </w:trPr>
        <w:tc>
          <w:tcPr>
            <w:tcW w:w="450" w:type="dxa"/>
            <w:vAlign w:val="center"/>
          </w:tcPr>
          <w:p w14:paraId="5B4A2D57" w14:textId="77777777" w:rsidR="00101BB6" w:rsidRPr="00593420" w:rsidRDefault="00101BB6" w:rsidP="00101BB6">
            <w:pPr>
              <w:spacing w:line="360" w:lineRule="auto"/>
              <w:jc w:val="left"/>
              <w:rPr>
                <w:rFonts w:ascii="Arial" w:hAnsi="Arial" w:cs="Arial"/>
                <w:sz w:val="22"/>
              </w:rPr>
            </w:pPr>
            <w:r w:rsidRPr="00593420">
              <w:rPr>
                <w:rFonts w:ascii="Arial" w:eastAsia="Calibri" w:hAnsi="Arial" w:cs="Arial"/>
                <w:color w:val="000000" w:themeColor="text1"/>
                <w:sz w:val="22"/>
              </w:rPr>
              <w:t>3</w:t>
            </w:r>
          </w:p>
        </w:tc>
        <w:tc>
          <w:tcPr>
            <w:tcW w:w="720" w:type="dxa"/>
            <w:vAlign w:val="center"/>
          </w:tcPr>
          <w:p w14:paraId="47BA40DD"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52</w:t>
            </w:r>
          </w:p>
        </w:tc>
        <w:tc>
          <w:tcPr>
            <w:tcW w:w="1080" w:type="dxa"/>
            <w:vAlign w:val="center"/>
          </w:tcPr>
          <w:p w14:paraId="4F574B74" w14:textId="5FE76F15" w:rsidR="00101BB6" w:rsidRPr="00593420" w:rsidRDefault="00101BB6" w:rsidP="00101BB6">
            <w:pPr>
              <w:spacing w:line="360" w:lineRule="auto"/>
              <w:jc w:val="center"/>
              <w:rPr>
                <w:rFonts w:ascii="Arial" w:eastAsia="Calibri" w:hAnsi="Arial" w:cs="Arial"/>
                <w:color w:val="000000" w:themeColor="text1"/>
                <w:sz w:val="22"/>
              </w:rPr>
            </w:pPr>
            <w:r w:rsidRPr="00593420">
              <w:rPr>
                <w:rFonts w:ascii="Arial" w:eastAsia="Calibri" w:hAnsi="Arial" w:cs="Arial"/>
                <w:color w:val="000000" w:themeColor="text1"/>
                <w:sz w:val="22"/>
              </w:rPr>
              <w:t>Female</w:t>
            </w:r>
          </w:p>
        </w:tc>
        <w:tc>
          <w:tcPr>
            <w:tcW w:w="990" w:type="dxa"/>
            <w:vAlign w:val="center"/>
          </w:tcPr>
          <w:p w14:paraId="62F693EE"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White</w:t>
            </w:r>
          </w:p>
        </w:tc>
        <w:tc>
          <w:tcPr>
            <w:tcW w:w="900" w:type="dxa"/>
            <w:vAlign w:val="center"/>
          </w:tcPr>
          <w:p w14:paraId="2895F5CB"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43.7</w:t>
            </w:r>
          </w:p>
        </w:tc>
        <w:tc>
          <w:tcPr>
            <w:tcW w:w="2700" w:type="dxa"/>
            <w:vAlign w:val="center"/>
          </w:tcPr>
          <w:p w14:paraId="1C03288B" w14:textId="77777777" w:rsidR="00101BB6" w:rsidRPr="00593420" w:rsidRDefault="00101BB6" w:rsidP="00101BB6">
            <w:pPr>
              <w:spacing w:line="360" w:lineRule="auto"/>
              <w:jc w:val="center"/>
              <w:rPr>
                <w:rFonts w:ascii="Arial" w:eastAsia="Calibri" w:hAnsi="Arial" w:cs="Arial"/>
                <w:color w:val="000000" w:themeColor="text1"/>
                <w:sz w:val="22"/>
              </w:rPr>
            </w:pPr>
            <w:r w:rsidRPr="00593420">
              <w:rPr>
                <w:rFonts w:ascii="Arial" w:eastAsia="Calibri" w:hAnsi="Arial" w:cs="Arial"/>
                <w:color w:val="000000" w:themeColor="text1"/>
                <w:sz w:val="22"/>
              </w:rPr>
              <w:t>Ischemic stroke (on MRI)</w:t>
            </w:r>
          </w:p>
        </w:tc>
        <w:tc>
          <w:tcPr>
            <w:tcW w:w="3510" w:type="dxa"/>
            <w:vAlign w:val="center"/>
          </w:tcPr>
          <w:p w14:paraId="40370E06" w14:textId="2295506C"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No acute or subacute intracranial abnormalities.</w:t>
            </w:r>
          </w:p>
        </w:tc>
        <w:tc>
          <w:tcPr>
            <w:tcW w:w="4050" w:type="dxa"/>
            <w:vAlign w:val="center"/>
          </w:tcPr>
          <w:p w14:paraId="1B21D87E" w14:textId="77777777" w:rsidR="00101BB6" w:rsidRPr="00593420" w:rsidRDefault="00101BB6" w:rsidP="00101BB6">
            <w:pPr>
              <w:spacing w:line="360" w:lineRule="auto"/>
              <w:jc w:val="center"/>
              <w:rPr>
                <w:rFonts w:ascii="Arial" w:hAnsi="Arial" w:cs="Arial"/>
                <w:sz w:val="22"/>
                <w:highlight w:val="yellow"/>
              </w:rPr>
            </w:pPr>
            <w:r w:rsidRPr="00593420">
              <w:rPr>
                <w:rFonts w:ascii="Arial" w:eastAsia="Calibri" w:hAnsi="Arial" w:cs="Arial"/>
                <w:color w:val="000000" w:themeColor="text1"/>
                <w:sz w:val="22"/>
              </w:rPr>
              <w:t>Possible acute to subacute right frontal lobe infarct.</w:t>
            </w:r>
          </w:p>
          <w:p w14:paraId="7C7B2B38" w14:textId="77777777" w:rsidR="00101BB6" w:rsidRPr="00593420" w:rsidRDefault="00101BB6" w:rsidP="00101BB6">
            <w:pPr>
              <w:spacing w:line="360" w:lineRule="auto"/>
              <w:jc w:val="center"/>
              <w:rPr>
                <w:rFonts w:ascii="Arial" w:hAnsi="Arial" w:cs="Arial"/>
                <w:sz w:val="22"/>
              </w:rPr>
            </w:pPr>
          </w:p>
        </w:tc>
      </w:tr>
      <w:tr w:rsidR="00101BB6" w:rsidRPr="00635E6C" w14:paraId="100A9B20" w14:textId="77777777" w:rsidTr="00593420">
        <w:trPr>
          <w:trHeight w:val="300"/>
        </w:trPr>
        <w:tc>
          <w:tcPr>
            <w:tcW w:w="450" w:type="dxa"/>
            <w:vAlign w:val="center"/>
          </w:tcPr>
          <w:p w14:paraId="5BFFA88A" w14:textId="77777777" w:rsidR="00101BB6" w:rsidRPr="00593420" w:rsidRDefault="00101BB6" w:rsidP="00101BB6">
            <w:pPr>
              <w:spacing w:line="360" w:lineRule="auto"/>
              <w:jc w:val="left"/>
              <w:rPr>
                <w:rFonts w:ascii="Arial" w:hAnsi="Arial" w:cs="Arial"/>
                <w:sz w:val="22"/>
              </w:rPr>
            </w:pPr>
            <w:r w:rsidRPr="00593420">
              <w:rPr>
                <w:rFonts w:ascii="Arial" w:eastAsia="Calibri" w:hAnsi="Arial" w:cs="Arial"/>
                <w:color w:val="000000" w:themeColor="text1"/>
                <w:sz w:val="22"/>
              </w:rPr>
              <w:t>4</w:t>
            </w:r>
          </w:p>
        </w:tc>
        <w:tc>
          <w:tcPr>
            <w:tcW w:w="720" w:type="dxa"/>
            <w:vAlign w:val="center"/>
          </w:tcPr>
          <w:p w14:paraId="79F18EB2"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58</w:t>
            </w:r>
          </w:p>
        </w:tc>
        <w:tc>
          <w:tcPr>
            <w:tcW w:w="1080" w:type="dxa"/>
            <w:vAlign w:val="center"/>
          </w:tcPr>
          <w:p w14:paraId="42FC3754" w14:textId="4DBEB13E" w:rsidR="00101BB6" w:rsidRPr="00593420" w:rsidRDefault="00101BB6" w:rsidP="00101BB6">
            <w:pPr>
              <w:spacing w:line="360" w:lineRule="auto"/>
              <w:jc w:val="center"/>
              <w:rPr>
                <w:rFonts w:ascii="Arial" w:eastAsia="Calibri" w:hAnsi="Arial" w:cs="Arial"/>
                <w:color w:val="000000" w:themeColor="text1"/>
                <w:sz w:val="22"/>
              </w:rPr>
            </w:pPr>
            <w:r w:rsidRPr="00593420">
              <w:rPr>
                <w:rFonts w:ascii="Arial" w:eastAsia="Calibri" w:hAnsi="Arial" w:cs="Arial"/>
                <w:color w:val="000000" w:themeColor="text1"/>
                <w:sz w:val="22"/>
              </w:rPr>
              <w:t>Female</w:t>
            </w:r>
          </w:p>
        </w:tc>
        <w:tc>
          <w:tcPr>
            <w:tcW w:w="990" w:type="dxa"/>
            <w:vAlign w:val="center"/>
          </w:tcPr>
          <w:p w14:paraId="60E3644F" w14:textId="77777777" w:rsidR="00101BB6" w:rsidRPr="00593420" w:rsidRDefault="00101BB6" w:rsidP="00101BB6">
            <w:pPr>
              <w:spacing w:line="360" w:lineRule="auto"/>
              <w:jc w:val="center"/>
              <w:rPr>
                <w:rFonts w:ascii="Arial" w:eastAsia="Calibri" w:hAnsi="Arial" w:cs="Arial"/>
                <w:color w:val="000000" w:themeColor="text1"/>
                <w:sz w:val="22"/>
              </w:rPr>
            </w:pPr>
            <w:r w:rsidRPr="00593420">
              <w:rPr>
                <w:rFonts w:ascii="Arial" w:eastAsia="Calibri" w:hAnsi="Arial" w:cs="Arial"/>
                <w:color w:val="000000" w:themeColor="text1"/>
                <w:sz w:val="22"/>
              </w:rPr>
              <w:t>White</w:t>
            </w:r>
          </w:p>
        </w:tc>
        <w:tc>
          <w:tcPr>
            <w:tcW w:w="900" w:type="dxa"/>
            <w:vAlign w:val="center"/>
          </w:tcPr>
          <w:p w14:paraId="0E8C1FE4"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27.86</w:t>
            </w:r>
          </w:p>
        </w:tc>
        <w:tc>
          <w:tcPr>
            <w:tcW w:w="2700" w:type="dxa"/>
            <w:vAlign w:val="center"/>
          </w:tcPr>
          <w:p w14:paraId="30B0249A" w14:textId="77777777" w:rsidR="00101BB6" w:rsidRPr="00593420" w:rsidRDefault="00101BB6" w:rsidP="00101BB6">
            <w:pPr>
              <w:spacing w:line="360" w:lineRule="auto"/>
              <w:jc w:val="center"/>
              <w:rPr>
                <w:rFonts w:ascii="Arial" w:eastAsia="Calibri" w:hAnsi="Arial" w:cs="Arial"/>
                <w:color w:val="000000" w:themeColor="text1"/>
                <w:sz w:val="22"/>
              </w:rPr>
            </w:pPr>
            <w:r w:rsidRPr="00593420">
              <w:rPr>
                <w:rFonts w:ascii="Arial" w:eastAsia="Calibri" w:hAnsi="Arial" w:cs="Arial"/>
                <w:color w:val="000000" w:themeColor="text1"/>
                <w:sz w:val="22"/>
              </w:rPr>
              <w:t>Ischemic stroke (on MRI and CT)</w:t>
            </w:r>
          </w:p>
        </w:tc>
        <w:tc>
          <w:tcPr>
            <w:tcW w:w="3510" w:type="dxa"/>
            <w:vAlign w:val="center"/>
          </w:tcPr>
          <w:p w14:paraId="7078F951" w14:textId="77777777" w:rsidR="00101BB6" w:rsidRPr="00593420" w:rsidRDefault="00101BB6" w:rsidP="00101BB6">
            <w:pPr>
              <w:spacing w:line="360" w:lineRule="auto"/>
              <w:jc w:val="center"/>
              <w:rPr>
                <w:rFonts w:ascii="Arial" w:hAnsi="Arial" w:cs="Arial"/>
                <w:sz w:val="22"/>
              </w:rPr>
            </w:pPr>
            <w:r w:rsidRPr="00593420">
              <w:rPr>
                <w:rFonts w:ascii="Arial" w:hAnsi="Arial" w:cs="Arial"/>
                <w:sz w:val="22"/>
              </w:rPr>
              <w:t>Small infarct in the left cerebellar hemisphere.</w:t>
            </w:r>
          </w:p>
        </w:tc>
        <w:tc>
          <w:tcPr>
            <w:tcW w:w="4050" w:type="dxa"/>
            <w:vAlign w:val="center"/>
          </w:tcPr>
          <w:p w14:paraId="6C017C4E"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Acute to subacute left lateral cerebellar infarct</w:t>
            </w:r>
          </w:p>
        </w:tc>
      </w:tr>
      <w:tr w:rsidR="00101BB6" w:rsidRPr="00635E6C" w14:paraId="08C79C61" w14:textId="77777777" w:rsidTr="00593420">
        <w:trPr>
          <w:trHeight w:val="300"/>
        </w:trPr>
        <w:tc>
          <w:tcPr>
            <w:tcW w:w="450" w:type="dxa"/>
            <w:vAlign w:val="center"/>
          </w:tcPr>
          <w:p w14:paraId="01EDC590" w14:textId="77777777" w:rsidR="00101BB6" w:rsidRPr="00593420" w:rsidRDefault="00101BB6" w:rsidP="00101BB6">
            <w:pPr>
              <w:spacing w:line="360" w:lineRule="auto"/>
              <w:jc w:val="left"/>
              <w:rPr>
                <w:rFonts w:ascii="Arial" w:hAnsi="Arial" w:cs="Arial"/>
                <w:sz w:val="22"/>
              </w:rPr>
            </w:pPr>
            <w:r w:rsidRPr="00593420">
              <w:rPr>
                <w:rFonts w:ascii="Arial" w:eastAsia="Calibri" w:hAnsi="Arial" w:cs="Arial"/>
                <w:color w:val="000000" w:themeColor="text1"/>
                <w:sz w:val="22"/>
              </w:rPr>
              <w:t>5</w:t>
            </w:r>
          </w:p>
        </w:tc>
        <w:tc>
          <w:tcPr>
            <w:tcW w:w="720" w:type="dxa"/>
            <w:vAlign w:val="center"/>
          </w:tcPr>
          <w:p w14:paraId="19C0DBDD"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54</w:t>
            </w:r>
          </w:p>
        </w:tc>
        <w:tc>
          <w:tcPr>
            <w:tcW w:w="1080" w:type="dxa"/>
            <w:vAlign w:val="center"/>
          </w:tcPr>
          <w:p w14:paraId="16BF69C2" w14:textId="2039B38F" w:rsidR="00101BB6" w:rsidRPr="00593420" w:rsidRDefault="00101BB6" w:rsidP="00101BB6">
            <w:pPr>
              <w:spacing w:line="360" w:lineRule="auto"/>
              <w:jc w:val="center"/>
              <w:rPr>
                <w:rFonts w:ascii="Arial" w:eastAsia="Calibri" w:hAnsi="Arial" w:cs="Arial"/>
                <w:color w:val="000000" w:themeColor="text1"/>
                <w:sz w:val="22"/>
              </w:rPr>
            </w:pPr>
            <w:r w:rsidRPr="00593420">
              <w:rPr>
                <w:rFonts w:ascii="Arial" w:eastAsia="Calibri" w:hAnsi="Arial" w:cs="Arial"/>
                <w:color w:val="000000" w:themeColor="text1"/>
                <w:sz w:val="22"/>
              </w:rPr>
              <w:t>Female</w:t>
            </w:r>
          </w:p>
        </w:tc>
        <w:tc>
          <w:tcPr>
            <w:tcW w:w="990" w:type="dxa"/>
            <w:vAlign w:val="center"/>
          </w:tcPr>
          <w:p w14:paraId="4848F1FF" w14:textId="77777777" w:rsidR="00101BB6" w:rsidRPr="00593420" w:rsidRDefault="00101BB6" w:rsidP="00101BB6">
            <w:pPr>
              <w:spacing w:line="360" w:lineRule="auto"/>
              <w:jc w:val="center"/>
              <w:rPr>
                <w:rFonts w:ascii="Arial" w:eastAsia="Calibri" w:hAnsi="Arial" w:cs="Arial"/>
                <w:color w:val="000000" w:themeColor="text1"/>
                <w:sz w:val="22"/>
              </w:rPr>
            </w:pPr>
            <w:r w:rsidRPr="00593420">
              <w:rPr>
                <w:rFonts w:ascii="Arial" w:eastAsia="Calibri" w:hAnsi="Arial" w:cs="Arial"/>
                <w:color w:val="000000" w:themeColor="text1"/>
                <w:sz w:val="22"/>
              </w:rPr>
              <w:t>Asian</w:t>
            </w:r>
          </w:p>
        </w:tc>
        <w:tc>
          <w:tcPr>
            <w:tcW w:w="900" w:type="dxa"/>
            <w:vAlign w:val="center"/>
          </w:tcPr>
          <w:p w14:paraId="31789828"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18.12</w:t>
            </w:r>
          </w:p>
        </w:tc>
        <w:tc>
          <w:tcPr>
            <w:tcW w:w="2700" w:type="dxa"/>
            <w:vAlign w:val="center"/>
          </w:tcPr>
          <w:p w14:paraId="7A720C2C"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SAH (on MRI and CT)</w:t>
            </w:r>
          </w:p>
        </w:tc>
        <w:tc>
          <w:tcPr>
            <w:tcW w:w="3510" w:type="dxa"/>
            <w:vAlign w:val="center"/>
          </w:tcPr>
          <w:p w14:paraId="0449E56E" w14:textId="22478844"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Small volume</w:t>
            </w:r>
            <w:r w:rsidRPr="00593420">
              <w:rPr>
                <w:rFonts w:ascii="Arial" w:eastAsia="Calibri" w:hAnsi="Arial" w:cs="Arial"/>
                <w:color w:val="000000" w:themeColor="text1"/>
                <w:sz w:val="22"/>
                <w:u w:val="single"/>
              </w:rPr>
              <w:t xml:space="preserve"> </w:t>
            </w:r>
            <w:r w:rsidRPr="00593420">
              <w:rPr>
                <w:rFonts w:ascii="Arial" w:eastAsia="Calibri" w:hAnsi="Arial" w:cs="Arial"/>
                <w:color w:val="000000" w:themeColor="text1"/>
                <w:sz w:val="22"/>
              </w:rPr>
              <w:t>subarachnoid hemorrhage in the right superior frontal sulcus.</w:t>
            </w:r>
          </w:p>
        </w:tc>
        <w:tc>
          <w:tcPr>
            <w:tcW w:w="4050" w:type="dxa"/>
            <w:vAlign w:val="center"/>
          </w:tcPr>
          <w:p w14:paraId="21F360BD" w14:textId="7FB31246"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 xml:space="preserve">T2 FLAIR images show abnormal </w:t>
            </w:r>
            <w:r w:rsidR="00CE1FBC" w:rsidRPr="00593420">
              <w:rPr>
                <w:rFonts w:ascii="Arial" w:eastAsia="Calibri" w:hAnsi="Arial" w:cs="Arial"/>
                <w:color w:val="000000" w:themeColor="text1"/>
                <w:sz w:val="22"/>
              </w:rPr>
              <w:t>signals</w:t>
            </w:r>
            <w:r w:rsidRPr="00593420">
              <w:rPr>
                <w:rFonts w:ascii="Arial" w:eastAsia="Calibri" w:hAnsi="Arial" w:cs="Arial"/>
                <w:color w:val="000000" w:themeColor="text1"/>
                <w:sz w:val="22"/>
              </w:rPr>
              <w:t xml:space="preserve"> in the right superior frontal sulcus.</w:t>
            </w:r>
          </w:p>
          <w:p w14:paraId="10D2F9D8" w14:textId="77777777" w:rsidR="00101BB6" w:rsidRPr="00593420" w:rsidRDefault="00101BB6" w:rsidP="00101BB6">
            <w:pPr>
              <w:spacing w:line="360" w:lineRule="auto"/>
              <w:jc w:val="center"/>
              <w:rPr>
                <w:rFonts w:ascii="Arial" w:eastAsia="Calibri" w:hAnsi="Arial" w:cs="Arial"/>
                <w:color w:val="000000" w:themeColor="text1"/>
                <w:sz w:val="22"/>
              </w:rPr>
            </w:pPr>
          </w:p>
        </w:tc>
      </w:tr>
      <w:tr w:rsidR="00101BB6" w:rsidRPr="00635E6C" w14:paraId="21167E42" w14:textId="77777777" w:rsidTr="00593420">
        <w:trPr>
          <w:trHeight w:val="300"/>
        </w:trPr>
        <w:tc>
          <w:tcPr>
            <w:tcW w:w="450" w:type="dxa"/>
            <w:vAlign w:val="center"/>
          </w:tcPr>
          <w:p w14:paraId="6CC6DE99" w14:textId="77777777" w:rsidR="00101BB6" w:rsidRPr="00593420" w:rsidRDefault="00101BB6" w:rsidP="00101BB6">
            <w:pPr>
              <w:spacing w:line="360" w:lineRule="auto"/>
              <w:jc w:val="left"/>
              <w:rPr>
                <w:rFonts w:ascii="Arial" w:hAnsi="Arial" w:cs="Arial"/>
                <w:sz w:val="22"/>
              </w:rPr>
            </w:pPr>
            <w:r w:rsidRPr="00593420">
              <w:rPr>
                <w:rFonts w:ascii="Arial" w:hAnsi="Arial" w:cs="Arial"/>
                <w:sz w:val="22"/>
              </w:rPr>
              <w:t>6</w:t>
            </w:r>
          </w:p>
        </w:tc>
        <w:tc>
          <w:tcPr>
            <w:tcW w:w="720" w:type="dxa"/>
            <w:vAlign w:val="center"/>
          </w:tcPr>
          <w:p w14:paraId="2456779D"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65</w:t>
            </w:r>
          </w:p>
        </w:tc>
        <w:tc>
          <w:tcPr>
            <w:tcW w:w="1080" w:type="dxa"/>
            <w:vAlign w:val="center"/>
          </w:tcPr>
          <w:p w14:paraId="24378865" w14:textId="36761D6A" w:rsidR="00101BB6" w:rsidRPr="00593420" w:rsidRDefault="00101BB6" w:rsidP="00101BB6">
            <w:pPr>
              <w:spacing w:line="360" w:lineRule="auto"/>
              <w:jc w:val="center"/>
              <w:rPr>
                <w:rFonts w:ascii="Arial" w:eastAsia="Calibri" w:hAnsi="Arial" w:cs="Arial"/>
                <w:color w:val="000000" w:themeColor="text1"/>
                <w:sz w:val="22"/>
              </w:rPr>
            </w:pPr>
            <w:r w:rsidRPr="00593420">
              <w:rPr>
                <w:rFonts w:ascii="Arial" w:eastAsia="Calibri" w:hAnsi="Arial" w:cs="Arial"/>
                <w:color w:val="000000" w:themeColor="text1"/>
                <w:sz w:val="22"/>
              </w:rPr>
              <w:t>Male</w:t>
            </w:r>
          </w:p>
        </w:tc>
        <w:tc>
          <w:tcPr>
            <w:tcW w:w="990" w:type="dxa"/>
            <w:vAlign w:val="center"/>
          </w:tcPr>
          <w:p w14:paraId="017853AD" w14:textId="77777777" w:rsidR="00101BB6" w:rsidRPr="00593420" w:rsidRDefault="00101BB6" w:rsidP="00101BB6">
            <w:pPr>
              <w:spacing w:line="360" w:lineRule="auto"/>
              <w:jc w:val="center"/>
              <w:rPr>
                <w:rFonts w:ascii="Arial" w:eastAsia="Calibri" w:hAnsi="Arial" w:cs="Arial"/>
                <w:color w:val="000000" w:themeColor="text1"/>
                <w:sz w:val="22"/>
              </w:rPr>
            </w:pPr>
            <w:r w:rsidRPr="00593420">
              <w:rPr>
                <w:rFonts w:ascii="Arial" w:eastAsia="Calibri" w:hAnsi="Arial" w:cs="Arial"/>
                <w:color w:val="000000" w:themeColor="text1"/>
                <w:sz w:val="22"/>
              </w:rPr>
              <w:t>Black</w:t>
            </w:r>
          </w:p>
        </w:tc>
        <w:tc>
          <w:tcPr>
            <w:tcW w:w="900" w:type="dxa"/>
            <w:vAlign w:val="center"/>
          </w:tcPr>
          <w:p w14:paraId="002EC42E"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34.86</w:t>
            </w:r>
          </w:p>
        </w:tc>
        <w:tc>
          <w:tcPr>
            <w:tcW w:w="2700" w:type="dxa"/>
            <w:vAlign w:val="center"/>
          </w:tcPr>
          <w:p w14:paraId="1D28D242"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Both HIBI and Brain death</w:t>
            </w:r>
          </w:p>
          <w:p w14:paraId="42170022" w14:textId="77777777" w:rsidR="00101BB6" w:rsidRPr="00593420" w:rsidRDefault="00101BB6" w:rsidP="00101BB6">
            <w:pPr>
              <w:spacing w:line="360" w:lineRule="auto"/>
              <w:jc w:val="center"/>
              <w:rPr>
                <w:rFonts w:ascii="Arial" w:eastAsia="Calibri" w:hAnsi="Arial" w:cs="Arial"/>
                <w:color w:val="000000" w:themeColor="text1"/>
                <w:sz w:val="22"/>
              </w:rPr>
            </w:pPr>
            <w:r w:rsidRPr="00593420">
              <w:rPr>
                <w:rFonts w:ascii="Arial" w:eastAsia="Calibri" w:hAnsi="Arial" w:cs="Arial"/>
                <w:color w:val="000000" w:themeColor="text1"/>
                <w:sz w:val="22"/>
              </w:rPr>
              <w:t>(on MRI and CT)</w:t>
            </w:r>
          </w:p>
        </w:tc>
        <w:tc>
          <w:tcPr>
            <w:tcW w:w="3510" w:type="dxa"/>
            <w:vAlign w:val="center"/>
          </w:tcPr>
          <w:p w14:paraId="076CF7BD" w14:textId="0C46B5EF"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Loss of gray-white matter distinction in the cerebral and cerebellum, without effacement of the peripheral subarachnoid space. This is suggestive of early hypoxic-ischemic insult.</w:t>
            </w:r>
          </w:p>
        </w:tc>
        <w:tc>
          <w:tcPr>
            <w:tcW w:w="4050" w:type="dxa"/>
            <w:vAlign w:val="center"/>
          </w:tcPr>
          <w:p w14:paraId="7A68C9E6"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Suspicious areas of cortical restricted diffusion in bilateral cerebral hemispheres.</w:t>
            </w:r>
          </w:p>
        </w:tc>
      </w:tr>
      <w:tr w:rsidR="00101BB6" w:rsidRPr="00635E6C" w14:paraId="2BB4E606" w14:textId="77777777" w:rsidTr="00593420">
        <w:trPr>
          <w:trHeight w:val="300"/>
        </w:trPr>
        <w:tc>
          <w:tcPr>
            <w:tcW w:w="450" w:type="dxa"/>
            <w:vAlign w:val="center"/>
          </w:tcPr>
          <w:p w14:paraId="76F66DA2" w14:textId="77777777" w:rsidR="00101BB6" w:rsidRPr="00593420" w:rsidRDefault="00101BB6" w:rsidP="00101BB6">
            <w:pPr>
              <w:spacing w:line="360" w:lineRule="auto"/>
              <w:jc w:val="left"/>
              <w:rPr>
                <w:rFonts w:ascii="Arial" w:hAnsi="Arial" w:cs="Arial"/>
                <w:sz w:val="22"/>
              </w:rPr>
            </w:pPr>
            <w:r w:rsidRPr="00593420">
              <w:rPr>
                <w:rFonts w:ascii="Arial" w:hAnsi="Arial" w:cs="Arial"/>
                <w:sz w:val="22"/>
              </w:rPr>
              <w:t>7</w:t>
            </w:r>
          </w:p>
        </w:tc>
        <w:tc>
          <w:tcPr>
            <w:tcW w:w="720" w:type="dxa"/>
            <w:vAlign w:val="center"/>
          </w:tcPr>
          <w:p w14:paraId="66D8E0E0"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31</w:t>
            </w:r>
          </w:p>
        </w:tc>
        <w:tc>
          <w:tcPr>
            <w:tcW w:w="1080" w:type="dxa"/>
            <w:vAlign w:val="center"/>
          </w:tcPr>
          <w:p w14:paraId="2937E97D" w14:textId="7E924497" w:rsidR="00101BB6" w:rsidRPr="00593420" w:rsidRDefault="00101BB6" w:rsidP="00101BB6">
            <w:pPr>
              <w:spacing w:line="360" w:lineRule="auto"/>
              <w:jc w:val="center"/>
              <w:rPr>
                <w:rFonts w:ascii="Arial" w:eastAsia="Calibri" w:hAnsi="Arial" w:cs="Arial"/>
                <w:color w:val="000000" w:themeColor="text1"/>
                <w:sz w:val="22"/>
              </w:rPr>
            </w:pPr>
            <w:r w:rsidRPr="00593420">
              <w:rPr>
                <w:rFonts w:ascii="Arial" w:eastAsia="Calibri" w:hAnsi="Arial" w:cs="Arial"/>
                <w:color w:val="000000" w:themeColor="text1"/>
                <w:sz w:val="22"/>
              </w:rPr>
              <w:t>Female</w:t>
            </w:r>
          </w:p>
        </w:tc>
        <w:tc>
          <w:tcPr>
            <w:tcW w:w="990" w:type="dxa"/>
            <w:vAlign w:val="center"/>
          </w:tcPr>
          <w:p w14:paraId="61051A67"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Hispanic</w:t>
            </w:r>
          </w:p>
        </w:tc>
        <w:tc>
          <w:tcPr>
            <w:tcW w:w="900" w:type="dxa"/>
            <w:vAlign w:val="center"/>
          </w:tcPr>
          <w:p w14:paraId="1BD2D1E3"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20.89</w:t>
            </w:r>
          </w:p>
        </w:tc>
        <w:tc>
          <w:tcPr>
            <w:tcW w:w="2700" w:type="dxa"/>
            <w:vAlign w:val="center"/>
          </w:tcPr>
          <w:p w14:paraId="01CABD99"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Both HIBI and Brain death (on MRI and CT)</w:t>
            </w:r>
          </w:p>
        </w:tc>
        <w:tc>
          <w:tcPr>
            <w:tcW w:w="3510" w:type="dxa"/>
            <w:vAlign w:val="center"/>
          </w:tcPr>
          <w:p w14:paraId="59D838AC" w14:textId="0FBE52F1" w:rsidR="00101BB6" w:rsidRPr="00593420" w:rsidRDefault="00101BB6" w:rsidP="00101BB6">
            <w:pPr>
              <w:spacing w:line="360" w:lineRule="auto"/>
              <w:jc w:val="center"/>
              <w:rPr>
                <w:rFonts w:ascii="Arial" w:eastAsia="Calibri" w:hAnsi="Arial" w:cs="Arial"/>
                <w:color w:val="000000" w:themeColor="text1"/>
                <w:sz w:val="22"/>
              </w:rPr>
            </w:pPr>
            <w:r w:rsidRPr="00593420">
              <w:rPr>
                <w:rFonts w:ascii="Arial" w:eastAsia="Calibri" w:hAnsi="Arial" w:cs="Arial"/>
                <w:color w:val="000000" w:themeColor="text1"/>
                <w:sz w:val="22"/>
              </w:rPr>
              <w:t>Complete loss of gray-white differentiation and effacement of the ventricles and basal cisterns compatible with extensive global ischemic brain injury,</w:t>
            </w:r>
            <w:r w:rsidRPr="00593420">
              <w:rPr>
                <w:rFonts w:ascii="Arial" w:eastAsia="Calibri" w:hAnsi="Arial" w:cs="Arial"/>
                <w:color w:val="000000" w:themeColor="text1"/>
                <w:sz w:val="22"/>
                <w:u w:val="single"/>
              </w:rPr>
              <w:t xml:space="preserve"> </w:t>
            </w:r>
            <w:r w:rsidRPr="00593420">
              <w:rPr>
                <w:rFonts w:ascii="Arial" w:eastAsia="Calibri" w:hAnsi="Arial" w:cs="Arial"/>
                <w:color w:val="000000" w:themeColor="text1"/>
                <w:sz w:val="22"/>
              </w:rPr>
              <w:t xml:space="preserve">cerebral edema, and </w:t>
            </w:r>
            <w:proofErr w:type="spellStart"/>
            <w:r w:rsidRPr="00593420">
              <w:rPr>
                <w:rFonts w:ascii="Arial" w:eastAsia="Calibri" w:hAnsi="Arial" w:cs="Arial"/>
                <w:color w:val="000000" w:themeColor="text1"/>
                <w:sz w:val="22"/>
              </w:rPr>
              <w:t>transtentorial</w:t>
            </w:r>
            <w:proofErr w:type="spellEnd"/>
            <w:r w:rsidRPr="00593420">
              <w:rPr>
                <w:rFonts w:ascii="Arial" w:eastAsia="Calibri" w:hAnsi="Arial" w:cs="Arial"/>
                <w:color w:val="000000" w:themeColor="text1"/>
                <w:sz w:val="22"/>
              </w:rPr>
              <w:t xml:space="preserve"> herniation.</w:t>
            </w:r>
          </w:p>
        </w:tc>
        <w:tc>
          <w:tcPr>
            <w:tcW w:w="4050" w:type="dxa"/>
            <w:vAlign w:val="center"/>
          </w:tcPr>
          <w:p w14:paraId="57031120" w14:textId="6FE13CEB"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 xml:space="preserve">Bilateral cerebral cortex and deep gray matter DWI hyperintensity (which for the most part has corresponding ADC </w:t>
            </w:r>
            <w:proofErr w:type="spellStart"/>
            <w:r w:rsidRPr="00593420">
              <w:rPr>
                <w:rFonts w:ascii="Arial" w:eastAsia="Calibri" w:hAnsi="Arial" w:cs="Arial"/>
                <w:color w:val="000000" w:themeColor="text1"/>
                <w:sz w:val="22"/>
              </w:rPr>
              <w:t>isointensity</w:t>
            </w:r>
            <w:proofErr w:type="spellEnd"/>
            <w:r w:rsidRPr="00593420">
              <w:rPr>
                <w:rFonts w:ascii="Arial" w:eastAsia="Calibri" w:hAnsi="Arial" w:cs="Arial"/>
                <w:color w:val="000000" w:themeColor="text1"/>
                <w:sz w:val="22"/>
              </w:rPr>
              <w:t>), with accentuated gray-white matter differentiation on T2/FLAIR images, correlate with the finding discussed on recent CT head exam, concerning hypoxic-ischemic injury. Diffuse cerebral edema and effacement of basal cisterns were demonstrated.</w:t>
            </w:r>
          </w:p>
        </w:tc>
      </w:tr>
      <w:tr w:rsidR="00101BB6" w:rsidRPr="00635E6C" w14:paraId="1D403B83" w14:textId="77777777" w:rsidTr="00593420">
        <w:trPr>
          <w:trHeight w:val="300"/>
        </w:trPr>
        <w:tc>
          <w:tcPr>
            <w:tcW w:w="450" w:type="dxa"/>
            <w:vAlign w:val="center"/>
          </w:tcPr>
          <w:p w14:paraId="55E92F26" w14:textId="77777777" w:rsidR="00101BB6" w:rsidRPr="00593420" w:rsidRDefault="00101BB6" w:rsidP="00101BB6">
            <w:pPr>
              <w:spacing w:line="360" w:lineRule="auto"/>
              <w:jc w:val="left"/>
              <w:rPr>
                <w:rFonts w:ascii="Arial" w:hAnsi="Arial" w:cs="Arial"/>
                <w:sz w:val="22"/>
              </w:rPr>
            </w:pPr>
            <w:r w:rsidRPr="00593420">
              <w:rPr>
                <w:rFonts w:ascii="Arial" w:hAnsi="Arial" w:cs="Arial"/>
                <w:sz w:val="22"/>
              </w:rPr>
              <w:t>8</w:t>
            </w:r>
          </w:p>
        </w:tc>
        <w:tc>
          <w:tcPr>
            <w:tcW w:w="720" w:type="dxa"/>
            <w:vAlign w:val="center"/>
          </w:tcPr>
          <w:p w14:paraId="6DC29CC5"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61</w:t>
            </w:r>
          </w:p>
        </w:tc>
        <w:tc>
          <w:tcPr>
            <w:tcW w:w="1080" w:type="dxa"/>
            <w:vAlign w:val="center"/>
          </w:tcPr>
          <w:p w14:paraId="5E0514D8" w14:textId="4F39B44B" w:rsidR="00101BB6" w:rsidRPr="00593420" w:rsidRDefault="00101BB6" w:rsidP="00101BB6">
            <w:pPr>
              <w:spacing w:line="360" w:lineRule="auto"/>
              <w:jc w:val="center"/>
              <w:rPr>
                <w:rFonts w:ascii="Arial" w:eastAsia="Calibri" w:hAnsi="Arial" w:cs="Arial"/>
                <w:color w:val="000000" w:themeColor="text1"/>
                <w:sz w:val="22"/>
              </w:rPr>
            </w:pPr>
            <w:r w:rsidRPr="00593420">
              <w:rPr>
                <w:rFonts w:ascii="Arial" w:eastAsia="Calibri" w:hAnsi="Arial" w:cs="Arial"/>
                <w:color w:val="000000" w:themeColor="text1"/>
                <w:sz w:val="22"/>
              </w:rPr>
              <w:t>Male</w:t>
            </w:r>
          </w:p>
        </w:tc>
        <w:tc>
          <w:tcPr>
            <w:tcW w:w="990" w:type="dxa"/>
            <w:vAlign w:val="center"/>
          </w:tcPr>
          <w:p w14:paraId="03FD963D"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White</w:t>
            </w:r>
          </w:p>
        </w:tc>
        <w:tc>
          <w:tcPr>
            <w:tcW w:w="900" w:type="dxa"/>
            <w:vAlign w:val="center"/>
          </w:tcPr>
          <w:p w14:paraId="327947A0"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36.51</w:t>
            </w:r>
          </w:p>
        </w:tc>
        <w:tc>
          <w:tcPr>
            <w:tcW w:w="2700" w:type="dxa"/>
            <w:vAlign w:val="center"/>
          </w:tcPr>
          <w:p w14:paraId="71BD9811"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Ischemic stroke (on MRI and CT)</w:t>
            </w:r>
          </w:p>
        </w:tc>
        <w:tc>
          <w:tcPr>
            <w:tcW w:w="3510" w:type="dxa"/>
            <w:vAlign w:val="center"/>
          </w:tcPr>
          <w:p w14:paraId="117FC74E" w14:textId="51F99C3A"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Hypodensities with local mass effect in bilateral occipital lobes and left parietal lobe are suggestive of developing posterior circulation ischemic infarcts.</w:t>
            </w:r>
          </w:p>
        </w:tc>
        <w:tc>
          <w:tcPr>
            <w:tcW w:w="4050" w:type="dxa"/>
            <w:vAlign w:val="center"/>
          </w:tcPr>
          <w:p w14:paraId="6E0DAA04"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Evolving recent bilateral PCA territory infarcts and a small lacunar infarct in the left periventricular frontal lobe (lenticulostriate perforator territory).</w:t>
            </w:r>
          </w:p>
        </w:tc>
      </w:tr>
      <w:tr w:rsidR="00101BB6" w:rsidRPr="00635E6C" w14:paraId="5C92F95A" w14:textId="77777777" w:rsidTr="00593420">
        <w:trPr>
          <w:trHeight w:val="300"/>
        </w:trPr>
        <w:tc>
          <w:tcPr>
            <w:tcW w:w="450" w:type="dxa"/>
            <w:vAlign w:val="center"/>
          </w:tcPr>
          <w:p w14:paraId="4437E555" w14:textId="77777777" w:rsidR="00101BB6" w:rsidRPr="00593420" w:rsidRDefault="00101BB6" w:rsidP="00101BB6">
            <w:pPr>
              <w:spacing w:line="360" w:lineRule="auto"/>
              <w:jc w:val="left"/>
              <w:rPr>
                <w:rFonts w:ascii="Arial" w:hAnsi="Arial" w:cs="Arial"/>
                <w:sz w:val="22"/>
              </w:rPr>
            </w:pPr>
            <w:r w:rsidRPr="00593420">
              <w:rPr>
                <w:rFonts w:ascii="Arial" w:hAnsi="Arial" w:cs="Arial"/>
                <w:sz w:val="22"/>
              </w:rPr>
              <w:t>9</w:t>
            </w:r>
          </w:p>
        </w:tc>
        <w:tc>
          <w:tcPr>
            <w:tcW w:w="720" w:type="dxa"/>
            <w:vAlign w:val="center"/>
          </w:tcPr>
          <w:p w14:paraId="2F65D86E"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31</w:t>
            </w:r>
          </w:p>
        </w:tc>
        <w:tc>
          <w:tcPr>
            <w:tcW w:w="1080" w:type="dxa"/>
            <w:vAlign w:val="center"/>
          </w:tcPr>
          <w:p w14:paraId="712CB2AC" w14:textId="574B90B7" w:rsidR="00101BB6" w:rsidRPr="00593420" w:rsidRDefault="00101BB6" w:rsidP="00101BB6">
            <w:pPr>
              <w:spacing w:line="360" w:lineRule="auto"/>
              <w:jc w:val="center"/>
              <w:rPr>
                <w:rFonts w:ascii="Arial" w:eastAsia="Calibri" w:hAnsi="Arial" w:cs="Arial"/>
                <w:color w:val="000000" w:themeColor="text1"/>
                <w:sz w:val="22"/>
              </w:rPr>
            </w:pPr>
            <w:r w:rsidRPr="00593420">
              <w:rPr>
                <w:rFonts w:ascii="Arial" w:eastAsia="Calibri" w:hAnsi="Arial" w:cs="Arial"/>
                <w:color w:val="000000" w:themeColor="text1"/>
                <w:sz w:val="22"/>
              </w:rPr>
              <w:t>Female</w:t>
            </w:r>
          </w:p>
        </w:tc>
        <w:tc>
          <w:tcPr>
            <w:tcW w:w="990" w:type="dxa"/>
            <w:vAlign w:val="center"/>
          </w:tcPr>
          <w:p w14:paraId="5ACF71F6" w14:textId="77777777" w:rsidR="00101BB6" w:rsidRPr="00593420" w:rsidRDefault="00101BB6" w:rsidP="00101BB6">
            <w:pPr>
              <w:spacing w:line="360" w:lineRule="auto"/>
              <w:jc w:val="center"/>
              <w:rPr>
                <w:rFonts w:ascii="Arial" w:eastAsia="Calibri" w:hAnsi="Arial" w:cs="Arial"/>
                <w:color w:val="000000" w:themeColor="text1"/>
                <w:sz w:val="22"/>
              </w:rPr>
            </w:pPr>
            <w:r w:rsidRPr="00593420">
              <w:rPr>
                <w:rFonts w:ascii="Arial" w:eastAsia="Calibri" w:hAnsi="Arial" w:cs="Arial"/>
                <w:color w:val="000000" w:themeColor="text1"/>
                <w:sz w:val="22"/>
              </w:rPr>
              <w:t>Black</w:t>
            </w:r>
          </w:p>
        </w:tc>
        <w:tc>
          <w:tcPr>
            <w:tcW w:w="900" w:type="dxa"/>
            <w:vAlign w:val="center"/>
          </w:tcPr>
          <w:p w14:paraId="6353BF69"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34.69</w:t>
            </w:r>
          </w:p>
        </w:tc>
        <w:tc>
          <w:tcPr>
            <w:tcW w:w="2700" w:type="dxa"/>
            <w:vAlign w:val="center"/>
          </w:tcPr>
          <w:p w14:paraId="1EE2FF34"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Ischemic stroke (on MRI)</w:t>
            </w:r>
          </w:p>
        </w:tc>
        <w:tc>
          <w:tcPr>
            <w:tcW w:w="3510" w:type="dxa"/>
            <w:vAlign w:val="center"/>
          </w:tcPr>
          <w:p w14:paraId="0565427D" w14:textId="77777777"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No acute intracranial abnormality.</w:t>
            </w:r>
          </w:p>
        </w:tc>
        <w:tc>
          <w:tcPr>
            <w:tcW w:w="4050" w:type="dxa"/>
            <w:vAlign w:val="center"/>
          </w:tcPr>
          <w:p w14:paraId="18B46BA9" w14:textId="2B77F8E1" w:rsidR="00101BB6" w:rsidRPr="00593420" w:rsidRDefault="00101BB6" w:rsidP="00101BB6">
            <w:pPr>
              <w:spacing w:line="360" w:lineRule="auto"/>
              <w:jc w:val="center"/>
              <w:rPr>
                <w:rFonts w:ascii="Arial" w:hAnsi="Arial" w:cs="Arial"/>
                <w:sz w:val="22"/>
              </w:rPr>
            </w:pPr>
            <w:r w:rsidRPr="00593420">
              <w:rPr>
                <w:rFonts w:ascii="Arial" w:eastAsia="Calibri" w:hAnsi="Arial" w:cs="Arial"/>
                <w:color w:val="000000" w:themeColor="text1"/>
                <w:sz w:val="22"/>
              </w:rPr>
              <w:t>Multiple acute embolic versus watershed infarcts in the bilateral superior frontal lobes, parietal lobes, parieto-occipital junctions, and anterior aspect of the right caudate nucleus.</w:t>
            </w:r>
          </w:p>
        </w:tc>
      </w:tr>
    </w:tbl>
    <w:p w14:paraId="0D74CC10" w14:textId="60B02544" w:rsidR="00101BB6" w:rsidRPr="00635E6C" w:rsidRDefault="00F3424E" w:rsidP="00101BB6">
      <w:pPr>
        <w:spacing w:line="360" w:lineRule="auto"/>
        <w:rPr>
          <w:rFonts w:ascii="Arial" w:hAnsi="Arial" w:cs="Arial"/>
          <w:sz w:val="24"/>
          <w:szCs w:val="24"/>
        </w:rPr>
      </w:pPr>
      <w:r>
        <w:rPr>
          <w:rFonts w:ascii="Arial" w:hAnsi="Arial" w:cs="Arial"/>
          <w:sz w:val="22"/>
        </w:rPr>
        <w:t xml:space="preserve">ABI: acute brain injury, </w:t>
      </w:r>
      <w:r w:rsidR="00101BB6" w:rsidRPr="00101BB6">
        <w:rPr>
          <w:rFonts w:ascii="Arial" w:hAnsi="Arial" w:cs="Arial"/>
          <w:sz w:val="22"/>
        </w:rPr>
        <w:t>ULF-</w:t>
      </w:r>
      <w:proofErr w:type="spellStart"/>
      <w:r w:rsidR="00101BB6" w:rsidRPr="00101BB6">
        <w:rPr>
          <w:rFonts w:ascii="Arial" w:hAnsi="Arial" w:cs="Arial"/>
          <w:sz w:val="22"/>
        </w:rPr>
        <w:t>pMRI</w:t>
      </w:r>
      <w:proofErr w:type="spellEnd"/>
      <w:r w:rsidR="00101BB6" w:rsidRPr="00101BB6">
        <w:rPr>
          <w:rFonts w:ascii="Arial" w:hAnsi="Arial" w:cs="Arial"/>
          <w:sz w:val="22"/>
        </w:rPr>
        <w:t xml:space="preserve">: ultra-low-field (0.064T) portable MRI, </w:t>
      </w:r>
      <w:r w:rsidR="00CE1FBC">
        <w:rPr>
          <w:rFonts w:ascii="Arial" w:hAnsi="Arial" w:cs="Arial"/>
          <w:sz w:val="22"/>
        </w:rPr>
        <w:t xml:space="preserve">BMI: body mass index, </w:t>
      </w:r>
      <w:r w:rsidR="00101BB6">
        <w:rPr>
          <w:rFonts w:ascii="Arial" w:hAnsi="Arial" w:cs="Arial"/>
          <w:sz w:val="22"/>
        </w:rPr>
        <w:t xml:space="preserve">IPH: intraparenchymal hemorrhage, </w:t>
      </w:r>
      <w:r w:rsidR="00CE1FBC">
        <w:rPr>
          <w:rFonts w:ascii="Arial" w:hAnsi="Arial" w:cs="Arial"/>
          <w:sz w:val="22"/>
        </w:rPr>
        <w:t xml:space="preserve">SAH: subarachnoid hemorrhage, HIBI: hypoxic-ischemic brain injury, </w:t>
      </w:r>
      <w:r w:rsidR="00101BB6">
        <w:rPr>
          <w:rFonts w:ascii="Arial" w:hAnsi="Arial" w:cs="Arial"/>
          <w:sz w:val="22"/>
        </w:rPr>
        <w:t>DWI: diffuse weighted imaging</w:t>
      </w:r>
      <w:r w:rsidR="00CE1FBC">
        <w:rPr>
          <w:rFonts w:ascii="Arial" w:hAnsi="Arial" w:cs="Arial"/>
          <w:sz w:val="22"/>
        </w:rPr>
        <w:t xml:space="preserve">, ADC: </w:t>
      </w:r>
      <w:r w:rsidR="00CE1FBC" w:rsidRPr="00CE1FBC">
        <w:rPr>
          <w:rFonts w:ascii="Arial" w:hAnsi="Arial" w:cs="Arial"/>
          <w:sz w:val="22"/>
        </w:rPr>
        <w:t>Apparent diffusion coefficient</w:t>
      </w:r>
      <w:r w:rsidR="00CE1FBC">
        <w:rPr>
          <w:rFonts w:ascii="Arial" w:hAnsi="Arial" w:cs="Arial"/>
          <w:sz w:val="22"/>
        </w:rPr>
        <w:t xml:space="preserve">, FLAIR: </w:t>
      </w:r>
      <w:r w:rsidR="00CE1FBC" w:rsidRPr="00CE1FBC">
        <w:rPr>
          <w:rFonts w:ascii="Arial" w:hAnsi="Arial" w:cs="Arial"/>
          <w:sz w:val="22"/>
        </w:rPr>
        <w:t>Fluid attenuated inversion recovery</w:t>
      </w:r>
      <w:r w:rsidR="00CE1FBC">
        <w:rPr>
          <w:rFonts w:ascii="Arial" w:hAnsi="Arial" w:cs="Arial"/>
          <w:sz w:val="22"/>
        </w:rPr>
        <w:t xml:space="preserve">, PCA: posterior cerebral artery. </w:t>
      </w:r>
    </w:p>
    <w:p w14:paraId="54C53789" w14:textId="77777777" w:rsidR="00101BB6" w:rsidRPr="00635E6C" w:rsidRDefault="00101BB6" w:rsidP="00101BB6">
      <w:pPr>
        <w:spacing w:line="360" w:lineRule="auto"/>
        <w:rPr>
          <w:rFonts w:ascii="Arial" w:hAnsi="Arial" w:cs="Arial"/>
          <w:sz w:val="24"/>
          <w:szCs w:val="24"/>
        </w:rPr>
      </w:pPr>
    </w:p>
    <w:p w14:paraId="4DA7A04C" w14:textId="7450580C" w:rsidR="00101BB6" w:rsidRPr="00101BB6" w:rsidRDefault="00101BB6" w:rsidP="00101BB6">
      <w:pPr>
        <w:spacing w:line="240" w:lineRule="auto"/>
        <w:contextualSpacing/>
        <w:rPr>
          <w:rFonts w:ascii="Arial" w:hAnsi="Arial" w:cs="Arial"/>
          <w:b/>
          <w:sz w:val="22"/>
        </w:rPr>
        <w:sectPr w:rsidR="00101BB6" w:rsidRPr="00101BB6" w:rsidSect="00101BB6">
          <w:pgSz w:w="15840" w:h="12240" w:orient="landscape"/>
          <w:pgMar w:top="1440" w:right="1440" w:bottom="1440" w:left="1440" w:header="720" w:footer="720" w:gutter="0"/>
          <w:cols w:space="720"/>
          <w:docGrid w:linePitch="360"/>
        </w:sectPr>
      </w:pPr>
    </w:p>
    <w:p w14:paraId="1BD854F2" w14:textId="2FCCA4D4" w:rsidR="002F459D" w:rsidRDefault="002F459D" w:rsidP="002F459D">
      <w:pPr>
        <w:spacing w:line="480" w:lineRule="auto"/>
        <w:contextualSpacing/>
        <w:rPr>
          <w:rFonts w:ascii="Arial" w:hAnsi="Arial" w:cs="Arial"/>
          <w:sz w:val="24"/>
          <w:szCs w:val="24"/>
        </w:rPr>
      </w:pPr>
      <w:r w:rsidRPr="00BB28A6">
        <w:rPr>
          <w:rFonts w:ascii="Arial" w:hAnsi="Arial" w:cs="Arial"/>
          <w:b/>
          <w:sz w:val="24"/>
          <w:szCs w:val="24"/>
        </w:rPr>
        <w:t xml:space="preserve">Supplemental </w:t>
      </w:r>
      <w:r>
        <w:rPr>
          <w:rFonts w:ascii="Arial" w:hAnsi="Arial" w:cs="Arial"/>
          <w:b/>
          <w:sz w:val="24"/>
          <w:szCs w:val="24"/>
        </w:rPr>
        <w:t>Figure</w:t>
      </w:r>
      <w:r w:rsidRPr="00BB28A6">
        <w:rPr>
          <w:rFonts w:ascii="Arial" w:hAnsi="Arial" w:cs="Arial"/>
          <w:b/>
          <w:sz w:val="24"/>
          <w:szCs w:val="24"/>
        </w:rPr>
        <w:t xml:space="preserve"> 1.</w:t>
      </w:r>
      <w:r>
        <w:rPr>
          <w:rFonts w:ascii="Arial" w:hAnsi="Arial" w:cs="Arial"/>
          <w:b/>
          <w:sz w:val="24"/>
          <w:szCs w:val="24"/>
        </w:rPr>
        <w:t xml:space="preserve"> </w:t>
      </w:r>
      <w:r w:rsidRPr="00EB4C57">
        <w:rPr>
          <w:rFonts w:ascii="Arial" w:hAnsi="Arial" w:cs="Arial"/>
          <w:bCs/>
          <w:sz w:val="24"/>
          <w:szCs w:val="24"/>
        </w:rPr>
        <w:t>Hemodynamic monitoring during intra-aortic balloon pump (IABP) adverse event (AE). ECG (leads II and V1), respiratory rate (RR), and arterial line waveforms (Art 1 and Art 2) are shown before initiation of ultra-low-field portable MR (ULF-</w:t>
      </w:r>
      <w:proofErr w:type="spellStart"/>
      <w:r w:rsidRPr="00EB4C57">
        <w:rPr>
          <w:rFonts w:ascii="Arial" w:hAnsi="Arial" w:cs="Arial"/>
          <w:bCs/>
          <w:sz w:val="24"/>
          <w:szCs w:val="24"/>
        </w:rPr>
        <w:t>pMR</w:t>
      </w:r>
      <w:proofErr w:type="spellEnd"/>
      <w:r w:rsidRPr="00EB4C57">
        <w:rPr>
          <w:rFonts w:ascii="Arial" w:hAnsi="Arial" w:cs="Arial"/>
          <w:bCs/>
          <w:sz w:val="24"/>
          <w:szCs w:val="24"/>
        </w:rPr>
        <w:t>) (A). During the DWI sequence, artifact was noted in the ECG leads causing the IABP to stop functioning (B). Red arrows indicate when IABP triggering was switched from ECG to internal with subsequent restoration of arterial pressure waveforms.</w:t>
      </w:r>
    </w:p>
    <w:p w14:paraId="6A441788" w14:textId="7C8E1F2B" w:rsidR="00BB28A6" w:rsidRDefault="00BB28A6">
      <w:pPr>
        <w:rPr>
          <w:rFonts w:ascii="Arial" w:hAnsi="Arial" w:cs="Arial"/>
          <w:sz w:val="24"/>
          <w:szCs w:val="24"/>
        </w:rPr>
      </w:pPr>
      <w:r>
        <w:rPr>
          <w:rFonts w:ascii="Arial" w:hAnsi="Arial" w:cs="Arial"/>
          <w:noProof/>
          <w:sz w:val="24"/>
          <w:szCs w:val="24"/>
        </w:rPr>
        <w:drawing>
          <wp:inline distT="0" distB="0" distL="0" distR="0" wp14:anchorId="09F108F7" wp14:editId="61686240">
            <wp:extent cx="5943600" cy="5667375"/>
            <wp:effectExtent l="0" t="0" r="0" b="9525"/>
            <wp:docPr id="18274099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5667375"/>
                    </a:xfrm>
                    <a:prstGeom prst="rect">
                      <a:avLst/>
                    </a:prstGeom>
                    <a:noFill/>
                    <a:ln>
                      <a:noFill/>
                    </a:ln>
                  </pic:spPr>
                </pic:pic>
              </a:graphicData>
            </a:graphic>
          </wp:inline>
        </w:drawing>
      </w:r>
    </w:p>
    <w:p w14:paraId="497BE36A" w14:textId="77777777" w:rsidR="00593420" w:rsidRDefault="00593420">
      <w:pPr>
        <w:rPr>
          <w:rFonts w:ascii="Arial" w:hAnsi="Arial" w:cs="Arial"/>
          <w:sz w:val="24"/>
          <w:szCs w:val="24"/>
        </w:rPr>
        <w:sectPr w:rsidR="00593420">
          <w:pgSz w:w="12240" w:h="15840"/>
          <w:pgMar w:top="1440" w:right="1440" w:bottom="1440" w:left="1440" w:header="720" w:footer="720" w:gutter="0"/>
          <w:cols w:space="720"/>
          <w:docGrid w:linePitch="360"/>
        </w:sectPr>
      </w:pPr>
    </w:p>
    <w:p w14:paraId="4FD50FE0" w14:textId="22046ACC" w:rsidR="000C04D3" w:rsidRDefault="00593420" w:rsidP="00593420">
      <w:pPr>
        <w:spacing w:line="480" w:lineRule="auto"/>
        <w:contextualSpacing/>
        <w:rPr>
          <w:rFonts w:ascii="Arial" w:hAnsi="Arial" w:cs="Arial"/>
          <w:bCs/>
          <w:sz w:val="24"/>
          <w:szCs w:val="24"/>
        </w:rPr>
      </w:pPr>
      <w:r w:rsidRPr="00BB28A6">
        <w:rPr>
          <w:rFonts w:ascii="Arial" w:hAnsi="Arial" w:cs="Arial"/>
          <w:b/>
          <w:sz w:val="24"/>
          <w:szCs w:val="24"/>
        </w:rPr>
        <w:t xml:space="preserve">Supplemental </w:t>
      </w:r>
      <w:r>
        <w:rPr>
          <w:rFonts w:ascii="Arial" w:hAnsi="Arial" w:cs="Arial"/>
          <w:b/>
          <w:sz w:val="24"/>
          <w:szCs w:val="24"/>
        </w:rPr>
        <w:t>Figure</w:t>
      </w:r>
      <w:r w:rsidRPr="00BB28A6">
        <w:rPr>
          <w:rFonts w:ascii="Arial" w:hAnsi="Arial" w:cs="Arial"/>
          <w:b/>
          <w:sz w:val="24"/>
          <w:szCs w:val="24"/>
        </w:rPr>
        <w:t xml:space="preserve"> </w:t>
      </w:r>
      <w:r>
        <w:rPr>
          <w:rFonts w:ascii="Arial" w:hAnsi="Arial" w:cs="Arial"/>
          <w:b/>
          <w:sz w:val="24"/>
          <w:szCs w:val="24"/>
        </w:rPr>
        <w:t>2</w:t>
      </w:r>
      <w:r w:rsidRPr="00BB28A6">
        <w:rPr>
          <w:rFonts w:ascii="Arial" w:hAnsi="Arial" w:cs="Arial"/>
          <w:b/>
          <w:sz w:val="24"/>
          <w:szCs w:val="24"/>
        </w:rPr>
        <w:t>.</w:t>
      </w:r>
      <w:r>
        <w:rPr>
          <w:rFonts w:ascii="Arial" w:hAnsi="Arial" w:cs="Arial"/>
          <w:b/>
          <w:sz w:val="24"/>
          <w:szCs w:val="24"/>
        </w:rPr>
        <w:t xml:space="preserve"> </w:t>
      </w:r>
      <w:r w:rsidRPr="00593420">
        <w:rPr>
          <w:rFonts w:ascii="Arial" w:hAnsi="Arial" w:cs="Arial"/>
          <w:bCs/>
          <w:sz w:val="24"/>
          <w:szCs w:val="24"/>
        </w:rPr>
        <w:t xml:space="preserve">Axial </w:t>
      </w:r>
      <w:r>
        <w:rPr>
          <w:rFonts w:ascii="Arial" w:hAnsi="Arial" w:cs="Arial"/>
          <w:bCs/>
          <w:sz w:val="24"/>
          <w:szCs w:val="24"/>
        </w:rPr>
        <w:t>n</w:t>
      </w:r>
      <w:r w:rsidRPr="00593420">
        <w:rPr>
          <w:rFonts w:ascii="Arial" w:hAnsi="Arial" w:cs="Arial"/>
          <w:bCs/>
          <w:sz w:val="24"/>
          <w:szCs w:val="24"/>
        </w:rPr>
        <w:t>on-</w:t>
      </w:r>
      <w:r>
        <w:rPr>
          <w:rFonts w:ascii="Arial" w:hAnsi="Arial" w:cs="Arial"/>
          <w:bCs/>
          <w:sz w:val="24"/>
          <w:szCs w:val="24"/>
        </w:rPr>
        <w:t>c</w:t>
      </w:r>
      <w:r w:rsidRPr="00593420">
        <w:rPr>
          <w:rFonts w:ascii="Arial" w:hAnsi="Arial" w:cs="Arial"/>
          <w:bCs/>
          <w:sz w:val="24"/>
          <w:szCs w:val="24"/>
        </w:rPr>
        <w:t xml:space="preserve">ontrast and MR images of the brain at the level of the centrum semiovale (upper images) and at the level of the basal ganglia (lower images). </w:t>
      </w:r>
    </w:p>
    <w:p w14:paraId="262111D9" w14:textId="00002A2D" w:rsidR="00593420" w:rsidRDefault="00593420" w:rsidP="00593420">
      <w:pPr>
        <w:spacing w:line="480" w:lineRule="auto"/>
        <w:contextualSpacing/>
        <w:rPr>
          <w:rFonts w:ascii="Arial" w:hAnsi="Arial" w:cs="Arial"/>
          <w:sz w:val="24"/>
          <w:szCs w:val="24"/>
        </w:rPr>
      </w:pPr>
      <w:r>
        <w:rPr>
          <w:rFonts w:ascii="Arial" w:hAnsi="Arial" w:cs="Arial"/>
          <w:bCs/>
          <w:noProof/>
          <w:sz w:val="24"/>
          <w:szCs w:val="24"/>
        </w:rPr>
        <w:drawing>
          <wp:inline distT="0" distB="0" distL="0" distR="0" wp14:anchorId="7D1CEF66" wp14:editId="652A4223">
            <wp:extent cx="5934710" cy="3838575"/>
            <wp:effectExtent l="0" t="0" r="8890" b="9525"/>
            <wp:docPr id="205486145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4710" cy="3838575"/>
                    </a:xfrm>
                    <a:prstGeom prst="rect">
                      <a:avLst/>
                    </a:prstGeom>
                    <a:noFill/>
                    <a:ln>
                      <a:noFill/>
                    </a:ln>
                  </pic:spPr>
                </pic:pic>
              </a:graphicData>
            </a:graphic>
          </wp:inline>
        </w:drawing>
      </w:r>
    </w:p>
    <w:p w14:paraId="73DB36C6" w14:textId="3BD13D52" w:rsidR="00593420" w:rsidRDefault="00593420" w:rsidP="00593420">
      <w:pPr>
        <w:spacing w:line="480" w:lineRule="auto"/>
        <w:contextualSpacing/>
        <w:rPr>
          <w:rFonts w:ascii="Arial" w:hAnsi="Arial" w:cs="Arial"/>
          <w:sz w:val="24"/>
          <w:szCs w:val="24"/>
        </w:rPr>
      </w:pPr>
      <w:r w:rsidRPr="00593420">
        <w:rPr>
          <w:rFonts w:ascii="Arial" w:hAnsi="Arial" w:cs="Arial"/>
          <w:bCs/>
          <w:sz w:val="24"/>
          <w:szCs w:val="24"/>
        </w:rPr>
        <w:t xml:space="preserve">On CT scan images there was no evidence of acute infarcts. However, on subsequent </w:t>
      </w:r>
      <w:r>
        <w:rPr>
          <w:rFonts w:ascii="Arial" w:hAnsi="Arial" w:cs="Arial"/>
          <w:bCs/>
          <w:sz w:val="24"/>
          <w:szCs w:val="24"/>
        </w:rPr>
        <w:t>u</w:t>
      </w:r>
      <w:r w:rsidRPr="00593420">
        <w:rPr>
          <w:rFonts w:ascii="Arial" w:hAnsi="Arial" w:cs="Arial"/>
          <w:bCs/>
          <w:sz w:val="24"/>
          <w:szCs w:val="24"/>
        </w:rPr>
        <w:t>ltra-low-field portable MRI there was evidence of multiple acute watershed versus embolic infarcts in bilateral cerebral hemispheres and head of right caudate nucleus (arrows), which show restriction on DWI, with corresponding low signal attenuation on ADC and hyperintense signal on FLAIR.</w:t>
      </w:r>
    </w:p>
    <w:sectPr w:rsidR="005934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2E79D1" w14:textId="77777777" w:rsidR="005305D7" w:rsidRDefault="005305D7" w:rsidP="002F459D">
      <w:pPr>
        <w:spacing w:after="0" w:line="240" w:lineRule="auto"/>
      </w:pPr>
      <w:r>
        <w:separator/>
      </w:r>
    </w:p>
  </w:endnote>
  <w:endnote w:type="continuationSeparator" w:id="0">
    <w:p w14:paraId="7E2A3CC6" w14:textId="77777777" w:rsidR="005305D7" w:rsidRDefault="005305D7" w:rsidP="002F45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w:altName w:val="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ED7451" w14:textId="77777777" w:rsidR="005305D7" w:rsidRDefault="005305D7" w:rsidP="002F459D">
      <w:pPr>
        <w:spacing w:after="0" w:line="240" w:lineRule="auto"/>
      </w:pPr>
      <w:r>
        <w:separator/>
      </w:r>
    </w:p>
  </w:footnote>
  <w:footnote w:type="continuationSeparator" w:id="0">
    <w:p w14:paraId="5C5A048C" w14:textId="77777777" w:rsidR="005305D7" w:rsidRDefault="005305D7" w:rsidP="002F45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CE54BC"/>
    <w:multiLevelType w:val="hybridMultilevel"/>
    <w:tmpl w:val="CC460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798012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6EE0"/>
    <w:rsid w:val="000C04D3"/>
    <w:rsid w:val="00101BB6"/>
    <w:rsid w:val="00177439"/>
    <w:rsid w:val="001F21A7"/>
    <w:rsid w:val="00221596"/>
    <w:rsid w:val="002F459D"/>
    <w:rsid w:val="00514ABE"/>
    <w:rsid w:val="005305D7"/>
    <w:rsid w:val="00593420"/>
    <w:rsid w:val="007B6EE0"/>
    <w:rsid w:val="0093194A"/>
    <w:rsid w:val="00BB28A6"/>
    <w:rsid w:val="00CE1FBC"/>
    <w:rsid w:val="00EB4C57"/>
    <w:rsid w:val="00F3424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7FD390"/>
  <w15:chartTrackingRefBased/>
  <w15:docId w15:val="{8436C477-208E-4A66-831D-C78AA9E03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6EE0"/>
    <w:pPr>
      <w:widowControl w:val="0"/>
      <w:wordWrap w:val="0"/>
      <w:autoSpaceDE w:val="0"/>
      <w:autoSpaceDN w:val="0"/>
      <w:jc w:val="both"/>
    </w:pPr>
    <w:rPr>
      <w:sz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B6EE0"/>
    <w:rPr>
      <w:sz w:val="16"/>
      <w:szCs w:val="16"/>
    </w:rPr>
  </w:style>
  <w:style w:type="paragraph" w:styleId="CommentText">
    <w:name w:val="annotation text"/>
    <w:basedOn w:val="Normal"/>
    <w:link w:val="CommentTextChar"/>
    <w:uiPriority w:val="99"/>
    <w:unhideWhenUsed/>
    <w:rsid w:val="007B6EE0"/>
    <w:pPr>
      <w:widowControl/>
      <w:wordWrap/>
      <w:spacing w:after="0" w:line="240" w:lineRule="auto"/>
      <w:jc w:val="left"/>
    </w:pPr>
    <w:rPr>
      <w:rFonts w:ascii="Times" w:eastAsia="Times New Roman" w:hAnsi="Times" w:cs="Times New Roman"/>
      <w:kern w:val="0"/>
      <w:szCs w:val="20"/>
      <w:lang w:eastAsia="en-US"/>
    </w:rPr>
  </w:style>
  <w:style w:type="character" w:customStyle="1" w:styleId="CommentTextChar">
    <w:name w:val="Comment Text Char"/>
    <w:basedOn w:val="DefaultParagraphFont"/>
    <w:link w:val="CommentText"/>
    <w:uiPriority w:val="99"/>
    <w:rsid w:val="007B6EE0"/>
    <w:rPr>
      <w:rFonts w:ascii="Times" w:eastAsia="Times New Roman" w:hAnsi="Times" w:cs="Times New Roman"/>
      <w:kern w:val="0"/>
      <w:sz w:val="20"/>
      <w:szCs w:val="20"/>
      <w:lang w:eastAsia="en-US"/>
      <w14:ligatures w14:val="none"/>
    </w:rPr>
  </w:style>
  <w:style w:type="paragraph" w:styleId="ListParagraph">
    <w:name w:val="List Paragraph"/>
    <w:basedOn w:val="Normal"/>
    <w:uiPriority w:val="34"/>
    <w:qFormat/>
    <w:rsid w:val="007B6EE0"/>
    <w:pPr>
      <w:ind w:left="720"/>
      <w:contextualSpacing/>
    </w:pPr>
  </w:style>
  <w:style w:type="table" w:styleId="TableGrid">
    <w:name w:val="Table Grid"/>
    <w:basedOn w:val="TableNormal"/>
    <w:uiPriority w:val="39"/>
    <w:rsid w:val="00BB28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BB28A6"/>
    <w:pPr>
      <w:widowControl w:val="0"/>
      <w:wordWrap w:val="0"/>
      <w:spacing w:after="160"/>
      <w:jc w:val="both"/>
    </w:pPr>
    <w:rPr>
      <w:rFonts w:asciiTheme="minorHAnsi" w:eastAsiaTheme="minorEastAsia" w:hAnsiTheme="minorHAnsi" w:cstheme="minorBidi"/>
      <w:b/>
      <w:bCs/>
      <w:kern w:val="2"/>
      <w:lang w:eastAsia="ko-KR"/>
    </w:rPr>
  </w:style>
  <w:style w:type="character" w:customStyle="1" w:styleId="CommentSubjectChar">
    <w:name w:val="Comment Subject Char"/>
    <w:basedOn w:val="CommentTextChar"/>
    <w:link w:val="CommentSubject"/>
    <w:uiPriority w:val="99"/>
    <w:semiHidden/>
    <w:rsid w:val="00BB28A6"/>
    <w:rPr>
      <w:rFonts w:ascii="Times" w:eastAsia="Times New Roman" w:hAnsi="Times" w:cs="Times New Roman"/>
      <w:b/>
      <w:bCs/>
      <w:kern w:val="0"/>
      <w:sz w:val="20"/>
      <w:szCs w:val="20"/>
      <w:lang w:eastAsia="en-US"/>
      <w14:ligatures w14:val="none"/>
    </w:rPr>
  </w:style>
  <w:style w:type="paragraph" w:styleId="Revision">
    <w:name w:val="Revision"/>
    <w:hidden/>
    <w:uiPriority w:val="99"/>
    <w:semiHidden/>
    <w:rsid w:val="000C04D3"/>
    <w:pPr>
      <w:spacing w:after="0" w:line="240" w:lineRule="auto"/>
    </w:pPr>
    <w:rPr>
      <w:sz w:val="20"/>
      <w14:ligatures w14:val="none"/>
    </w:rPr>
  </w:style>
  <w:style w:type="paragraph" w:styleId="Header">
    <w:name w:val="header"/>
    <w:basedOn w:val="Normal"/>
    <w:link w:val="HeaderChar"/>
    <w:uiPriority w:val="99"/>
    <w:unhideWhenUsed/>
    <w:rsid w:val="002F45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459D"/>
    <w:rPr>
      <w:sz w:val="20"/>
      <w14:ligatures w14:val="none"/>
    </w:rPr>
  </w:style>
  <w:style w:type="paragraph" w:styleId="Footer">
    <w:name w:val="footer"/>
    <w:basedOn w:val="Normal"/>
    <w:link w:val="FooterChar"/>
    <w:uiPriority w:val="99"/>
    <w:unhideWhenUsed/>
    <w:rsid w:val="002F45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459D"/>
    <w:rPr>
      <w:sz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8</Pages>
  <Words>1070</Words>
  <Characters>6267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Sung-Min Cho</dc:creator>
  <cp:keywords/>
  <dc:description/>
  <cp:lastModifiedBy>Sung-Min Cho</cp:lastModifiedBy>
  <cp:revision>5</cp:revision>
  <dcterms:created xsi:type="dcterms:W3CDTF">2024-01-07T14:39:00Z</dcterms:created>
  <dcterms:modified xsi:type="dcterms:W3CDTF">2024-01-11T15:23:00Z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a2b739ee-97d1-4469-acf0-3244ffa3bb89</vt:lpwstr>
  </property>
</Properties>
</file>