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25F92F" w14:textId="77777777" w:rsidR="00746BA2" w:rsidRDefault="00746BA2" w:rsidP="00746BA2">
      <w:pPr>
        <w:jc w:val="center"/>
        <w:rPr>
          <w:b/>
          <w:bCs/>
        </w:rPr>
      </w:pPr>
      <w:r>
        <w:rPr>
          <w:b/>
          <w:bCs/>
        </w:rPr>
        <w:t>Supplemental Materials</w:t>
      </w:r>
    </w:p>
    <w:p w14:paraId="71AB2E50" w14:textId="629D82BF" w:rsidR="00746BA2" w:rsidRDefault="00746BA2" w:rsidP="00746BA2">
      <w:pPr>
        <w:jc w:val="center"/>
      </w:pPr>
      <w:r w:rsidRPr="006D1C6C">
        <w:t>Re</w:t>
      </w:r>
      <w:r w:rsidR="007C0880">
        <w:t>:</w:t>
      </w:r>
      <w:r w:rsidRPr="006D1C6C">
        <w:t xml:space="preserve"> Viscardi et al. </w:t>
      </w:r>
      <w:r w:rsidR="00C44B38">
        <w:t>E</w:t>
      </w:r>
      <w:r w:rsidRPr="006D1C6C">
        <w:t>ffect of soy isoflavones on measures of estrogenicity: A systematic review and meta-analysis of randomized trials.</w:t>
      </w:r>
    </w:p>
    <w:p w14:paraId="4F1CB31D" w14:textId="77777777" w:rsidR="00746BA2" w:rsidRDefault="00746BA2" w:rsidP="00746BA2">
      <w:r>
        <w:br w:type="page"/>
      </w:r>
    </w:p>
    <w:sdt>
      <w:sdtPr>
        <w:rPr>
          <w:rFonts w:ascii="Times New Roman" w:eastAsia="Times New Roman" w:hAnsi="Times New Roman" w:cs="Times New Roman"/>
          <w:b w:val="0"/>
          <w:bCs w:val="0"/>
          <w:color w:val="auto"/>
          <w:sz w:val="24"/>
          <w:szCs w:val="24"/>
          <w:lang w:val="en-CA"/>
        </w:rPr>
        <w:id w:val="-141504995"/>
        <w:docPartObj>
          <w:docPartGallery w:val="Table of Contents"/>
          <w:docPartUnique/>
        </w:docPartObj>
      </w:sdtPr>
      <w:sdtEndPr>
        <w:rPr>
          <w:noProof/>
        </w:rPr>
      </w:sdtEndPr>
      <w:sdtContent>
        <w:p w14:paraId="574BB169" w14:textId="7E5E1E9A" w:rsidR="007528AA" w:rsidRPr="007528AA" w:rsidRDefault="007528AA">
          <w:pPr>
            <w:pStyle w:val="TOCHeading"/>
            <w:rPr>
              <w:rFonts w:ascii="Times New Roman" w:hAnsi="Times New Roman" w:cs="Times New Roman"/>
              <w:color w:val="auto"/>
            </w:rPr>
          </w:pPr>
          <w:r w:rsidRPr="007528AA">
            <w:rPr>
              <w:rFonts w:ascii="Times New Roman" w:hAnsi="Times New Roman" w:cs="Times New Roman"/>
              <w:color w:val="auto"/>
            </w:rPr>
            <w:t>Table of Contents</w:t>
          </w:r>
        </w:p>
        <w:p w14:paraId="43516A1B" w14:textId="3370EBE7" w:rsidR="0036033F" w:rsidRDefault="007528AA">
          <w:pPr>
            <w:pStyle w:val="TOC1"/>
            <w:tabs>
              <w:tab w:val="right" w:leader="dot" w:pos="9350"/>
            </w:tabs>
            <w:rPr>
              <w:rFonts w:asciiTheme="minorHAnsi" w:eastAsiaTheme="minorEastAsia" w:hAnsiTheme="minorHAnsi" w:cstheme="minorBidi"/>
              <w:bCs w:val="0"/>
              <w:iCs w:val="0"/>
              <w:noProof/>
              <w:kern w:val="2"/>
              <w:sz w:val="24"/>
              <w14:ligatures w14:val="standardContextual"/>
            </w:rPr>
          </w:pPr>
          <w:r>
            <w:rPr>
              <w:bCs w:val="0"/>
              <w:i/>
            </w:rPr>
            <w:fldChar w:fldCharType="begin"/>
          </w:r>
          <w:r>
            <w:rPr>
              <w:bCs w:val="0"/>
              <w:i/>
            </w:rPr>
            <w:instrText xml:space="preserve"> TOC \o "1-3" \h \z \u </w:instrText>
          </w:r>
          <w:r>
            <w:rPr>
              <w:bCs w:val="0"/>
              <w:i/>
            </w:rPr>
            <w:fldChar w:fldCharType="separate"/>
          </w:r>
          <w:hyperlink w:anchor="_Toc153356541" w:history="1">
            <w:r w:rsidR="0036033F" w:rsidRPr="00D14FA6">
              <w:rPr>
                <w:rStyle w:val="Hyperlink"/>
                <w:b/>
                <w:noProof/>
              </w:rPr>
              <w:t>Supplemental Table 1.</w:t>
            </w:r>
            <w:r w:rsidR="0036033F" w:rsidRPr="00D14FA6">
              <w:rPr>
                <w:rStyle w:val="Hyperlink"/>
                <w:noProof/>
              </w:rPr>
              <w:t xml:space="preserve"> Search strategy for randomized controlled trials assessing the effect of soy isoflavones on measures of estrogenicity</w:t>
            </w:r>
            <w:r w:rsidR="0036033F">
              <w:rPr>
                <w:noProof/>
                <w:webHidden/>
              </w:rPr>
              <w:tab/>
            </w:r>
            <w:r w:rsidR="0036033F">
              <w:rPr>
                <w:noProof/>
                <w:webHidden/>
              </w:rPr>
              <w:fldChar w:fldCharType="begin"/>
            </w:r>
            <w:r w:rsidR="0036033F">
              <w:rPr>
                <w:noProof/>
                <w:webHidden/>
              </w:rPr>
              <w:instrText xml:space="preserve"> PAGEREF _Toc153356541 \h </w:instrText>
            </w:r>
            <w:r w:rsidR="0036033F">
              <w:rPr>
                <w:noProof/>
                <w:webHidden/>
              </w:rPr>
            </w:r>
            <w:r w:rsidR="0036033F">
              <w:rPr>
                <w:noProof/>
                <w:webHidden/>
              </w:rPr>
              <w:fldChar w:fldCharType="separate"/>
            </w:r>
            <w:r w:rsidR="00C44B38">
              <w:rPr>
                <w:noProof/>
                <w:webHidden/>
              </w:rPr>
              <w:t>4</w:t>
            </w:r>
            <w:r w:rsidR="0036033F">
              <w:rPr>
                <w:noProof/>
                <w:webHidden/>
              </w:rPr>
              <w:fldChar w:fldCharType="end"/>
            </w:r>
          </w:hyperlink>
        </w:p>
        <w:p w14:paraId="2560700B" w14:textId="7D5A6D21"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42" w:history="1">
            <w:r w:rsidR="0036033F" w:rsidRPr="00D14FA6">
              <w:rPr>
                <w:rStyle w:val="Hyperlink"/>
                <w:b/>
                <w:noProof/>
              </w:rPr>
              <w:t>Supplemental Table 2.</w:t>
            </w:r>
            <w:r w:rsidR="0036033F" w:rsidRPr="00D14FA6">
              <w:rPr>
                <w:rStyle w:val="Hyperlink"/>
                <w:noProof/>
              </w:rPr>
              <w:t xml:space="preserve"> PICOTS framework of the search strategy</w:t>
            </w:r>
            <w:r w:rsidR="0036033F">
              <w:rPr>
                <w:noProof/>
                <w:webHidden/>
              </w:rPr>
              <w:tab/>
            </w:r>
            <w:r w:rsidR="0036033F">
              <w:rPr>
                <w:noProof/>
                <w:webHidden/>
              </w:rPr>
              <w:fldChar w:fldCharType="begin"/>
            </w:r>
            <w:r w:rsidR="0036033F">
              <w:rPr>
                <w:noProof/>
                <w:webHidden/>
              </w:rPr>
              <w:instrText xml:space="preserve"> PAGEREF _Toc153356542 \h </w:instrText>
            </w:r>
            <w:r w:rsidR="0036033F">
              <w:rPr>
                <w:noProof/>
                <w:webHidden/>
              </w:rPr>
            </w:r>
            <w:r w:rsidR="0036033F">
              <w:rPr>
                <w:noProof/>
                <w:webHidden/>
              </w:rPr>
              <w:fldChar w:fldCharType="separate"/>
            </w:r>
            <w:r w:rsidR="00C44B38">
              <w:rPr>
                <w:noProof/>
                <w:webHidden/>
              </w:rPr>
              <w:t>7</w:t>
            </w:r>
            <w:r w:rsidR="0036033F">
              <w:rPr>
                <w:noProof/>
                <w:webHidden/>
              </w:rPr>
              <w:fldChar w:fldCharType="end"/>
            </w:r>
          </w:hyperlink>
        </w:p>
        <w:p w14:paraId="7FB70E7D" w14:textId="26C94F84"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43" w:history="1">
            <w:r w:rsidR="0036033F" w:rsidRPr="00D14FA6">
              <w:rPr>
                <w:rStyle w:val="Hyperlink"/>
                <w:b/>
                <w:noProof/>
              </w:rPr>
              <w:t>Supplemental Table 3.</w:t>
            </w:r>
            <w:r w:rsidR="0036033F" w:rsidRPr="00D14FA6">
              <w:rPr>
                <w:rStyle w:val="Hyperlink"/>
                <w:noProof/>
              </w:rPr>
              <w:t xml:space="preserve"> Table of characteristics of the randomized controlled trials assessing the effect of soy isoflavones on measures of estrogenicity</w:t>
            </w:r>
            <w:r w:rsidR="0036033F">
              <w:rPr>
                <w:noProof/>
                <w:webHidden/>
              </w:rPr>
              <w:tab/>
            </w:r>
            <w:r w:rsidR="0036033F">
              <w:rPr>
                <w:noProof/>
                <w:webHidden/>
              </w:rPr>
              <w:fldChar w:fldCharType="begin"/>
            </w:r>
            <w:r w:rsidR="0036033F">
              <w:rPr>
                <w:noProof/>
                <w:webHidden/>
              </w:rPr>
              <w:instrText xml:space="preserve"> PAGEREF _Toc153356543 \h </w:instrText>
            </w:r>
            <w:r w:rsidR="0036033F">
              <w:rPr>
                <w:noProof/>
                <w:webHidden/>
              </w:rPr>
            </w:r>
            <w:r w:rsidR="0036033F">
              <w:rPr>
                <w:noProof/>
                <w:webHidden/>
              </w:rPr>
              <w:fldChar w:fldCharType="separate"/>
            </w:r>
            <w:r w:rsidR="00C44B38">
              <w:rPr>
                <w:noProof/>
                <w:webHidden/>
              </w:rPr>
              <w:t>8</w:t>
            </w:r>
            <w:r w:rsidR="0036033F">
              <w:rPr>
                <w:noProof/>
                <w:webHidden/>
              </w:rPr>
              <w:fldChar w:fldCharType="end"/>
            </w:r>
          </w:hyperlink>
        </w:p>
        <w:p w14:paraId="2CB3CFF7" w14:textId="1147CA0A"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44" w:history="1">
            <w:r w:rsidR="0036033F" w:rsidRPr="00D14FA6">
              <w:rPr>
                <w:rStyle w:val="Hyperlink"/>
                <w:b/>
                <w:noProof/>
              </w:rPr>
              <w:t>Supplemental Table 4.</w:t>
            </w:r>
            <w:r w:rsidR="0036033F" w:rsidRPr="00D14FA6">
              <w:rPr>
                <w:rStyle w:val="Hyperlink"/>
                <w:noProof/>
              </w:rPr>
              <w:t xml:space="preserve"> Assessment of acceptability and adverse events*</w:t>
            </w:r>
            <w:r w:rsidR="0036033F">
              <w:rPr>
                <w:noProof/>
                <w:webHidden/>
              </w:rPr>
              <w:tab/>
            </w:r>
            <w:r w:rsidR="0036033F">
              <w:rPr>
                <w:noProof/>
                <w:webHidden/>
              </w:rPr>
              <w:fldChar w:fldCharType="begin"/>
            </w:r>
            <w:r w:rsidR="0036033F">
              <w:rPr>
                <w:noProof/>
                <w:webHidden/>
              </w:rPr>
              <w:instrText xml:space="preserve"> PAGEREF _Toc153356544 \h </w:instrText>
            </w:r>
            <w:r w:rsidR="0036033F">
              <w:rPr>
                <w:noProof/>
                <w:webHidden/>
              </w:rPr>
            </w:r>
            <w:r w:rsidR="0036033F">
              <w:rPr>
                <w:noProof/>
                <w:webHidden/>
              </w:rPr>
              <w:fldChar w:fldCharType="separate"/>
            </w:r>
            <w:r w:rsidR="00C44B38">
              <w:rPr>
                <w:noProof/>
                <w:webHidden/>
              </w:rPr>
              <w:t>14</w:t>
            </w:r>
            <w:r w:rsidR="0036033F">
              <w:rPr>
                <w:noProof/>
                <w:webHidden/>
              </w:rPr>
              <w:fldChar w:fldCharType="end"/>
            </w:r>
          </w:hyperlink>
        </w:p>
        <w:p w14:paraId="093E08A1" w14:textId="3BD9DF0C"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45" w:history="1">
            <w:r w:rsidR="0036033F" w:rsidRPr="00D14FA6">
              <w:rPr>
                <w:rStyle w:val="Hyperlink"/>
                <w:b/>
                <w:noProof/>
              </w:rPr>
              <w:t xml:space="preserve">Supplemental Table 5. </w:t>
            </w:r>
            <w:r w:rsidR="0036033F" w:rsidRPr="00D14FA6">
              <w:rPr>
                <w:rStyle w:val="Hyperlink"/>
                <w:noProof/>
              </w:rPr>
              <w:t>Sensitivity analyses of the use of correlation coefficients of 0.25 and 0.75 for crossover trials in the primary analysis of the effect of soy isoflavones on measures of estrogenicity</w:t>
            </w:r>
            <w:r w:rsidR="0036033F">
              <w:rPr>
                <w:noProof/>
                <w:webHidden/>
              </w:rPr>
              <w:tab/>
            </w:r>
            <w:r w:rsidR="0036033F">
              <w:rPr>
                <w:noProof/>
                <w:webHidden/>
              </w:rPr>
              <w:fldChar w:fldCharType="begin"/>
            </w:r>
            <w:r w:rsidR="0036033F">
              <w:rPr>
                <w:noProof/>
                <w:webHidden/>
              </w:rPr>
              <w:instrText xml:space="preserve"> PAGEREF _Toc153356545 \h </w:instrText>
            </w:r>
            <w:r w:rsidR="0036033F">
              <w:rPr>
                <w:noProof/>
                <w:webHidden/>
              </w:rPr>
            </w:r>
            <w:r w:rsidR="0036033F">
              <w:rPr>
                <w:noProof/>
                <w:webHidden/>
              </w:rPr>
              <w:fldChar w:fldCharType="separate"/>
            </w:r>
            <w:r w:rsidR="00C44B38">
              <w:rPr>
                <w:noProof/>
                <w:webHidden/>
              </w:rPr>
              <w:t>16</w:t>
            </w:r>
            <w:r w:rsidR="0036033F">
              <w:rPr>
                <w:noProof/>
                <w:webHidden/>
              </w:rPr>
              <w:fldChar w:fldCharType="end"/>
            </w:r>
          </w:hyperlink>
        </w:p>
        <w:p w14:paraId="2BDDD06C" w14:textId="32C96C16"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46" w:history="1">
            <w:r w:rsidR="0036033F" w:rsidRPr="00D14FA6">
              <w:rPr>
                <w:rStyle w:val="Hyperlink"/>
                <w:b/>
                <w:noProof/>
              </w:rPr>
              <w:t>Supplemental Table 6.</w:t>
            </w:r>
            <w:r w:rsidR="0036033F" w:rsidRPr="00D14FA6">
              <w:rPr>
                <w:rStyle w:val="Hyperlink"/>
                <w:noProof/>
              </w:rPr>
              <w:t xml:space="preserve"> GRADE assessment of study quality</w:t>
            </w:r>
            <w:r w:rsidR="0036033F">
              <w:rPr>
                <w:noProof/>
                <w:webHidden/>
              </w:rPr>
              <w:tab/>
            </w:r>
            <w:r w:rsidR="0036033F">
              <w:rPr>
                <w:noProof/>
                <w:webHidden/>
              </w:rPr>
              <w:fldChar w:fldCharType="begin"/>
            </w:r>
            <w:r w:rsidR="0036033F">
              <w:rPr>
                <w:noProof/>
                <w:webHidden/>
              </w:rPr>
              <w:instrText xml:space="preserve"> PAGEREF _Toc153356546 \h </w:instrText>
            </w:r>
            <w:r w:rsidR="0036033F">
              <w:rPr>
                <w:noProof/>
                <w:webHidden/>
              </w:rPr>
            </w:r>
            <w:r w:rsidR="0036033F">
              <w:rPr>
                <w:noProof/>
                <w:webHidden/>
              </w:rPr>
              <w:fldChar w:fldCharType="separate"/>
            </w:r>
            <w:r w:rsidR="00C44B38">
              <w:rPr>
                <w:noProof/>
                <w:webHidden/>
              </w:rPr>
              <w:t>17</w:t>
            </w:r>
            <w:r w:rsidR="0036033F">
              <w:rPr>
                <w:noProof/>
                <w:webHidden/>
              </w:rPr>
              <w:fldChar w:fldCharType="end"/>
            </w:r>
          </w:hyperlink>
        </w:p>
        <w:p w14:paraId="77918118" w14:textId="1CC9B4C3"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47" w:history="1">
            <w:r w:rsidR="0036033F" w:rsidRPr="00D14FA6">
              <w:rPr>
                <w:rStyle w:val="Hyperlink"/>
                <w:b/>
                <w:noProof/>
              </w:rPr>
              <w:t xml:space="preserve">Supplemental Table 7. </w:t>
            </w:r>
            <w:r w:rsidR="0036033F" w:rsidRPr="00D14FA6">
              <w:rPr>
                <w:rStyle w:val="Hyperlink"/>
                <w:noProof/>
              </w:rPr>
              <w:t>Effects of hormone replacement therapy on estrogen-related intermediate outcomes compared to soy isoflavones</w:t>
            </w:r>
            <w:r w:rsidR="0036033F">
              <w:rPr>
                <w:noProof/>
                <w:webHidden/>
              </w:rPr>
              <w:tab/>
            </w:r>
            <w:r w:rsidR="0036033F">
              <w:rPr>
                <w:noProof/>
                <w:webHidden/>
              </w:rPr>
              <w:fldChar w:fldCharType="begin"/>
            </w:r>
            <w:r w:rsidR="0036033F">
              <w:rPr>
                <w:noProof/>
                <w:webHidden/>
              </w:rPr>
              <w:instrText xml:space="preserve"> PAGEREF _Toc153356547 \h </w:instrText>
            </w:r>
            <w:r w:rsidR="0036033F">
              <w:rPr>
                <w:noProof/>
                <w:webHidden/>
              </w:rPr>
            </w:r>
            <w:r w:rsidR="0036033F">
              <w:rPr>
                <w:noProof/>
                <w:webHidden/>
              </w:rPr>
              <w:fldChar w:fldCharType="separate"/>
            </w:r>
            <w:r w:rsidR="00C44B38">
              <w:rPr>
                <w:noProof/>
                <w:webHidden/>
              </w:rPr>
              <w:t>19</w:t>
            </w:r>
            <w:r w:rsidR="0036033F">
              <w:rPr>
                <w:noProof/>
                <w:webHidden/>
              </w:rPr>
              <w:fldChar w:fldCharType="end"/>
            </w:r>
          </w:hyperlink>
        </w:p>
        <w:p w14:paraId="241268F6" w14:textId="113402CF"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48" w:history="1">
            <w:r w:rsidR="0036033F" w:rsidRPr="00D14FA6">
              <w:rPr>
                <w:rStyle w:val="Hyperlink"/>
                <w:b/>
                <w:noProof/>
              </w:rPr>
              <w:t xml:space="preserve">Supplemental Figure 1. </w:t>
            </w:r>
            <w:r w:rsidR="0036033F" w:rsidRPr="00D14FA6">
              <w:rPr>
                <w:rStyle w:val="Hyperlink"/>
                <w:noProof/>
              </w:rPr>
              <w:t>Risk of bias proportion graph for the effect of soy isoflavones on measures of estrogenicity in parallel trials</w:t>
            </w:r>
            <w:r w:rsidR="0036033F">
              <w:rPr>
                <w:noProof/>
                <w:webHidden/>
              </w:rPr>
              <w:tab/>
            </w:r>
            <w:r w:rsidR="0036033F">
              <w:rPr>
                <w:noProof/>
                <w:webHidden/>
              </w:rPr>
              <w:fldChar w:fldCharType="begin"/>
            </w:r>
            <w:r w:rsidR="0036033F">
              <w:rPr>
                <w:noProof/>
                <w:webHidden/>
              </w:rPr>
              <w:instrText xml:space="preserve"> PAGEREF _Toc153356548 \h </w:instrText>
            </w:r>
            <w:r w:rsidR="0036033F">
              <w:rPr>
                <w:noProof/>
                <w:webHidden/>
              </w:rPr>
            </w:r>
            <w:r w:rsidR="0036033F">
              <w:rPr>
                <w:noProof/>
                <w:webHidden/>
              </w:rPr>
              <w:fldChar w:fldCharType="separate"/>
            </w:r>
            <w:r w:rsidR="00C44B38">
              <w:rPr>
                <w:noProof/>
                <w:webHidden/>
              </w:rPr>
              <w:t>20</w:t>
            </w:r>
            <w:r w:rsidR="0036033F">
              <w:rPr>
                <w:noProof/>
                <w:webHidden/>
              </w:rPr>
              <w:fldChar w:fldCharType="end"/>
            </w:r>
          </w:hyperlink>
        </w:p>
        <w:p w14:paraId="715166ED" w14:textId="02B7F05B"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49" w:history="1">
            <w:r w:rsidR="0036033F" w:rsidRPr="00D14FA6">
              <w:rPr>
                <w:rStyle w:val="Hyperlink"/>
                <w:b/>
                <w:noProof/>
              </w:rPr>
              <w:t xml:space="preserve">Supplemental Figure 2. </w:t>
            </w:r>
            <w:r w:rsidR="0036033F" w:rsidRPr="00D14FA6">
              <w:rPr>
                <w:rStyle w:val="Hyperlink"/>
                <w:noProof/>
              </w:rPr>
              <w:t>Risk of bias proportion graph for the effect of soy isoflavones on measures of estrogenicity in crossover trials</w:t>
            </w:r>
            <w:r w:rsidR="0036033F">
              <w:rPr>
                <w:noProof/>
                <w:webHidden/>
              </w:rPr>
              <w:tab/>
            </w:r>
            <w:r w:rsidR="0036033F">
              <w:rPr>
                <w:noProof/>
                <w:webHidden/>
              </w:rPr>
              <w:fldChar w:fldCharType="begin"/>
            </w:r>
            <w:r w:rsidR="0036033F">
              <w:rPr>
                <w:noProof/>
                <w:webHidden/>
              </w:rPr>
              <w:instrText xml:space="preserve"> PAGEREF _Toc153356549 \h </w:instrText>
            </w:r>
            <w:r w:rsidR="0036033F">
              <w:rPr>
                <w:noProof/>
                <w:webHidden/>
              </w:rPr>
            </w:r>
            <w:r w:rsidR="0036033F">
              <w:rPr>
                <w:noProof/>
                <w:webHidden/>
              </w:rPr>
              <w:fldChar w:fldCharType="separate"/>
            </w:r>
            <w:r w:rsidR="00C44B38">
              <w:rPr>
                <w:noProof/>
                <w:webHidden/>
              </w:rPr>
              <w:t>22</w:t>
            </w:r>
            <w:r w:rsidR="0036033F">
              <w:rPr>
                <w:noProof/>
                <w:webHidden/>
              </w:rPr>
              <w:fldChar w:fldCharType="end"/>
            </w:r>
          </w:hyperlink>
        </w:p>
        <w:p w14:paraId="5AE68FD3" w14:textId="7BD60D32"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50" w:history="1">
            <w:r w:rsidR="0036033F" w:rsidRPr="00D14FA6">
              <w:rPr>
                <w:rStyle w:val="Hyperlink"/>
                <w:b/>
                <w:noProof/>
              </w:rPr>
              <w:t>Supplemental Figure 3.</w:t>
            </w:r>
            <w:r w:rsidR="0036033F" w:rsidRPr="00D14FA6">
              <w:rPr>
                <w:rStyle w:val="Hyperlink"/>
                <w:noProof/>
              </w:rPr>
              <w:t xml:space="preserve"> Forest plot of randomized controlled trials of the effect of soy isoflavones on endometrial thickness</w:t>
            </w:r>
            <w:r w:rsidR="0036033F">
              <w:rPr>
                <w:noProof/>
                <w:webHidden/>
              </w:rPr>
              <w:tab/>
            </w:r>
            <w:r w:rsidR="0036033F">
              <w:rPr>
                <w:noProof/>
                <w:webHidden/>
              </w:rPr>
              <w:fldChar w:fldCharType="begin"/>
            </w:r>
            <w:r w:rsidR="0036033F">
              <w:rPr>
                <w:noProof/>
                <w:webHidden/>
              </w:rPr>
              <w:instrText xml:space="preserve"> PAGEREF _Toc153356550 \h </w:instrText>
            </w:r>
            <w:r w:rsidR="0036033F">
              <w:rPr>
                <w:noProof/>
                <w:webHidden/>
              </w:rPr>
            </w:r>
            <w:r w:rsidR="0036033F">
              <w:rPr>
                <w:noProof/>
                <w:webHidden/>
              </w:rPr>
              <w:fldChar w:fldCharType="separate"/>
            </w:r>
            <w:r w:rsidR="00C44B38">
              <w:rPr>
                <w:noProof/>
                <w:webHidden/>
              </w:rPr>
              <w:t>24</w:t>
            </w:r>
            <w:r w:rsidR="0036033F">
              <w:rPr>
                <w:noProof/>
                <w:webHidden/>
              </w:rPr>
              <w:fldChar w:fldCharType="end"/>
            </w:r>
          </w:hyperlink>
        </w:p>
        <w:p w14:paraId="5A288A10" w14:textId="1F231DC5"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51" w:history="1">
            <w:r w:rsidR="0036033F" w:rsidRPr="00D14FA6">
              <w:rPr>
                <w:rStyle w:val="Hyperlink"/>
                <w:b/>
                <w:noProof/>
              </w:rPr>
              <w:t>Supplemental Figure 4.</w:t>
            </w:r>
            <w:r w:rsidR="0036033F" w:rsidRPr="00D14FA6">
              <w:rPr>
                <w:rStyle w:val="Hyperlink"/>
                <w:noProof/>
              </w:rPr>
              <w:t xml:space="preserve"> Forest plot of randomized controlled trials of the effect of soy isoflavones on vaginal maturation index</w:t>
            </w:r>
            <w:r w:rsidR="0036033F">
              <w:rPr>
                <w:noProof/>
                <w:webHidden/>
              </w:rPr>
              <w:tab/>
            </w:r>
            <w:r w:rsidR="0036033F">
              <w:rPr>
                <w:noProof/>
                <w:webHidden/>
              </w:rPr>
              <w:fldChar w:fldCharType="begin"/>
            </w:r>
            <w:r w:rsidR="0036033F">
              <w:rPr>
                <w:noProof/>
                <w:webHidden/>
              </w:rPr>
              <w:instrText xml:space="preserve"> PAGEREF _Toc153356551 \h </w:instrText>
            </w:r>
            <w:r w:rsidR="0036033F">
              <w:rPr>
                <w:noProof/>
                <w:webHidden/>
              </w:rPr>
            </w:r>
            <w:r w:rsidR="0036033F">
              <w:rPr>
                <w:noProof/>
                <w:webHidden/>
              </w:rPr>
              <w:fldChar w:fldCharType="separate"/>
            </w:r>
            <w:r w:rsidR="00C44B38">
              <w:rPr>
                <w:noProof/>
                <w:webHidden/>
              </w:rPr>
              <w:t>25</w:t>
            </w:r>
            <w:r w:rsidR="0036033F">
              <w:rPr>
                <w:noProof/>
                <w:webHidden/>
              </w:rPr>
              <w:fldChar w:fldCharType="end"/>
            </w:r>
          </w:hyperlink>
        </w:p>
        <w:p w14:paraId="60455DAE" w14:textId="407050DB"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52" w:history="1">
            <w:r w:rsidR="0036033F" w:rsidRPr="00D14FA6">
              <w:rPr>
                <w:rStyle w:val="Hyperlink"/>
                <w:b/>
                <w:noProof/>
              </w:rPr>
              <w:t>Supplemental Figure 5.</w:t>
            </w:r>
            <w:r w:rsidR="0036033F" w:rsidRPr="00D14FA6">
              <w:rPr>
                <w:rStyle w:val="Hyperlink"/>
                <w:noProof/>
              </w:rPr>
              <w:t xml:space="preserve"> Forest plot of randomized controlled trials of the effect of soy isoflavones on follicle-stimulating hormone</w:t>
            </w:r>
            <w:r w:rsidR="0036033F">
              <w:rPr>
                <w:noProof/>
                <w:webHidden/>
              </w:rPr>
              <w:tab/>
            </w:r>
            <w:r w:rsidR="0036033F">
              <w:rPr>
                <w:noProof/>
                <w:webHidden/>
              </w:rPr>
              <w:fldChar w:fldCharType="begin"/>
            </w:r>
            <w:r w:rsidR="0036033F">
              <w:rPr>
                <w:noProof/>
                <w:webHidden/>
              </w:rPr>
              <w:instrText xml:space="preserve"> PAGEREF _Toc153356552 \h </w:instrText>
            </w:r>
            <w:r w:rsidR="0036033F">
              <w:rPr>
                <w:noProof/>
                <w:webHidden/>
              </w:rPr>
            </w:r>
            <w:r w:rsidR="0036033F">
              <w:rPr>
                <w:noProof/>
                <w:webHidden/>
              </w:rPr>
              <w:fldChar w:fldCharType="separate"/>
            </w:r>
            <w:r w:rsidR="00C44B38">
              <w:rPr>
                <w:noProof/>
                <w:webHidden/>
              </w:rPr>
              <w:t>26</w:t>
            </w:r>
            <w:r w:rsidR="0036033F">
              <w:rPr>
                <w:noProof/>
                <w:webHidden/>
              </w:rPr>
              <w:fldChar w:fldCharType="end"/>
            </w:r>
          </w:hyperlink>
        </w:p>
        <w:p w14:paraId="6027BC31" w14:textId="14F99F28"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53" w:history="1">
            <w:r w:rsidR="0036033F" w:rsidRPr="00D14FA6">
              <w:rPr>
                <w:rStyle w:val="Hyperlink"/>
                <w:b/>
                <w:noProof/>
              </w:rPr>
              <w:t>Supplemental Figure 6.</w:t>
            </w:r>
            <w:r w:rsidR="0036033F" w:rsidRPr="00D14FA6">
              <w:rPr>
                <w:rStyle w:val="Hyperlink"/>
                <w:noProof/>
              </w:rPr>
              <w:t xml:space="preserve"> Forest plot of randomized controlled trials of the effect of soy isoflavones on estradiol</w:t>
            </w:r>
            <w:r w:rsidR="0036033F">
              <w:rPr>
                <w:noProof/>
                <w:webHidden/>
              </w:rPr>
              <w:tab/>
            </w:r>
            <w:r w:rsidR="0036033F">
              <w:rPr>
                <w:noProof/>
                <w:webHidden/>
              </w:rPr>
              <w:fldChar w:fldCharType="begin"/>
            </w:r>
            <w:r w:rsidR="0036033F">
              <w:rPr>
                <w:noProof/>
                <w:webHidden/>
              </w:rPr>
              <w:instrText xml:space="preserve"> PAGEREF _Toc153356553 \h </w:instrText>
            </w:r>
            <w:r w:rsidR="0036033F">
              <w:rPr>
                <w:noProof/>
                <w:webHidden/>
              </w:rPr>
            </w:r>
            <w:r w:rsidR="0036033F">
              <w:rPr>
                <w:noProof/>
                <w:webHidden/>
              </w:rPr>
              <w:fldChar w:fldCharType="separate"/>
            </w:r>
            <w:r w:rsidR="00C44B38">
              <w:rPr>
                <w:noProof/>
                <w:webHidden/>
              </w:rPr>
              <w:t>28</w:t>
            </w:r>
            <w:r w:rsidR="0036033F">
              <w:rPr>
                <w:noProof/>
                <w:webHidden/>
              </w:rPr>
              <w:fldChar w:fldCharType="end"/>
            </w:r>
          </w:hyperlink>
        </w:p>
        <w:p w14:paraId="6F6B97CA" w14:textId="38BB83B3"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54" w:history="1">
            <w:r w:rsidR="0036033F" w:rsidRPr="00D14FA6">
              <w:rPr>
                <w:rStyle w:val="Hyperlink"/>
                <w:b/>
                <w:noProof/>
              </w:rPr>
              <w:t>Supplemental Figure 7.</w:t>
            </w:r>
            <w:r w:rsidR="0036033F" w:rsidRPr="00D14FA6">
              <w:rPr>
                <w:rStyle w:val="Hyperlink"/>
                <w:noProof/>
              </w:rPr>
              <w:t xml:space="preserve"> Sensitivity analysis of the systematic removal of each trial for the effect of soy isoflavones on endometrial thickness</w:t>
            </w:r>
            <w:r w:rsidR="0036033F">
              <w:rPr>
                <w:noProof/>
                <w:webHidden/>
              </w:rPr>
              <w:tab/>
            </w:r>
            <w:r w:rsidR="0036033F">
              <w:rPr>
                <w:noProof/>
                <w:webHidden/>
              </w:rPr>
              <w:fldChar w:fldCharType="begin"/>
            </w:r>
            <w:r w:rsidR="0036033F">
              <w:rPr>
                <w:noProof/>
                <w:webHidden/>
              </w:rPr>
              <w:instrText xml:space="preserve"> PAGEREF _Toc153356554 \h </w:instrText>
            </w:r>
            <w:r w:rsidR="0036033F">
              <w:rPr>
                <w:noProof/>
                <w:webHidden/>
              </w:rPr>
            </w:r>
            <w:r w:rsidR="0036033F">
              <w:rPr>
                <w:noProof/>
                <w:webHidden/>
              </w:rPr>
              <w:fldChar w:fldCharType="separate"/>
            </w:r>
            <w:r w:rsidR="00C44B38">
              <w:rPr>
                <w:noProof/>
                <w:webHidden/>
              </w:rPr>
              <w:t>30</w:t>
            </w:r>
            <w:r w:rsidR="0036033F">
              <w:rPr>
                <w:noProof/>
                <w:webHidden/>
              </w:rPr>
              <w:fldChar w:fldCharType="end"/>
            </w:r>
          </w:hyperlink>
        </w:p>
        <w:p w14:paraId="0DAB011E" w14:textId="709777A7"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55" w:history="1">
            <w:r w:rsidR="0036033F" w:rsidRPr="00D14FA6">
              <w:rPr>
                <w:rStyle w:val="Hyperlink"/>
                <w:b/>
                <w:noProof/>
              </w:rPr>
              <w:t>Supplemental Figure 8.</w:t>
            </w:r>
            <w:r w:rsidR="0036033F" w:rsidRPr="00D14FA6">
              <w:rPr>
                <w:rStyle w:val="Hyperlink"/>
                <w:noProof/>
              </w:rPr>
              <w:t xml:space="preserve"> Sensitivity analysis of the systematic removal of each trial for the effect of soy isoflavones on vaginal maturation index</w:t>
            </w:r>
            <w:r w:rsidR="0036033F">
              <w:rPr>
                <w:noProof/>
                <w:webHidden/>
              </w:rPr>
              <w:tab/>
            </w:r>
            <w:r w:rsidR="0036033F">
              <w:rPr>
                <w:noProof/>
                <w:webHidden/>
              </w:rPr>
              <w:fldChar w:fldCharType="begin"/>
            </w:r>
            <w:r w:rsidR="0036033F">
              <w:rPr>
                <w:noProof/>
                <w:webHidden/>
              </w:rPr>
              <w:instrText xml:space="preserve"> PAGEREF _Toc153356555 \h </w:instrText>
            </w:r>
            <w:r w:rsidR="0036033F">
              <w:rPr>
                <w:noProof/>
                <w:webHidden/>
              </w:rPr>
            </w:r>
            <w:r w:rsidR="0036033F">
              <w:rPr>
                <w:noProof/>
                <w:webHidden/>
              </w:rPr>
              <w:fldChar w:fldCharType="separate"/>
            </w:r>
            <w:r w:rsidR="00C44B38">
              <w:rPr>
                <w:noProof/>
                <w:webHidden/>
              </w:rPr>
              <w:t>31</w:t>
            </w:r>
            <w:r w:rsidR="0036033F">
              <w:rPr>
                <w:noProof/>
                <w:webHidden/>
              </w:rPr>
              <w:fldChar w:fldCharType="end"/>
            </w:r>
          </w:hyperlink>
        </w:p>
        <w:p w14:paraId="7456A28E" w14:textId="3730FFF7"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56" w:history="1">
            <w:r w:rsidR="0036033F" w:rsidRPr="00D14FA6">
              <w:rPr>
                <w:rStyle w:val="Hyperlink"/>
                <w:b/>
                <w:noProof/>
              </w:rPr>
              <w:t>Supplemental Figure 9.</w:t>
            </w:r>
            <w:r w:rsidR="0036033F" w:rsidRPr="00D14FA6">
              <w:rPr>
                <w:rStyle w:val="Hyperlink"/>
                <w:noProof/>
              </w:rPr>
              <w:t xml:space="preserve"> Sensitivity analysis of the systematic removal of each trial for the effect of soy isoflavones on follicle-stimulating hormone</w:t>
            </w:r>
            <w:r w:rsidR="0036033F">
              <w:rPr>
                <w:noProof/>
                <w:webHidden/>
              </w:rPr>
              <w:tab/>
            </w:r>
            <w:r w:rsidR="0036033F">
              <w:rPr>
                <w:noProof/>
                <w:webHidden/>
              </w:rPr>
              <w:fldChar w:fldCharType="begin"/>
            </w:r>
            <w:r w:rsidR="0036033F">
              <w:rPr>
                <w:noProof/>
                <w:webHidden/>
              </w:rPr>
              <w:instrText xml:space="preserve"> PAGEREF _Toc153356556 \h </w:instrText>
            </w:r>
            <w:r w:rsidR="0036033F">
              <w:rPr>
                <w:noProof/>
                <w:webHidden/>
              </w:rPr>
            </w:r>
            <w:r w:rsidR="0036033F">
              <w:rPr>
                <w:noProof/>
                <w:webHidden/>
              </w:rPr>
              <w:fldChar w:fldCharType="separate"/>
            </w:r>
            <w:r w:rsidR="00C44B38">
              <w:rPr>
                <w:noProof/>
                <w:webHidden/>
              </w:rPr>
              <w:t>32</w:t>
            </w:r>
            <w:r w:rsidR="0036033F">
              <w:rPr>
                <w:noProof/>
                <w:webHidden/>
              </w:rPr>
              <w:fldChar w:fldCharType="end"/>
            </w:r>
          </w:hyperlink>
        </w:p>
        <w:p w14:paraId="3AA70671" w14:textId="01A9C872"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57" w:history="1">
            <w:r w:rsidR="0036033F" w:rsidRPr="00D14FA6">
              <w:rPr>
                <w:rStyle w:val="Hyperlink"/>
                <w:b/>
                <w:noProof/>
              </w:rPr>
              <w:t>Supplemental Figure 10.</w:t>
            </w:r>
            <w:r w:rsidR="0036033F" w:rsidRPr="00D14FA6">
              <w:rPr>
                <w:rStyle w:val="Hyperlink"/>
                <w:noProof/>
              </w:rPr>
              <w:t xml:space="preserve"> Sensitivity analysis of the systematic removal of each trial for the effect of soy isoflavones on estradiol</w:t>
            </w:r>
            <w:r w:rsidR="0036033F">
              <w:rPr>
                <w:noProof/>
                <w:webHidden/>
              </w:rPr>
              <w:tab/>
            </w:r>
            <w:r w:rsidR="0036033F">
              <w:rPr>
                <w:noProof/>
                <w:webHidden/>
              </w:rPr>
              <w:fldChar w:fldCharType="begin"/>
            </w:r>
            <w:r w:rsidR="0036033F">
              <w:rPr>
                <w:noProof/>
                <w:webHidden/>
              </w:rPr>
              <w:instrText xml:space="preserve"> PAGEREF _Toc153356557 \h </w:instrText>
            </w:r>
            <w:r w:rsidR="0036033F">
              <w:rPr>
                <w:noProof/>
                <w:webHidden/>
              </w:rPr>
            </w:r>
            <w:r w:rsidR="0036033F">
              <w:rPr>
                <w:noProof/>
                <w:webHidden/>
              </w:rPr>
              <w:fldChar w:fldCharType="separate"/>
            </w:r>
            <w:r w:rsidR="00C44B38">
              <w:rPr>
                <w:noProof/>
                <w:webHidden/>
              </w:rPr>
              <w:t>33</w:t>
            </w:r>
            <w:r w:rsidR="0036033F">
              <w:rPr>
                <w:noProof/>
                <w:webHidden/>
              </w:rPr>
              <w:fldChar w:fldCharType="end"/>
            </w:r>
          </w:hyperlink>
        </w:p>
        <w:p w14:paraId="34AEE369" w14:textId="0CD3BBDD"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58" w:history="1">
            <w:r w:rsidR="0036033F" w:rsidRPr="00D14FA6">
              <w:rPr>
                <w:rStyle w:val="Hyperlink"/>
                <w:b/>
                <w:noProof/>
              </w:rPr>
              <w:t>Supplemental Figure 11.</w:t>
            </w:r>
            <w:r w:rsidR="0036033F" w:rsidRPr="00D14FA6">
              <w:rPr>
                <w:rStyle w:val="Hyperlink"/>
                <w:noProof/>
              </w:rPr>
              <w:t xml:space="preserve"> Sensitivity analyses with the use of fixed effects models for the effect of soy isoflavones on endometrial thickness</w:t>
            </w:r>
            <w:r w:rsidR="0036033F">
              <w:rPr>
                <w:noProof/>
                <w:webHidden/>
              </w:rPr>
              <w:tab/>
            </w:r>
            <w:r w:rsidR="0036033F">
              <w:rPr>
                <w:noProof/>
                <w:webHidden/>
              </w:rPr>
              <w:fldChar w:fldCharType="begin"/>
            </w:r>
            <w:r w:rsidR="0036033F">
              <w:rPr>
                <w:noProof/>
                <w:webHidden/>
              </w:rPr>
              <w:instrText xml:space="preserve"> PAGEREF _Toc153356558 \h </w:instrText>
            </w:r>
            <w:r w:rsidR="0036033F">
              <w:rPr>
                <w:noProof/>
                <w:webHidden/>
              </w:rPr>
            </w:r>
            <w:r w:rsidR="0036033F">
              <w:rPr>
                <w:noProof/>
                <w:webHidden/>
              </w:rPr>
              <w:fldChar w:fldCharType="separate"/>
            </w:r>
            <w:r w:rsidR="00C44B38">
              <w:rPr>
                <w:noProof/>
                <w:webHidden/>
              </w:rPr>
              <w:t>34</w:t>
            </w:r>
            <w:r w:rsidR="0036033F">
              <w:rPr>
                <w:noProof/>
                <w:webHidden/>
              </w:rPr>
              <w:fldChar w:fldCharType="end"/>
            </w:r>
          </w:hyperlink>
        </w:p>
        <w:p w14:paraId="3456FC20" w14:textId="3DE56EF3"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59" w:history="1">
            <w:r w:rsidR="0036033F" w:rsidRPr="00D14FA6">
              <w:rPr>
                <w:rStyle w:val="Hyperlink"/>
                <w:b/>
                <w:noProof/>
              </w:rPr>
              <w:t>Supplemental Figure 12.</w:t>
            </w:r>
            <w:r w:rsidR="0036033F" w:rsidRPr="00D14FA6">
              <w:rPr>
                <w:rStyle w:val="Hyperlink"/>
                <w:noProof/>
              </w:rPr>
              <w:t xml:space="preserve"> Sensitivity analyses with the use of fixed effects models for the effect of soy isoflavones on vaginal maturation index</w:t>
            </w:r>
            <w:r w:rsidR="0036033F">
              <w:rPr>
                <w:noProof/>
                <w:webHidden/>
              </w:rPr>
              <w:tab/>
            </w:r>
            <w:r w:rsidR="0036033F">
              <w:rPr>
                <w:noProof/>
                <w:webHidden/>
              </w:rPr>
              <w:fldChar w:fldCharType="begin"/>
            </w:r>
            <w:r w:rsidR="0036033F">
              <w:rPr>
                <w:noProof/>
                <w:webHidden/>
              </w:rPr>
              <w:instrText xml:space="preserve"> PAGEREF _Toc153356559 \h </w:instrText>
            </w:r>
            <w:r w:rsidR="0036033F">
              <w:rPr>
                <w:noProof/>
                <w:webHidden/>
              </w:rPr>
            </w:r>
            <w:r w:rsidR="0036033F">
              <w:rPr>
                <w:noProof/>
                <w:webHidden/>
              </w:rPr>
              <w:fldChar w:fldCharType="separate"/>
            </w:r>
            <w:r w:rsidR="00C44B38">
              <w:rPr>
                <w:noProof/>
                <w:webHidden/>
              </w:rPr>
              <w:t>35</w:t>
            </w:r>
            <w:r w:rsidR="0036033F">
              <w:rPr>
                <w:noProof/>
                <w:webHidden/>
              </w:rPr>
              <w:fldChar w:fldCharType="end"/>
            </w:r>
          </w:hyperlink>
        </w:p>
        <w:p w14:paraId="08132E52" w14:textId="3BCEE268"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60" w:history="1">
            <w:r w:rsidR="0036033F" w:rsidRPr="00D14FA6">
              <w:rPr>
                <w:rStyle w:val="Hyperlink"/>
                <w:b/>
                <w:noProof/>
              </w:rPr>
              <w:t>Supplemental Figure 13.</w:t>
            </w:r>
            <w:r w:rsidR="0036033F" w:rsidRPr="00D14FA6">
              <w:rPr>
                <w:rStyle w:val="Hyperlink"/>
                <w:noProof/>
              </w:rPr>
              <w:t xml:space="preserve"> Sensitivity analyses with the use of fixed effects models for the effect of soy isoflavones on follicle-stimulating hormone</w:t>
            </w:r>
            <w:r w:rsidR="0036033F">
              <w:rPr>
                <w:noProof/>
                <w:webHidden/>
              </w:rPr>
              <w:tab/>
            </w:r>
            <w:r w:rsidR="0036033F">
              <w:rPr>
                <w:noProof/>
                <w:webHidden/>
              </w:rPr>
              <w:fldChar w:fldCharType="begin"/>
            </w:r>
            <w:r w:rsidR="0036033F">
              <w:rPr>
                <w:noProof/>
                <w:webHidden/>
              </w:rPr>
              <w:instrText xml:space="preserve"> PAGEREF _Toc153356560 \h </w:instrText>
            </w:r>
            <w:r w:rsidR="0036033F">
              <w:rPr>
                <w:noProof/>
                <w:webHidden/>
              </w:rPr>
            </w:r>
            <w:r w:rsidR="0036033F">
              <w:rPr>
                <w:noProof/>
                <w:webHidden/>
              </w:rPr>
              <w:fldChar w:fldCharType="separate"/>
            </w:r>
            <w:r w:rsidR="00C44B38">
              <w:rPr>
                <w:noProof/>
                <w:webHidden/>
              </w:rPr>
              <w:t>36</w:t>
            </w:r>
            <w:r w:rsidR="0036033F">
              <w:rPr>
                <w:noProof/>
                <w:webHidden/>
              </w:rPr>
              <w:fldChar w:fldCharType="end"/>
            </w:r>
          </w:hyperlink>
        </w:p>
        <w:p w14:paraId="62E4B955" w14:textId="3AB6A967"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61" w:history="1">
            <w:r w:rsidR="0036033F" w:rsidRPr="00D14FA6">
              <w:rPr>
                <w:rStyle w:val="Hyperlink"/>
                <w:b/>
                <w:noProof/>
              </w:rPr>
              <w:t>Supplemental Figure 14.</w:t>
            </w:r>
            <w:r w:rsidR="0036033F" w:rsidRPr="00D14FA6">
              <w:rPr>
                <w:rStyle w:val="Hyperlink"/>
                <w:noProof/>
              </w:rPr>
              <w:t xml:space="preserve"> Sensitivity analyses with the use of fixed effects models for the effect of soy isoflavones on estradiol</w:t>
            </w:r>
            <w:r w:rsidR="0036033F">
              <w:rPr>
                <w:noProof/>
                <w:webHidden/>
              </w:rPr>
              <w:tab/>
            </w:r>
            <w:r w:rsidR="0036033F">
              <w:rPr>
                <w:noProof/>
                <w:webHidden/>
              </w:rPr>
              <w:fldChar w:fldCharType="begin"/>
            </w:r>
            <w:r w:rsidR="0036033F">
              <w:rPr>
                <w:noProof/>
                <w:webHidden/>
              </w:rPr>
              <w:instrText xml:space="preserve"> PAGEREF _Toc153356561 \h </w:instrText>
            </w:r>
            <w:r w:rsidR="0036033F">
              <w:rPr>
                <w:noProof/>
                <w:webHidden/>
              </w:rPr>
            </w:r>
            <w:r w:rsidR="0036033F">
              <w:rPr>
                <w:noProof/>
                <w:webHidden/>
              </w:rPr>
              <w:fldChar w:fldCharType="separate"/>
            </w:r>
            <w:r w:rsidR="00C44B38">
              <w:rPr>
                <w:noProof/>
                <w:webHidden/>
              </w:rPr>
              <w:t>38</w:t>
            </w:r>
            <w:r w:rsidR="0036033F">
              <w:rPr>
                <w:noProof/>
                <w:webHidden/>
              </w:rPr>
              <w:fldChar w:fldCharType="end"/>
            </w:r>
          </w:hyperlink>
        </w:p>
        <w:p w14:paraId="7BA6DEE5" w14:textId="3D90CF39"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62" w:history="1">
            <w:r w:rsidR="0036033F" w:rsidRPr="00D14FA6">
              <w:rPr>
                <w:rStyle w:val="Hyperlink"/>
                <w:b/>
                <w:noProof/>
              </w:rPr>
              <w:t>Supplemental Figure 15 (1 of 3).</w:t>
            </w:r>
            <w:r w:rsidR="0036033F" w:rsidRPr="00D14FA6">
              <w:rPr>
                <w:rStyle w:val="Hyperlink"/>
                <w:noProof/>
              </w:rPr>
              <w:t xml:space="preserve"> Subgroup analyses for the effect of soy isoflavones on endometrial thickness*</w:t>
            </w:r>
            <w:r w:rsidR="0036033F">
              <w:rPr>
                <w:noProof/>
                <w:webHidden/>
              </w:rPr>
              <w:tab/>
            </w:r>
            <w:r w:rsidR="0036033F">
              <w:rPr>
                <w:noProof/>
                <w:webHidden/>
              </w:rPr>
              <w:fldChar w:fldCharType="begin"/>
            </w:r>
            <w:r w:rsidR="0036033F">
              <w:rPr>
                <w:noProof/>
                <w:webHidden/>
              </w:rPr>
              <w:instrText xml:space="preserve"> PAGEREF _Toc153356562 \h </w:instrText>
            </w:r>
            <w:r w:rsidR="0036033F">
              <w:rPr>
                <w:noProof/>
                <w:webHidden/>
              </w:rPr>
            </w:r>
            <w:r w:rsidR="0036033F">
              <w:rPr>
                <w:noProof/>
                <w:webHidden/>
              </w:rPr>
              <w:fldChar w:fldCharType="separate"/>
            </w:r>
            <w:r w:rsidR="00C44B38">
              <w:rPr>
                <w:noProof/>
                <w:webHidden/>
              </w:rPr>
              <w:t>40</w:t>
            </w:r>
            <w:r w:rsidR="0036033F">
              <w:rPr>
                <w:noProof/>
                <w:webHidden/>
              </w:rPr>
              <w:fldChar w:fldCharType="end"/>
            </w:r>
          </w:hyperlink>
        </w:p>
        <w:p w14:paraId="4BC20268" w14:textId="5C683126"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63" w:history="1">
            <w:r w:rsidR="0036033F" w:rsidRPr="00D14FA6">
              <w:rPr>
                <w:rStyle w:val="Hyperlink"/>
                <w:b/>
                <w:noProof/>
              </w:rPr>
              <w:t>Supplemental Figure 15 (2 of 3).</w:t>
            </w:r>
            <w:r w:rsidR="0036033F" w:rsidRPr="00D14FA6">
              <w:rPr>
                <w:rStyle w:val="Hyperlink"/>
                <w:noProof/>
              </w:rPr>
              <w:t xml:space="preserve"> Subgroup analyses for the effect of soy isoflavones on endometrial thickness*</w:t>
            </w:r>
            <w:r w:rsidR="0036033F">
              <w:rPr>
                <w:noProof/>
                <w:webHidden/>
              </w:rPr>
              <w:tab/>
            </w:r>
            <w:r w:rsidR="0036033F">
              <w:rPr>
                <w:noProof/>
                <w:webHidden/>
              </w:rPr>
              <w:fldChar w:fldCharType="begin"/>
            </w:r>
            <w:r w:rsidR="0036033F">
              <w:rPr>
                <w:noProof/>
                <w:webHidden/>
              </w:rPr>
              <w:instrText xml:space="preserve"> PAGEREF _Toc153356563 \h </w:instrText>
            </w:r>
            <w:r w:rsidR="0036033F">
              <w:rPr>
                <w:noProof/>
                <w:webHidden/>
              </w:rPr>
            </w:r>
            <w:r w:rsidR="0036033F">
              <w:rPr>
                <w:noProof/>
                <w:webHidden/>
              </w:rPr>
              <w:fldChar w:fldCharType="separate"/>
            </w:r>
            <w:r w:rsidR="00C44B38">
              <w:rPr>
                <w:noProof/>
                <w:webHidden/>
              </w:rPr>
              <w:t>42</w:t>
            </w:r>
            <w:r w:rsidR="0036033F">
              <w:rPr>
                <w:noProof/>
                <w:webHidden/>
              </w:rPr>
              <w:fldChar w:fldCharType="end"/>
            </w:r>
          </w:hyperlink>
        </w:p>
        <w:p w14:paraId="6CE33C80" w14:textId="6F6B454A"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64" w:history="1">
            <w:r w:rsidR="0036033F" w:rsidRPr="00D14FA6">
              <w:rPr>
                <w:rStyle w:val="Hyperlink"/>
                <w:b/>
                <w:noProof/>
              </w:rPr>
              <w:t>Supplementary Figure 15 (3 of 3).</w:t>
            </w:r>
            <w:r w:rsidR="0036033F" w:rsidRPr="00D14FA6">
              <w:rPr>
                <w:rStyle w:val="Hyperlink"/>
                <w:noProof/>
              </w:rPr>
              <w:t xml:space="preserve"> Subgroup analyses for the effect of soy isoflavones on endometrial thickness</w:t>
            </w:r>
            <w:r w:rsidR="0036033F">
              <w:rPr>
                <w:noProof/>
                <w:webHidden/>
              </w:rPr>
              <w:tab/>
            </w:r>
            <w:r w:rsidR="0036033F">
              <w:rPr>
                <w:noProof/>
                <w:webHidden/>
              </w:rPr>
              <w:fldChar w:fldCharType="begin"/>
            </w:r>
            <w:r w:rsidR="0036033F">
              <w:rPr>
                <w:noProof/>
                <w:webHidden/>
              </w:rPr>
              <w:instrText xml:space="preserve"> PAGEREF _Toc153356564 \h </w:instrText>
            </w:r>
            <w:r w:rsidR="0036033F">
              <w:rPr>
                <w:noProof/>
                <w:webHidden/>
              </w:rPr>
            </w:r>
            <w:r w:rsidR="0036033F">
              <w:rPr>
                <w:noProof/>
                <w:webHidden/>
              </w:rPr>
              <w:fldChar w:fldCharType="separate"/>
            </w:r>
            <w:r w:rsidR="00C44B38">
              <w:rPr>
                <w:noProof/>
                <w:webHidden/>
              </w:rPr>
              <w:t>43</w:t>
            </w:r>
            <w:r w:rsidR="0036033F">
              <w:rPr>
                <w:noProof/>
                <w:webHidden/>
              </w:rPr>
              <w:fldChar w:fldCharType="end"/>
            </w:r>
          </w:hyperlink>
        </w:p>
        <w:p w14:paraId="6494E9D7" w14:textId="63248600"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65" w:history="1">
            <w:r w:rsidR="0036033F" w:rsidRPr="00D14FA6">
              <w:rPr>
                <w:rStyle w:val="Hyperlink"/>
                <w:b/>
                <w:noProof/>
              </w:rPr>
              <w:t>Supplemental Figure 16 (1 of 3).</w:t>
            </w:r>
            <w:r w:rsidR="0036033F" w:rsidRPr="00D14FA6">
              <w:rPr>
                <w:rStyle w:val="Hyperlink"/>
                <w:noProof/>
              </w:rPr>
              <w:t xml:space="preserve"> Subgroup analyses for the effect of soy isoflavones on follicle-stimulating hormone*</w:t>
            </w:r>
            <w:r w:rsidR="0036033F">
              <w:rPr>
                <w:noProof/>
                <w:webHidden/>
              </w:rPr>
              <w:tab/>
            </w:r>
            <w:r w:rsidR="0036033F">
              <w:rPr>
                <w:noProof/>
                <w:webHidden/>
              </w:rPr>
              <w:fldChar w:fldCharType="begin"/>
            </w:r>
            <w:r w:rsidR="0036033F">
              <w:rPr>
                <w:noProof/>
                <w:webHidden/>
              </w:rPr>
              <w:instrText xml:space="preserve"> PAGEREF _Toc153356565 \h </w:instrText>
            </w:r>
            <w:r w:rsidR="0036033F">
              <w:rPr>
                <w:noProof/>
                <w:webHidden/>
              </w:rPr>
            </w:r>
            <w:r w:rsidR="0036033F">
              <w:rPr>
                <w:noProof/>
                <w:webHidden/>
              </w:rPr>
              <w:fldChar w:fldCharType="separate"/>
            </w:r>
            <w:r w:rsidR="00C44B38">
              <w:rPr>
                <w:noProof/>
                <w:webHidden/>
              </w:rPr>
              <w:t>44</w:t>
            </w:r>
            <w:r w:rsidR="0036033F">
              <w:rPr>
                <w:noProof/>
                <w:webHidden/>
              </w:rPr>
              <w:fldChar w:fldCharType="end"/>
            </w:r>
          </w:hyperlink>
        </w:p>
        <w:p w14:paraId="3FDBDA50" w14:textId="1F257006"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66" w:history="1">
            <w:r w:rsidR="0036033F" w:rsidRPr="00D14FA6">
              <w:rPr>
                <w:rStyle w:val="Hyperlink"/>
                <w:b/>
                <w:noProof/>
              </w:rPr>
              <w:t>Supplemental Figure 16 (2 of 3).</w:t>
            </w:r>
            <w:r w:rsidR="0036033F" w:rsidRPr="00D14FA6">
              <w:rPr>
                <w:rStyle w:val="Hyperlink"/>
                <w:noProof/>
              </w:rPr>
              <w:t xml:space="preserve"> Subgroup analyses for the effect of soy isoflavones on follicle-stimulating hormone*</w:t>
            </w:r>
            <w:r w:rsidR="0036033F">
              <w:rPr>
                <w:noProof/>
                <w:webHidden/>
              </w:rPr>
              <w:tab/>
            </w:r>
            <w:r w:rsidR="0036033F">
              <w:rPr>
                <w:noProof/>
                <w:webHidden/>
              </w:rPr>
              <w:fldChar w:fldCharType="begin"/>
            </w:r>
            <w:r w:rsidR="0036033F">
              <w:rPr>
                <w:noProof/>
                <w:webHidden/>
              </w:rPr>
              <w:instrText xml:space="preserve"> PAGEREF _Toc153356566 \h </w:instrText>
            </w:r>
            <w:r w:rsidR="0036033F">
              <w:rPr>
                <w:noProof/>
                <w:webHidden/>
              </w:rPr>
            </w:r>
            <w:r w:rsidR="0036033F">
              <w:rPr>
                <w:noProof/>
                <w:webHidden/>
              </w:rPr>
              <w:fldChar w:fldCharType="separate"/>
            </w:r>
            <w:r w:rsidR="00C44B38">
              <w:rPr>
                <w:noProof/>
                <w:webHidden/>
              </w:rPr>
              <w:t>46</w:t>
            </w:r>
            <w:r w:rsidR="0036033F">
              <w:rPr>
                <w:noProof/>
                <w:webHidden/>
              </w:rPr>
              <w:fldChar w:fldCharType="end"/>
            </w:r>
          </w:hyperlink>
        </w:p>
        <w:p w14:paraId="7052F68B" w14:textId="0F069C83"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67" w:history="1">
            <w:r w:rsidR="0036033F" w:rsidRPr="00D14FA6">
              <w:rPr>
                <w:rStyle w:val="Hyperlink"/>
                <w:b/>
                <w:noProof/>
              </w:rPr>
              <w:t>Supplemental Figure 16 (3 of 3).</w:t>
            </w:r>
            <w:r w:rsidR="0036033F" w:rsidRPr="00D14FA6">
              <w:rPr>
                <w:rStyle w:val="Hyperlink"/>
                <w:noProof/>
              </w:rPr>
              <w:t xml:space="preserve"> Subgroup analyses for the effect of soy isoflavones on follicle-stimulating hormone</w:t>
            </w:r>
            <w:r w:rsidR="0036033F">
              <w:rPr>
                <w:noProof/>
                <w:webHidden/>
              </w:rPr>
              <w:tab/>
            </w:r>
            <w:r w:rsidR="0036033F">
              <w:rPr>
                <w:noProof/>
                <w:webHidden/>
              </w:rPr>
              <w:fldChar w:fldCharType="begin"/>
            </w:r>
            <w:r w:rsidR="0036033F">
              <w:rPr>
                <w:noProof/>
                <w:webHidden/>
              </w:rPr>
              <w:instrText xml:space="preserve"> PAGEREF _Toc153356567 \h </w:instrText>
            </w:r>
            <w:r w:rsidR="0036033F">
              <w:rPr>
                <w:noProof/>
                <w:webHidden/>
              </w:rPr>
            </w:r>
            <w:r w:rsidR="0036033F">
              <w:rPr>
                <w:noProof/>
                <w:webHidden/>
              </w:rPr>
              <w:fldChar w:fldCharType="separate"/>
            </w:r>
            <w:r w:rsidR="00C44B38">
              <w:rPr>
                <w:noProof/>
                <w:webHidden/>
              </w:rPr>
              <w:t>47</w:t>
            </w:r>
            <w:r w:rsidR="0036033F">
              <w:rPr>
                <w:noProof/>
                <w:webHidden/>
              </w:rPr>
              <w:fldChar w:fldCharType="end"/>
            </w:r>
          </w:hyperlink>
        </w:p>
        <w:p w14:paraId="39C91746" w14:textId="288973E2"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68" w:history="1">
            <w:r w:rsidR="0036033F" w:rsidRPr="00D14FA6">
              <w:rPr>
                <w:rStyle w:val="Hyperlink"/>
                <w:b/>
                <w:noProof/>
              </w:rPr>
              <w:t>Supplemental Figure 17 (1 of 3).</w:t>
            </w:r>
            <w:r w:rsidR="0036033F" w:rsidRPr="00D14FA6">
              <w:rPr>
                <w:rStyle w:val="Hyperlink"/>
                <w:noProof/>
              </w:rPr>
              <w:t xml:space="preserve"> Subgroup analyses for the effect of soy isoflavones on estradiol*</w:t>
            </w:r>
            <w:r w:rsidR="0036033F">
              <w:rPr>
                <w:noProof/>
                <w:webHidden/>
              </w:rPr>
              <w:tab/>
            </w:r>
            <w:r w:rsidR="0036033F">
              <w:rPr>
                <w:noProof/>
                <w:webHidden/>
              </w:rPr>
              <w:fldChar w:fldCharType="begin"/>
            </w:r>
            <w:r w:rsidR="0036033F">
              <w:rPr>
                <w:noProof/>
                <w:webHidden/>
              </w:rPr>
              <w:instrText xml:space="preserve"> PAGEREF _Toc153356568 \h </w:instrText>
            </w:r>
            <w:r w:rsidR="0036033F">
              <w:rPr>
                <w:noProof/>
                <w:webHidden/>
              </w:rPr>
            </w:r>
            <w:r w:rsidR="0036033F">
              <w:rPr>
                <w:noProof/>
                <w:webHidden/>
              </w:rPr>
              <w:fldChar w:fldCharType="separate"/>
            </w:r>
            <w:r w:rsidR="00C44B38">
              <w:rPr>
                <w:noProof/>
                <w:webHidden/>
              </w:rPr>
              <w:t>48</w:t>
            </w:r>
            <w:r w:rsidR="0036033F">
              <w:rPr>
                <w:noProof/>
                <w:webHidden/>
              </w:rPr>
              <w:fldChar w:fldCharType="end"/>
            </w:r>
          </w:hyperlink>
        </w:p>
        <w:p w14:paraId="728EBE1B" w14:textId="676DFCA6"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69" w:history="1">
            <w:r w:rsidR="0036033F" w:rsidRPr="00D14FA6">
              <w:rPr>
                <w:rStyle w:val="Hyperlink"/>
                <w:b/>
                <w:noProof/>
              </w:rPr>
              <w:t>Supplemental Figure 17 (2 of 3).</w:t>
            </w:r>
            <w:r w:rsidR="0036033F" w:rsidRPr="00D14FA6">
              <w:rPr>
                <w:rStyle w:val="Hyperlink"/>
                <w:noProof/>
              </w:rPr>
              <w:t xml:space="preserve"> Subgroup analyses for the effect of soy isoflavones on estradiol*</w:t>
            </w:r>
            <w:r w:rsidR="0036033F">
              <w:rPr>
                <w:noProof/>
                <w:webHidden/>
              </w:rPr>
              <w:tab/>
            </w:r>
            <w:r w:rsidR="0036033F">
              <w:rPr>
                <w:noProof/>
                <w:webHidden/>
              </w:rPr>
              <w:fldChar w:fldCharType="begin"/>
            </w:r>
            <w:r w:rsidR="0036033F">
              <w:rPr>
                <w:noProof/>
                <w:webHidden/>
              </w:rPr>
              <w:instrText xml:space="preserve"> PAGEREF _Toc153356569 \h </w:instrText>
            </w:r>
            <w:r w:rsidR="0036033F">
              <w:rPr>
                <w:noProof/>
                <w:webHidden/>
              </w:rPr>
            </w:r>
            <w:r w:rsidR="0036033F">
              <w:rPr>
                <w:noProof/>
                <w:webHidden/>
              </w:rPr>
              <w:fldChar w:fldCharType="separate"/>
            </w:r>
            <w:r w:rsidR="00C44B38">
              <w:rPr>
                <w:noProof/>
                <w:webHidden/>
              </w:rPr>
              <w:t>50</w:t>
            </w:r>
            <w:r w:rsidR="0036033F">
              <w:rPr>
                <w:noProof/>
                <w:webHidden/>
              </w:rPr>
              <w:fldChar w:fldCharType="end"/>
            </w:r>
          </w:hyperlink>
        </w:p>
        <w:p w14:paraId="691FFE4D" w14:textId="4BDC0EB0"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70" w:history="1">
            <w:r w:rsidR="0036033F" w:rsidRPr="00D14FA6">
              <w:rPr>
                <w:rStyle w:val="Hyperlink"/>
                <w:b/>
                <w:noProof/>
              </w:rPr>
              <w:t>Supplemental Figure 17 (3 of 3).</w:t>
            </w:r>
            <w:r w:rsidR="0036033F" w:rsidRPr="00D14FA6">
              <w:rPr>
                <w:rStyle w:val="Hyperlink"/>
                <w:noProof/>
              </w:rPr>
              <w:t xml:space="preserve"> Subgroup analyses for the effect of soy isoflavones on estradiol</w:t>
            </w:r>
            <w:r w:rsidR="0036033F">
              <w:rPr>
                <w:noProof/>
                <w:webHidden/>
              </w:rPr>
              <w:tab/>
            </w:r>
            <w:r w:rsidR="0036033F">
              <w:rPr>
                <w:noProof/>
                <w:webHidden/>
              </w:rPr>
              <w:fldChar w:fldCharType="begin"/>
            </w:r>
            <w:r w:rsidR="0036033F">
              <w:rPr>
                <w:noProof/>
                <w:webHidden/>
              </w:rPr>
              <w:instrText xml:space="preserve"> PAGEREF _Toc153356570 \h </w:instrText>
            </w:r>
            <w:r w:rsidR="0036033F">
              <w:rPr>
                <w:noProof/>
                <w:webHidden/>
              </w:rPr>
            </w:r>
            <w:r w:rsidR="0036033F">
              <w:rPr>
                <w:noProof/>
                <w:webHidden/>
              </w:rPr>
              <w:fldChar w:fldCharType="separate"/>
            </w:r>
            <w:r w:rsidR="00C44B38">
              <w:rPr>
                <w:noProof/>
                <w:webHidden/>
              </w:rPr>
              <w:t>51</w:t>
            </w:r>
            <w:r w:rsidR="0036033F">
              <w:rPr>
                <w:noProof/>
                <w:webHidden/>
              </w:rPr>
              <w:fldChar w:fldCharType="end"/>
            </w:r>
          </w:hyperlink>
        </w:p>
        <w:p w14:paraId="0B6BD0C7" w14:textId="12974DC0"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71" w:history="1">
            <w:r w:rsidR="0036033F" w:rsidRPr="00D14FA6">
              <w:rPr>
                <w:rStyle w:val="Hyperlink"/>
                <w:b/>
                <w:noProof/>
              </w:rPr>
              <w:t xml:space="preserve">Supplemental Figure 18. </w:t>
            </w:r>
            <w:r w:rsidR="0036033F" w:rsidRPr="00D14FA6">
              <w:rPr>
                <w:rStyle w:val="Hyperlink"/>
                <w:noProof/>
              </w:rPr>
              <w:t>Risk of bias subgroup analyses for the effect of soy isoflavones on endometrial thickness</w:t>
            </w:r>
            <w:r w:rsidR="0036033F">
              <w:rPr>
                <w:noProof/>
                <w:webHidden/>
              </w:rPr>
              <w:tab/>
            </w:r>
            <w:r w:rsidR="0036033F">
              <w:rPr>
                <w:noProof/>
                <w:webHidden/>
              </w:rPr>
              <w:fldChar w:fldCharType="begin"/>
            </w:r>
            <w:r w:rsidR="0036033F">
              <w:rPr>
                <w:noProof/>
                <w:webHidden/>
              </w:rPr>
              <w:instrText xml:space="preserve"> PAGEREF _Toc153356571 \h </w:instrText>
            </w:r>
            <w:r w:rsidR="0036033F">
              <w:rPr>
                <w:noProof/>
                <w:webHidden/>
              </w:rPr>
            </w:r>
            <w:r w:rsidR="0036033F">
              <w:rPr>
                <w:noProof/>
                <w:webHidden/>
              </w:rPr>
              <w:fldChar w:fldCharType="separate"/>
            </w:r>
            <w:r w:rsidR="00C44B38">
              <w:rPr>
                <w:noProof/>
                <w:webHidden/>
              </w:rPr>
              <w:t>52</w:t>
            </w:r>
            <w:r w:rsidR="0036033F">
              <w:rPr>
                <w:noProof/>
                <w:webHidden/>
              </w:rPr>
              <w:fldChar w:fldCharType="end"/>
            </w:r>
          </w:hyperlink>
        </w:p>
        <w:p w14:paraId="42351EFC" w14:textId="03E2FDD1"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72" w:history="1">
            <w:r w:rsidR="0036033F" w:rsidRPr="00D14FA6">
              <w:rPr>
                <w:rStyle w:val="Hyperlink"/>
                <w:b/>
                <w:noProof/>
              </w:rPr>
              <w:t xml:space="preserve">Supplemental Figure 19. </w:t>
            </w:r>
            <w:r w:rsidR="0036033F" w:rsidRPr="00D14FA6">
              <w:rPr>
                <w:rStyle w:val="Hyperlink"/>
                <w:noProof/>
              </w:rPr>
              <w:t>Risk of bias subgroup analyses for the effect of soy isoflavones on follicle-stimulating hormone</w:t>
            </w:r>
            <w:r w:rsidR="0036033F">
              <w:rPr>
                <w:noProof/>
                <w:webHidden/>
              </w:rPr>
              <w:tab/>
            </w:r>
            <w:r w:rsidR="0036033F">
              <w:rPr>
                <w:noProof/>
                <w:webHidden/>
              </w:rPr>
              <w:fldChar w:fldCharType="begin"/>
            </w:r>
            <w:r w:rsidR="0036033F">
              <w:rPr>
                <w:noProof/>
                <w:webHidden/>
              </w:rPr>
              <w:instrText xml:space="preserve"> PAGEREF _Toc153356572 \h </w:instrText>
            </w:r>
            <w:r w:rsidR="0036033F">
              <w:rPr>
                <w:noProof/>
                <w:webHidden/>
              </w:rPr>
            </w:r>
            <w:r w:rsidR="0036033F">
              <w:rPr>
                <w:noProof/>
                <w:webHidden/>
              </w:rPr>
              <w:fldChar w:fldCharType="separate"/>
            </w:r>
            <w:r w:rsidR="00C44B38">
              <w:rPr>
                <w:noProof/>
                <w:webHidden/>
              </w:rPr>
              <w:t>53</w:t>
            </w:r>
            <w:r w:rsidR="0036033F">
              <w:rPr>
                <w:noProof/>
                <w:webHidden/>
              </w:rPr>
              <w:fldChar w:fldCharType="end"/>
            </w:r>
          </w:hyperlink>
        </w:p>
        <w:p w14:paraId="0AF28856" w14:textId="002DB98D"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73" w:history="1">
            <w:r w:rsidR="0036033F" w:rsidRPr="00D14FA6">
              <w:rPr>
                <w:rStyle w:val="Hyperlink"/>
                <w:b/>
                <w:noProof/>
              </w:rPr>
              <w:t xml:space="preserve">Supplemental Figure 20. </w:t>
            </w:r>
            <w:r w:rsidR="0036033F" w:rsidRPr="00D14FA6">
              <w:rPr>
                <w:rStyle w:val="Hyperlink"/>
                <w:noProof/>
              </w:rPr>
              <w:t>Risk of bias subgroup analyses for the effect of soy isoflavones on estradiol</w:t>
            </w:r>
            <w:r w:rsidR="0036033F">
              <w:rPr>
                <w:noProof/>
                <w:webHidden/>
              </w:rPr>
              <w:tab/>
            </w:r>
            <w:r w:rsidR="0036033F">
              <w:rPr>
                <w:noProof/>
                <w:webHidden/>
              </w:rPr>
              <w:fldChar w:fldCharType="begin"/>
            </w:r>
            <w:r w:rsidR="0036033F">
              <w:rPr>
                <w:noProof/>
                <w:webHidden/>
              </w:rPr>
              <w:instrText xml:space="preserve"> PAGEREF _Toc153356573 \h </w:instrText>
            </w:r>
            <w:r w:rsidR="0036033F">
              <w:rPr>
                <w:noProof/>
                <w:webHidden/>
              </w:rPr>
            </w:r>
            <w:r w:rsidR="0036033F">
              <w:rPr>
                <w:noProof/>
                <w:webHidden/>
              </w:rPr>
              <w:fldChar w:fldCharType="separate"/>
            </w:r>
            <w:r w:rsidR="00C44B38">
              <w:rPr>
                <w:noProof/>
                <w:webHidden/>
              </w:rPr>
              <w:t>54</w:t>
            </w:r>
            <w:r w:rsidR="0036033F">
              <w:rPr>
                <w:noProof/>
                <w:webHidden/>
              </w:rPr>
              <w:fldChar w:fldCharType="end"/>
            </w:r>
          </w:hyperlink>
        </w:p>
        <w:p w14:paraId="1564F61B" w14:textId="08CEF0F2"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74" w:history="1">
            <w:r w:rsidR="0036033F" w:rsidRPr="00D14FA6">
              <w:rPr>
                <w:rStyle w:val="Hyperlink"/>
                <w:b/>
                <w:noProof/>
              </w:rPr>
              <w:t>Supplemental Figure 21.</w:t>
            </w:r>
            <w:r w:rsidR="0036033F" w:rsidRPr="00D14FA6">
              <w:rPr>
                <w:rStyle w:val="Hyperlink"/>
                <w:noProof/>
              </w:rPr>
              <w:t xml:space="preserve"> Continuous meta-regression analysis for the effect of soy isoflavones on endometrial thickness*</w:t>
            </w:r>
            <w:r w:rsidR="0036033F">
              <w:rPr>
                <w:noProof/>
                <w:webHidden/>
              </w:rPr>
              <w:tab/>
            </w:r>
            <w:r w:rsidR="0036033F">
              <w:rPr>
                <w:noProof/>
                <w:webHidden/>
              </w:rPr>
              <w:fldChar w:fldCharType="begin"/>
            </w:r>
            <w:r w:rsidR="0036033F">
              <w:rPr>
                <w:noProof/>
                <w:webHidden/>
              </w:rPr>
              <w:instrText xml:space="preserve"> PAGEREF _Toc153356574 \h </w:instrText>
            </w:r>
            <w:r w:rsidR="0036033F">
              <w:rPr>
                <w:noProof/>
                <w:webHidden/>
              </w:rPr>
            </w:r>
            <w:r w:rsidR="0036033F">
              <w:rPr>
                <w:noProof/>
                <w:webHidden/>
              </w:rPr>
              <w:fldChar w:fldCharType="separate"/>
            </w:r>
            <w:r w:rsidR="00C44B38">
              <w:rPr>
                <w:noProof/>
                <w:webHidden/>
              </w:rPr>
              <w:t>55</w:t>
            </w:r>
            <w:r w:rsidR="0036033F">
              <w:rPr>
                <w:noProof/>
                <w:webHidden/>
              </w:rPr>
              <w:fldChar w:fldCharType="end"/>
            </w:r>
          </w:hyperlink>
        </w:p>
        <w:p w14:paraId="5D421963" w14:textId="0D1C4DFA"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75" w:history="1">
            <w:r w:rsidR="0036033F" w:rsidRPr="00D14FA6">
              <w:rPr>
                <w:rStyle w:val="Hyperlink"/>
                <w:b/>
                <w:noProof/>
              </w:rPr>
              <w:t>Supplemental Figure 22.</w:t>
            </w:r>
            <w:r w:rsidR="0036033F" w:rsidRPr="00D14FA6">
              <w:rPr>
                <w:rStyle w:val="Hyperlink"/>
                <w:noProof/>
              </w:rPr>
              <w:t xml:space="preserve"> Continuous meta-regression analysis for the effect of soy isoflavones on follicle-stimulating hormone*</w:t>
            </w:r>
            <w:r w:rsidR="0036033F">
              <w:rPr>
                <w:noProof/>
                <w:webHidden/>
              </w:rPr>
              <w:tab/>
            </w:r>
            <w:r w:rsidR="0036033F">
              <w:rPr>
                <w:noProof/>
                <w:webHidden/>
              </w:rPr>
              <w:fldChar w:fldCharType="begin"/>
            </w:r>
            <w:r w:rsidR="0036033F">
              <w:rPr>
                <w:noProof/>
                <w:webHidden/>
              </w:rPr>
              <w:instrText xml:space="preserve"> PAGEREF _Toc153356575 \h </w:instrText>
            </w:r>
            <w:r w:rsidR="0036033F">
              <w:rPr>
                <w:noProof/>
                <w:webHidden/>
              </w:rPr>
            </w:r>
            <w:r w:rsidR="0036033F">
              <w:rPr>
                <w:noProof/>
                <w:webHidden/>
              </w:rPr>
              <w:fldChar w:fldCharType="separate"/>
            </w:r>
            <w:r w:rsidR="00C44B38">
              <w:rPr>
                <w:noProof/>
                <w:webHidden/>
              </w:rPr>
              <w:t>56</w:t>
            </w:r>
            <w:r w:rsidR="0036033F">
              <w:rPr>
                <w:noProof/>
                <w:webHidden/>
              </w:rPr>
              <w:fldChar w:fldCharType="end"/>
            </w:r>
          </w:hyperlink>
        </w:p>
        <w:p w14:paraId="4BD4D1EA" w14:textId="5A511E90"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76" w:history="1">
            <w:r w:rsidR="0036033F" w:rsidRPr="00D14FA6">
              <w:rPr>
                <w:rStyle w:val="Hyperlink"/>
                <w:b/>
                <w:noProof/>
              </w:rPr>
              <w:t>Supplemental Figure 23.</w:t>
            </w:r>
            <w:r w:rsidR="0036033F" w:rsidRPr="00D14FA6">
              <w:rPr>
                <w:rStyle w:val="Hyperlink"/>
                <w:noProof/>
              </w:rPr>
              <w:t xml:space="preserve"> Continuous meta-regression analysis for the effect of soy isoflavones on estradiol*</w:t>
            </w:r>
            <w:r w:rsidR="0036033F">
              <w:rPr>
                <w:noProof/>
                <w:webHidden/>
              </w:rPr>
              <w:tab/>
            </w:r>
            <w:r w:rsidR="0036033F">
              <w:rPr>
                <w:noProof/>
                <w:webHidden/>
              </w:rPr>
              <w:fldChar w:fldCharType="begin"/>
            </w:r>
            <w:r w:rsidR="0036033F">
              <w:rPr>
                <w:noProof/>
                <w:webHidden/>
              </w:rPr>
              <w:instrText xml:space="preserve"> PAGEREF _Toc153356576 \h </w:instrText>
            </w:r>
            <w:r w:rsidR="0036033F">
              <w:rPr>
                <w:noProof/>
                <w:webHidden/>
              </w:rPr>
            </w:r>
            <w:r w:rsidR="0036033F">
              <w:rPr>
                <w:noProof/>
                <w:webHidden/>
              </w:rPr>
              <w:fldChar w:fldCharType="separate"/>
            </w:r>
            <w:r w:rsidR="00C44B38">
              <w:rPr>
                <w:noProof/>
                <w:webHidden/>
              </w:rPr>
              <w:t>57</w:t>
            </w:r>
            <w:r w:rsidR="0036033F">
              <w:rPr>
                <w:noProof/>
                <w:webHidden/>
              </w:rPr>
              <w:fldChar w:fldCharType="end"/>
            </w:r>
          </w:hyperlink>
        </w:p>
        <w:p w14:paraId="3E85EDE0" w14:textId="7FC3AC93"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77" w:history="1">
            <w:r w:rsidR="0036033F" w:rsidRPr="00D14FA6">
              <w:rPr>
                <w:rStyle w:val="Hyperlink"/>
                <w:b/>
                <w:noProof/>
              </w:rPr>
              <w:t>Supplemental Figure 24.</w:t>
            </w:r>
            <w:r w:rsidR="0036033F" w:rsidRPr="00D14FA6">
              <w:rPr>
                <w:rStyle w:val="Hyperlink"/>
                <w:noProof/>
              </w:rPr>
              <w:t xml:space="preserve"> Linear and non-linear meta-regression analysis for the effect of soy isoflavones on endometrial thickness</w:t>
            </w:r>
            <w:r w:rsidR="0036033F">
              <w:rPr>
                <w:noProof/>
                <w:webHidden/>
              </w:rPr>
              <w:tab/>
            </w:r>
            <w:r w:rsidR="0036033F">
              <w:rPr>
                <w:noProof/>
                <w:webHidden/>
              </w:rPr>
              <w:fldChar w:fldCharType="begin"/>
            </w:r>
            <w:r w:rsidR="0036033F">
              <w:rPr>
                <w:noProof/>
                <w:webHidden/>
              </w:rPr>
              <w:instrText xml:space="preserve"> PAGEREF _Toc153356577 \h </w:instrText>
            </w:r>
            <w:r w:rsidR="0036033F">
              <w:rPr>
                <w:noProof/>
                <w:webHidden/>
              </w:rPr>
            </w:r>
            <w:r w:rsidR="0036033F">
              <w:rPr>
                <w:noProof/>
                <w:webHidden/>
              </w:rPr>
              <w:fldChar w:fldCharType="separate"/>
            </w:r>
            <w:r w:rsidR="00C44B38">
              <w:rPr>
                <w:noProof/>
                <w:webHidden/>
              </w:rPr>
              <w:t>58</w:t>
            </w:r>
            <w:r w:rsidR="0036033F">
              <w:rPr>
                <w:noProof/>
                <w:webHidden/>
              </w:rPr>
              <w:fldChar w:fldCharType="end"/>
            </w:r>
          </w:hyperlink>
        </w:p>
        <w:p w14:paraId="33038B7C" w14:textId="2E6BD60C"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78" w:history="1">
            <w:r w:rsidR="0036033F" w:rsidRPr="00D14FA6">
              <w:rPr>
                <w:rStyle w:val="Hyperlink"/>
                <w:b/>
                <w:noProof/>
              </w:rPr>
              <w:t>Supplemental Figure 25.</w:t>
            </w:r>
            <w:r w:rsidR="0036033F" w:rsidRPr="00D14FA6">
              <w:rPr>
                <w:rStyle w:val="Hyperlink"/>
                <w:noProof/>
              </w:rPr>
              <w:t xml:space="preserve"> Linear and non-linear meta-regression analysis for the effect of soy isoflavones on vaginal maturation index</w:t>
            </w:r>
            <w:r w:rsidR="0036033F">
              <w:rPr>
                <w:noProof/>
                <w:webHidden/>
              </w:rPr>
              <w:tab/>
            </w:r>
            <w:r w:rsidR="0036033F">
              <w:rPr>
                <w:noProof/>
                <w:webHidden/>
              </w:rPr>
              <w:fldChar w:fldCharType="begin"/>
            </w:r>
            <w:r w:rsidR="0036033F">
              <w:rPr>
                <w:noProof/>
                <w:webHidden/>
              </w:rPr>
              <w:instrText xml:space="preserve"> PAGEREF _Toc153356578 \h </w:instrText>
            </w:r>
            <w:r w:rsidR="0036033F">
              <w:rPr>
                <w:noProof/>
                <w:webHidden/>
              </w:rPr>
            </w:r>
            <w:r w:rsidR="0036033F">
              <w:rPr>
                <w:noProof/>
                <w:webHidden/>
              </w:rPr>
              <w:fldChar w:fldCharType="separate"/>
            </w:r>
            <w:r w:rsidR="00C44B38">
              <w:rPr>
                <w:noProof/>
                <w:webHidden/>
              </w:rPr>
              <w:t>59</w:t>
            </w:r>
            <w:r w:rsidR="0036033F">
              <w:rPr>
                <w:noProof/>
                <w:webHidden/>
              </w:rPr>
              <w:fldChar w:fldCharType="end"/>
            </w:r>
          </w:hyperlink>
        </w:p>
        <w:p w14:paraId="2A0AD71C" w14:textId="7391C588"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79" w:history="1">
            <w:r w:rsidR="0036033F" w:rsidRPr="00D14FA6">
              <w:rPr>
                <w:rStyle w:val="Hyperlink"/>
                <w:b/>
                <w:noProof/>
                <w:lang w:val="fr-CA"/>
              </w:rPr>
              <w:t>Supplemental Figure 26.</w:t>
            </w:r>
            <w:r w:rsidR="0036033F" w:rsidRPr="00D14FA6">
              <w:rPr>
                <w:rStyle w:val="Hyperlink"/>
                <w:noProof/>
                <w:lang w:val="fr-CA"/>
              </w:rPr>
              <w:t xml:space="preserve"> </w:t>
            </w:r>
            <w:r w:rsidR="0036033F" w:rsidRPr="00D14FA6">
              <w:rPr>
                <w:rStyle w:val="Hyperlink"/>
                <w:noProof/>
              </w:rPr>
              <w:t>Linear and non-linear meta-regression analysis for the effect of soy isoflavones on follicle-stimulating hormone</w:t>
            </w:r>
            <w:r w:rsidR="0036033F">
              <w:rPr>
                <w:noProof/>
                <w:webHidden/>
              </w:rPr>
              <w:tab/>
            </w:r>
            <w:r w:rsidR="0036033F">
              <w:rPr>
                <w:noProof/>
                <w:webHidden/>
              </w:rPr>
              <w:fldChar w:fldCharType="begin"/>
            </w:r>
            <w:r w:rsidR="0036033F">
              <w:rPr>
                <w:noProof/>
                <w:webHidden/>
              </w:rPr>
              <w:instrText xml:space="preserve"> PAGEREF _Toc153356579 \h </w:instrText>
            </w:r>
            <w:r w:rsidR="0036033F">
              <w:rPr>
                <w:noProof/>
                <w:webHidden/>
              </w:rPr>
            </w:r>
            <w:r w:rsidR="0036033F">
              <w:rPr>
                <w:noProof/>
                <w:webHidden/>
              </w:rPr>
              <w:fldChar w:fldCharType="separate"/>
            </w:r>
            <w:r w:rsidR="00C44B38">
              <w:rPr>
                <w:noProof/>
                <w:webHidden/>
              </w:rPr>
              <w:t>60</w:t>
            </w:r>
            <w:r w:rsidR="0036033F">
              <w:rPr>
                <w:noProof/>
                <w:webHidden/>
              </w:rPr>
              <w:fldChar w:fldCharType="end"/>
            </w:r>
          </w:hyperlink>
        </w:p>
        <w:p w14:paraId="7CEB1673" w14:textId="3AF089D7"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80" w:history="1">
            <w:r w:rsidR="0036033F" w:rsidRPr="00D14FA6">
              <w:rPr>
                <w:rStyle w:val="Hyperlink"/>
                <w:b/>
                <w:noProof/>
              </w:rPr>
              <w:t>Supplemental Figure 27.</w:t>
            </w:r>
            <w:r w:rsidR="0036033F" w:rsidRPr="00D14FA6">
              <w:rPr>
                <w:rStyle w:val="Hyperlink"/>
                <w:noProof/>
              </w:rPr>
              <w:t xml:space="preserve"> Linear and non-linear meta-regression analysis for the effect of soy isoflavones on estradiol</w:t>
            </w:r>
            <w:r w:rsidR="0036033F">
              <w:rPr>
                <w:noProof/>
                <w:webHidden/>
              </w:rPr>
              <w:tab/>
            </w:r>
            <w:r w:rsidR="0036033F">
              <w:rPr>
                <w:noProof/>
                <w:webHidden/>
              </w:rPr>
              <w:fldChar w:fldCharType="begin"/>
            </w:r>
            <w:r w:rsidR="0036033F">
              <w:rPr>
                <w:noProof/>
                <w:webHidden/>
              </w:rPr>
              <w:instrText xml:space="preserve"> PAGEREF _Toc153356580 \h </w:instrText>
            </w:r>
            <w:r w:rsidR="0036033F">
              <w:rPr>
                <w:noProof/>
                <w:webHidden/>
              </w:rPr>
            </w:r>
            <w:r w:rsidR="0036033F">
              <w:rPr>
                <w:noProof/>
                <w:webHidden/>
              </w:rPr>
              <w:fldChar w:fldCharType="separate"/>
            </w:r>
            <w:r w:rsidR="00C44B38">
              <w:rPr>
                <w:noProof/>
                <w:webHidden/>
              </w:rPr>
              <w:t>61</w:t>
            </w:r>
            <w:r w:rsidR="0036033F">
              <w:rPr>
                <w:noProof/>
                <w:webHidden/>
              </w:rPr>
              <w:fldChar w:fldCharType="end"/>
            </w:r>
          </w:hyperlink>
        </w:p>
        <w:p w14:paraId="61C92C57" w14:textId="5DFA4996"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81" w:history="1">
            <w:r w:rsidR="0036033F" w:rsidRPr="00D14FA6">
              <w:rPr>
                <w:rStyle w:val="Hyperlink"/>
                <w:b/>
                <w:noProof/>
              </w:rPr>
              <w:t>Supplemental Figure 28.</w:t>
            </w:r>
            <w:r w:rsidR="0036033F" w:rsidRPr="00D14FA6">
              <w:rPr>
                <w:rStyle w:val="Hyperlink"/>
                <w:noProof/>
              </w:rPr>
              <w:t xml:space="preserve"> Publication bias funnel plots for the effect of soy isoflavones on endometrial thickness</w:t>
            </w:r>
            <w:r w:rsidR="0036033F">
              <w:rPr>
                <w:noProof/>
                <w:webHidden/>
              </w:rPr>
              <w:tab/>
            </w:r>
            <w:r w:rsidR="0036033F">
              <w:rPr>
                <w:noProof/>
                <w:webHidden/>
              </w:rPr>
              <w:fldChar w:fldCharType="begin"/>
            </w:r>
            <w:r w:rsidR="0036033F">
              <w:rPr>
                <w:noProof/>
                <w:webHidden/>
              </w:rPr>
              <w:instrText xml:space="preserve"> PAGEREF _Toc153356581 \h </w:instrText>
            </w:r>
            <w:r w:rsidR="0036033F">
              <w:rPr>
                <w:noProof/>
                <w:webHidden/>
              </w:rPr>
            </w:r>
            <w:r w:rsidR="0036033F">
              <w:rPr>
                <w:noProof/>
                <w:webHidden/>
              </w:rPr>
              <w:fldChar w:fldCharType="separate"/>
            </w:r>
            <w:r w:rsidR="00C44B38">
              <w:rPr>
                <w:noProof/>
                <w:webHidden/>
              </w:rPr>
              <w:t>62</w:t>
            </w:r>
            <w:r w:rsidR="0036033F">
              <w:rPr>
                <w:noProof/>
                <w:webHidden/>
              </w:rPr>
              <w:fldChar w:fldCharType="end"/>
            </w:r>
          </w:hyperlink>
        </w:p>
        <w:p w14:paraId="7DB6FB77" w14:textId="78488052"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82" w:history="1">
            <w:r w:rsidR="0036033F" w:rsidRPr="00D14FA6">
              <w:rPr>
                <w:rStyle w:val="Hyperlink"/>
                <w:b/>
                <w:noProof/>
              </w:rPr>
              <w:t>Supplemental Figure 29.</w:t>
            </w:r>
            <w:r w:rsidR="0036033F" w:rsidRPr="00D14FA6">
              <w:rPr>
                <w:rStyle w:val="Hyperlink"/>
                <w:noProof/>
              </w:rPr>
              <w:t xml:space="preserve"> Publication bias funnel plots for the effect of soy isoflavones on follicle-stimulating hormone</w:t>
            </w:r>
            <w:r w:rsidR="0036033F">
              <w:rPr>
                <w:noProof/>
                <w:webHidden/>
              </w:rPr>
              <w:tab/>
            </w:r>
            <w:r w:rsidR="0036033F">
              <w:rPr>
                <w:noProof/>
                <w:webHidden/>
              </w:rPr>
              <w:fldChar w:fldCharType="begin"/>
            </w:r>
            <w:r w:rsidR="0036033F">
              <w:rPr>
                <w:noProof/>
                <w:webHidden/>
              </w:rPr>
              <w:instrText xml:space="preserve"> PAGEREF _Toc153356582 \h </w:instrText>
            </w:r>
            <w:r w:rsidR="0036033F">
              <w:rPr>
                <w:noProof/>
                <w:webHidden/>
              </w:rPr>
            </w:r>
            <w:r w:rsidR="0036033F">
              <w:rPr>
                <w:noProof/>
                <w:webHidden/>
              </w:rPr>
              <w:fldChar w:fldCharType="separate"/>
            </w:r>
            <w:r w:rsidR="00C44B38">
              <w:rPr>
                <w:noProof/>
                <w:webHidden/>
              </w:rPr>
              <w:t>63</w:t>
            </w:r>
            <w:r w:rsidR="0036033F">
              <w:rPr>
                <w:noProof/>
                <w:webHidden/>
              </w:rPr>
              <w:fldChar w:fldCharType="end"/>
            </w:r>
          </w:hyperlink>
        </w:p>
        <w:p w14:paraId="6FD9F9B7" w14:textId="4DEF4BC6" w:rsidR="0036033F" w:rsidRDefault="00000000">
          <w:pPr>
            <w:pStyle w:val="TOC1"/>
            <w:tabs>
              <w:tab w:val="right" w:leader="dot" w:pos="9350"/>
            </w:tabs>
            <w:rPr>
              <w:rFonts w:asciiTheme="minorHAnsi" w:eastAsiaTheme="minorEastAsia" w:hAnsiTheme="minorHAnsi" w:cstheme="minorBidi"/>
              <w:bCs w:val="0"/>
              <w:iCs w:val="0"/>
              <w:noProof/>
              <w:kern w:val="2"/>
              <w:sz w:val="24"/>
              <w14:ligatures w14:val="standardContextual"/>
            </w:rPr>
          </w:pPr>
          <w:hyperlink w:anchor="_Toc153356583" w:history="1">
            <w:r w:rsidR="0036033F" w:rsidRPr="00D14FA6">
              <w:rPr>
                <w:rStyle w:val="Hyperlink"/>
                <w:b/>
                <w:noProof/>
              </w:rPr>
              <w:t>Supplemental Figure 30.</w:t>
            </w:r>
            <w:r w:rsidR="0036033F" w:rsidRPr="00D14FA6">
              <w:rPr>
                <w:rStyle w:val="Hyperlink"/>
                <w:noProof/>
              </w:rPr>
              <w:t xml:space="preserve"> Publication bias funnel plots for the effect of soy isoflavones on estradiol</w:t>
            </w:r>
            <w:r w:rsidR="0036033F">
              <w:rPr>
                <w:noProof/>
                <w:webHidden/>
              </w:rPr>
              <w:tab/>
            </w:r>
            <w:r w:rsidR="0036033F">
              <w:rPr>
                <w:noProof/>
                <w:webHidden/>
              </w:rPr>
              <w:fldChar w:fldCharType="begin"/>
            </w:r>
            <w:r w:rsidR="0036033F">
              <w:rPr>
                <w:noProof/>
                <w:webHidden/>
              </w:rPr>
              <w:instrText xml:space="preserve"> PAGEREF _Toc153356583 \h </w:instrText>
            </w:r>
            <w:r w:rsidR="0036033F">
              <w:rPr>
                <w:noProof/>
                <w:webHidden/>
              </w:rPr>
            </w:r>
            <w:r w:rsidR="0036033F">
              <w:rPr>
                <w:noProof/>
                <w:webHidden/>
              </w:rPr>
              <w:fldChar w:fldCharType="separate"/>
            </w:r>
            <w:r w:rsidR="00C44B38">
              <w:rPr>
                <w:noProof/>
                <w:webHidden/>
              </w:rPr>
              <w:t>64</w:t>
            </w:r>
            <w:r w:rsidR="0036033F">
              <w:rPr>
                <w:noProof/>
                <w:webHidden/>
              </w:rPr>
              <w:fldChar w:fldCharType="end"/>
            </w:r>
          </w:hyperlink>
        </w:p>
        <w:p w14:paraId="0DE1FB1D" w14:textId="184DDA7E" w:rsidR="007528AA" w:rsidRDefault="007528AA">
          <w:r>
            <w:rPr>
              <w:rFonts w:cstheme="minorHAnsi"/>
              <w:bCs/>
              <w:i/>
              <w:sz w:val="20"/>
            </w:rPr>
            <w:fldChar w:fldCharType="end"/>
          </w:r>
        </w:p>
      </w:sdtContent>
    </w:sdt>
    <w:p w14:paraId="7221908F" w14:textId="6F71E40B" w:rsidR="00576E2A" w:rsidRPr="00134F5B" w:rsidRDefault="004A7E55" w:rsidP="007528AA">
      <w:pPr>
        <w:pStyle w:val="Heading1"/>
        <w:rPr>
          <w:sz w:val="21"/>
          <w:szCs w:val="21"/>
        </w:rPr>
      </w:pPr>
      <w:r w:rsidRPr="00CB4744">
        <w:rPr>
          <w:sz w:val="21"/>
          <w:szCs w:val="21"/>
        </w:rPr>
        <w:br w:type="page"/>
      </w:r>
      <w:bookmarkStart w:id="0" w:name="_Toc153356541"/>
      <w:r w:rsidRPr="004A7E55">
        <w:rPr>
          <w:b/>
          <w:bCs/>
        </w:rPr>
        <w:lastRenderedPageBreak/>
        <w:t>Supplementa</w:t>
      </w:r>
      <w:r w:rsidR="006C3266">
        <w:rPr>
          <w:b/>
          <w:bCs/>
        </w:rPr>
        <w:t>l</w:t>
      </w:r>
      <w:r w:rsidRPr="004A7E55">
        <w:rPr>
          <w:b/>
          <w:bCs/>
        </w:rPr>
        <w:t xml:space="preserve"> Table 1.</w:t>
      </w:r>
      <w:r>
        <w:t xml:space="preserve"> Search strategy for randomized controlled trials assessing the effect of soy isoflavones on measures of estrogenicity</w:t>
      </w:r>
      <w:bookmarkEnd w:id="0"/>
    </w:p>
    <w:p w14:paraId="13168A60" w14:textId="62C73607" w:rsidR="004A7E55" w:rsidRDefault="004A7E55" w:rsidP="004A7E55"/>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15" w:type="dxa"/>
          <w:left w:w="15" w:type="dxa"/>
          <w:bottom w:w="15" w:type="dxa"/>
          <w:right w:w="15" w:type="dxa"/>
        </w:tblCellMar>
        <w:tblLook w:val="04A0" w:firstRow="1" w:lastRow="0" w:firstColumn="1" w:lastColumn="0" w:noHBand="0" w:noVBand="1"/>
      </w:tblPr>
      <w:tblGrid>
        <w:gridCol w:w="3134"/>
        <w:gridCol w:w="3240"/>
        <w:gridCol w:w="2976"/>
      </w:tblGrid>
      <w:tr w:rsidR="004A7E55" w14:paraId="62897B46" w14:textId="77777777" w:rsidTr="004A7E55">
        <w:trPr>
          <w:trHeight w:val="543"/>
        </w:trPr>
        <w:tc>
          <w:tcPr>
            <w:tcW w:w="0" w:type="auto"/>
            <w:tcMar>
              <w:top w:w="0" w:type="dxa"/>
              <w:left w:w="108" w:type="dxa"/>
              <w:bottom w:w="0" w:type="dxa"/>
              <w:right w:w="108" w:type="dxa"/>
            </w:tcMar>
            <w:hideMark/>
          </w:tcPr>
          <w:p w14:paraId="3F7C7A4E" w14:textId="77777777" w:rsidR="004A7E55" w:rsidRDefault="004A7E55">
            <w:pPr>
              <w:pStyle w:val="NormalWeb"/>
              <w:spacing w:before="0" w:beforeAutospacing="0" w:after="0" w:afterAutospacing="0"/>
              <w:jc w:val="center"/>
            </w:pPr>
            <w:r>
              <w:rPr>
                <w:rFonts w:ascii="Calibri" w:hAnsi="Calibri"/>
                <w:b/>
                <w:bCs/>
                <w:color w:val="000000"/>
                <w:sz w:val="20"/>
                <w:szCs w:val="20"/>
              </w:rPr>
              <w:t>MEDLINE</w:t>
            </w:r>
          </w:p>
        </w:tc>
        <w:tc>
          <w:tcPr>
            <w:tcW w:w="3240" w:type="dxa"/>
            <w:tcMar>
              <w:top w:w="0" w:type="dxa"/>
              <w:left w:w="108" w:type="dxa"/>
              <w:bottom w:w="0" w:type="dxa"/>
              <w:right w:w="108" w:type="dxa"/>
            </w:tcMar>
            <w:hideMark/>
          </w:tcPr>
          <w:p w14:paraId="256CE877" w14:textId="77777777" w:rsidR="004A7E55" w:rsidRDefault="004A7E55">
            <w:pPr>
              <w:pStyle w:val="NormalWeb"/>
              <w:spacing w:before="0" w:beforeAutospacing="0" w:after="0" w:afterAutospacing="0"/>
              <w:jc w:val="center"/>
            </w:pPr>
            <w:r>
              <w:rPr>
                <w:rFonts w:ascii="Calibri" w:hAnsi="Calibri"/>
                <w:b/>
                <w:bCs/>
                <w:color w:val="000000"/>
                <w:sz w:val="20"/>
                <w:szCs w:val="20"/>
              </w:rPr>
              <w:t>EMBASE</w:t>
            </w:r>
          </w:p>
        </w:tc>
        <w:tc>
          <w:tcPr>
            <w:tcW w:w="2976" w:type="dxa"/>
            <w:tcMar>
              <w:top w:w="0" w:type="dxa"/>
              <w:left w:w="108" w:type="dxa"/>
              <w:bottom w:w="0" w:type="dxa"/>
              <w:right w:w="108" w:type="dxa"/>
            </w:tcMar>
            <w:hideMark/>
          </w:tcPr>
          <w:p w14:paraId="5E1EE6CF" w14:textId="77777777" w:rsidR="004A7E55" w:rsidRDefault="004A7E55">
            <w:pPr>
              <w:pStyle w:val="NormalWeb"/>
              <w:spacing w:before="0" w:beforeAutospacing="0" w:after="0" w:afterAutospacing="0"/>
              <w:jc w:val="center"/>
            </w:pPr>
            <w:r>
              <w:rPr>
                <w:rFonts w:ascii="Calibri" w:hAnsi="Calibri"/>
                <w:b/>
                <w:bCs/>
                <w:color w:val="000000"/>
                <w:sz w:val="20"/>
                <w:szCs w:val="20"/>
              </w:rPr>
              <w:t>The Cochrane Library of Controlled Trials</w:t>
            </w:r>
          </w:p>
        </w:tc>
      </w:tr>
      <w:tr w:rsidR="004A7E55" w14:paraId="5F0531F8" w14:textId="77777777" w:rsidTr="004A7E55">
        <w:trPr>
          <w:trHeight w:val="20"/>
        </w:trPr>
        <w:tc>
          <w:tcPr>
            <w:tcW w:w="0" w:type="auto"/>
            <w:tcMar>
              <w:top w:w="0" w:type="dxa"/>
              <w:left w:w="108" w:type="dxa"/>
              <w:bottom w:w="0" w:type="dxa"/>
              <w:right w:w="108" w:type="dxa"/>
            </w:tcMar>
            <w:hideMark/>
          </w:tcPr>
          <w:p w14:paraId="4F4B11BB" w14:textId="77777777" w:rsidR="004A7E55" w:rsidRDefault="004A7E55"/>
        </w:tc>
        <w:tc>
          <w:tcPr>
            <w:tcW w:w="3240" w:type="dxa"/>
            <w:tcMar>
              <w:top w:w="0" w:type="dxa"/>
              <w:left w:w="108" w:type="dxa"/>
              <w:bottom w:w="0" w:type="dxa"/>
              <w:right w:w="108" w:type="dxa"/>
            </w:tcMar>
            <w:hideMark/>
          </w:tcPr>
          <w:p w14:paraId="0DF422F4" w14:textId="77777777" w:rsidR="004A7E55" w:rsidRDefault="004A7E55"/>
        </w:tc>
        <w:tc>
          <w:tcPr>
            <w:tcW w:w="2976" w:type="dxa"/>
            <w:tcMar>
              <w:top w:w="0" w:type="dxa"/>
              <w:left w:w="108" w:type="dxa"/>
              <w:bottom w:w="0" w:type="dxa"/>
              <w:right w:w="108" w:type="dxa"/>
            </w:tcMar>
            <w:hideMark/>
          </w:tcPr>
          <w:p w14:paraId="69EDB352" w14:textId="77777777" w:rsidR="004A7E55" w:rsidRDefault="004A7E55"/>
        </w:tc>
      </w:tr>
      <w:tr w:rsidR="004A7E55" w14:paraId="635874F2" w14:textId="77777777" w:rsidTr="004A7E55">
        <w:trPr>
          <w:trHeight w:val="20"/>
        </w:trPr>
        <w:tc>
          <w:tcPr>
            <w:tcW w:w="0" w:type="auto"/>
            <w:tcMar>
              <w:top w:w="0" w:type="dxa"/>
              <w:left w:w="108" w:type="dxa"/>
              <w:bottom w:w="0" w:type="dxa"/>
              <w:right w:w="108" w:type="dxa"/>
            </w:tcMar>
            <w:hideMark/>
          </w:tcPr>
          <w:p w14:paraId="655AE77C"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soy.mp.</w:t>
            </w:r>
          </w:p>
          <w:p w14:paraId="6B6F6B91"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Isoflavon*.mp.</w:t>
            </w:r>
          </w:p>
          <w:p w14:paraId="2C7E8C9E"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Isoflavones/</w:t>
            </w:r>
          </w:p>
          <w:p w14:paraId="0DE55574"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Soybeans/</w:t>
            </w:r>
          </w:p>
          <w:p w14:paraId="320C04A1"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 protein.mp.</w:t>
            </w:r>
          </w:p>
          <w:p w14:paraId="121A64E4"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Soybean Proteins/</w:t>
            </w:r>
          </w:p>
          <w:p w14:paraId="199D2E7C"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Soy Foods/</w:t>
            </w:r>
          </w:p>
          <w:p w14:paraId="3E0D129B"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Soy Milk/</w:t>
            </w:r>
          </w:p>
          <w:p w14:paraId="168F89B2"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 adj3 milk).mp. </w:t>
            </w:r>
          </w:p>
          <w:p w14:paraId="1BA22CC9"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 food$.mp.</w:t>
            </w:r>
          </w:p>
          <w:p w14:paraId="379CDA8F"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 adj3 beverage$).mp. </w:t>
            </w:r>
          </w:p>
          <w:p w14:paraId="17797AFD"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isolated soy protein.mp.</w:t>
            </w:r>
          </w:p>
          <w:p w14:paraId="2A7009FD"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 protein isolate*.mp.</w:t>
            </w:r>
          </w:p>
          <w:p w14:paraId="273BECBA"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soya.mp.</w:t>
            </w:r>
          </w:p>
          <w:p w14:paraId="40F56FCA"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Phytoestrogens.mp.</w:t>
            </w:r>
          </w:p>
          <w:p w14:paraId="22CE7885"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Tofu*.mp.</w:t>
            </w:r>
          </w:p>
          <w:p w14:paraId="65F23B83"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Natto*.mp.</w:t>
            </w:r>
          </w:p>
          <w:p w14:paraId="18E20F72"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Tempeh*.mp.</w:t>
            </w:r>
          </w:p>
          <w:p w14:paraId="33774FBF"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Miso*.mp.</w:t>
            </w:r>
          </w:p>
          <w:p w14:paraId="033B293C"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tofu/</w:t>
            </w:r>
          </w:p>
          <w:p w14:paraId="0FA983EB"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soybeans.mp.</w:t>
            </w:r>
          </w:p>
          <w:p w14:paraId="75368CC9"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 adj3 bean$).mp. </w:t>
            </w:r>
          </w:p>
          <w:p w14:paraId="48C3F7A0"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Genistein/</w:t>
            </w:r>
          </w:p>
          <w:p w14:paraId="20FF91AA"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genistein.mp.</w:t>
            </w:r>
          </w:p>
          <w:p w14:paraId="0783E6C0"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genistin.mp.</w:t>
            </w:r>
          </w:p>
          <w:p w14:paraId="6A380BDE"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daidzein.mp.</w:t>
            </w:r>
          </w:p>
          <w:p w14:paraId="032C45BA"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daidzin.mp.</w:t>
            </w:r>
          </w:p>
          <w:p w14:paraId="547BB0A2"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Equol/</w:t>
            </w:r>
          </w:p>
          <w:p w14:paraId="28341C4F"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equol.mp.</w:t>
            </w:r>
          </w:p>
          <w:p w14:paraId="722ECAED"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glycitein.mp.</w:t>
            </w:r>
          </w:p>
          <w:p w14:paraId="082BEA33"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glycitin.mp.</w:t>
            </w:r>
          </w:p>
          <w:p w14:paraId="17C462FF"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1 or 2 or 3 or 4 or 5 or 6 or 7 or 8 or 9 or 10 or 11 or 12 or 13 or 14 or 15 or 16 or 17 or 18 or 19 or 20 or 21 or 22 or 23 or 24 or 25 or 26 or 27 or 28 or 29 or 30 or 31</w:t>
            </w:r>
          </w:p>
          <w:p w14:paraId="64169A84"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FSH.mp.</w:t>
            </w:r>
          </w:p>
          <w:p w14:paraId="5232978A"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Follicle Stimulating Hormone/</w:t>
            </w:r>
          </w:p>
          <w:p w14:paraId="79EC5DF3"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follicle stimulating hormone.mp.</w:t>
            </w:r>
          </w:p>
          <w:p w14:paraId="7BDD24CA"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endometrial.mp.</w:t>
            </w:r>
          </w:p>
          <w:p w14:paraId="6DD960C7"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Endometrium/</w:t>
            </w:r>
          </w:p>
          <w:p w14:paraId="476294D3"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endometrium.mp.</w:t>
            </w:r>
          </w:p>
          <w:p w14:paraId="2BF43719"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vaginal maturation.mp.</w:t>
            </w:r>
          </w:p>
          <w:p w14:paraId="52F288C2"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vaginal maturation index.mp.</w:t>
            </w:r>
          </w:p>
          <w:p w14:paraId="3D7549AD"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E2.mp.</w:t>
            </w:r>
          </w:p>
          <w:p w14:paraId="57984B76"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Estradiol/</w:t>
            </w:r>
          </w:p>
          <w:p w14:paraId="0893D100"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estradiol.mp.</w:t>
            </w:r>
          </w:p>
          <w:p w14:paraId="29C5AC64"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oestradiol.mp.</w:t>
            </w:r>
          </w:p>
          <w:p w14:paraId="1F73456F"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Estrogens/</w:t>
            </w:r>
          </w:p>
          <w:p w14:paraId="243B6348"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estrogen.mp.</w:t>
            </w:r>
          </w:p>
          <w:p w14:paraId="155C7E3A"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oestrogen.mp.</w:t>
            </w:r>
          </w:p>
          <w:p w14:paraId="18632BF9"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33 or 34 or 35 or 36 or 37 or 38 or 39 or 40 or 41 or 42 or 43 or 44 or 45 or 46 or 47 </w:t>
            </w:r>
          </w:p>
          <w:p w14:paraId="2F9AAC13"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32 and 48</w:t>
            </w:r>
          </w:p>
          <w:p w14:paraId="5BC82CB8"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randomized controlled trial.pt.</w:t>
            </w:r>
          </w:p>
          <w:p w14:paraId="29686430"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controlled clinical trial.pt.</w:t>
            </w:r>
          </w:p>
          <w:p w14:paraId="24D85B02"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lastRenderedPageBreak/>
              <w:t>randomized.ab.</w:t>
            </w:r>
          </w:p>
          <w:p w14:paraId="1B281FD7"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placebo.ab.</w:t>
            </w:r>
          </w:p>
          <w:p w14:paraId="6D5A32DA"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clinical trials as topic.sh.</w:t>
            </w:r>
          </w:p>
          <w:p w14:paraId="385DB46E"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randomly.ab.</w:t>
            </w:r>
          </w:p>
          <w:p w14:paraId="7DDFB4B4"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trial.ti.</w:t>
            </w:r>
          </w:p>
          <w:p w14:paraId="0A2447F1" w14:textId="77777777" w:rsidR="004A7E55" w:rsidRDefault="004A7E55">
            <w:pPr>
              <w:pStyle w:val="NormalWeb"/>
              <w:numPr>
                <w:ilvl w:val="0"/>
                <w:numId w:val="1"/>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50 or 51 or 52 or 53 or 54 or 55 or 56</w:t>
            </w:r>
          </w:p>
          <w:p w14:paraId="2CE8A76B" w14:textId="77777777" w:rsidR="004A7E55" w:rsidRDefault="004A7E55">
            <w:pPr>
              <w:pStyle w:val="NormalWeb"/>
              <w:numPr>
                <w:ilvl w:val="0"/>
                <w:numId w:val="1"/>
              </w:numPr>
              <w:spacing w:before="0" w:beforeAutospacing="0" w:after="160" w:afterAutospacing="0"/>
              <w:ind w:left="360"/>
              <w:textAlignment w:val="baseline"/>
              <w:rPr>
                <w:rFonts w:ascii="Calibri" w:hAnsi="Calibri"/>
                <w:color w:val="000000"/>
                <w:sz w:val="16"/>
                <w:szCs w:val="16"/>
              </w:rPr>
            </w:pPr>
            <w:r>
              <w:rPr>
                <w:rFonts w:ascii="Calibri" w:hAnsi="Calibri"/>
                <w:color w:val="000000"/>
                <w:sz w:val="16"/>
                <w:szCs w:val="16"/>
              </w:rPr>
              <w:t>49 and 57</w:t>
            </w:r>
          </w:p>
        </w:tc>
        <w:tc>
          <w:tcPr>
            <w:tcW w:w="3240" w:type="dxa"/>
            <w:tcMar>
              <w:top w:w="0" w:type="dxa"/>
              <w:left w:w="108" w:type="dxa"/>
              <w:bottom w:w="0" w:type="dxa"/>
              <w:right w:w="108" w:type="dxa"/>
            </w:tcMar>
            <w:hideMark/>
          </w:tcPr>
          <w:p w14:paraId="746B768E"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lastRenderedPageBreak/>
              <w:t>soy.mp.</w:t>
            </w:r>
          </w:p>
          <w:p w14:paraId="59B018C0"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Isoflavon*.mp.</w:t>
            </w:r>
          </w:p>
          <w:p w14:paraId="53B25EA2"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Isoflavones/</w:t>
            </w:r>
          </w:p>
          <w:p w14:paraId="7CE5415E"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Soybeans/</w:t>
            </w:r>
          </w:p>
          <w:p w14:paraId="0209AF29"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 protein.mp.</w:t>
            </w:r>
          </w:p>
          <w:p w14:paraId="48915CAF"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Soybean Proteins/</w:t>
            </w:r>
          </w:p>
          <w:p w14:paraId="0B9D868A"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Soy Foods/</w:t>
            </w:r>
          </w:p>
          <w:p w14:paraId="353F01E6"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Soy Milk/</w:t>
            </w:r>
          </w:p>
          <w:p w14:paraId="4D389D03"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 adj3 milk).mp. </w:t>
            </w:r>
          </w:p>
          <w:p w14:paraId="0FEC485F"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soybeans.mp.</w:t>
            </w:r>
          </w:p>
          <w:p w14:paraId="76A1148A"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 adj3 bean$).mp. </w:t>
            </w:r>
          </w:p>
          <w:p w14:paraId="1C9DDC89"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 food$.mp.</w:t>
            </w:r>
          </w:p>
          <w:p w14:paraId="6F22248C"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 adj3 beverage$).mp. </w:t>
            </w:r>
          </w:p>
          <w:p w14:paraId="0BE0F238"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isolated soy protein.mp.</w:t>
            </w:r>
          </w:p>
          <w:p w14:paraId="4FB8FC6D"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 protein isolate*.mp.</w:t>
            </w:r>
          </w:p>
          <w:p w14:paraId="06B8B047"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soya.mp.</w:t>
            </w:r>
          </w:p>
          <w:p w14:paraId="764F3CA0"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Phytoestrogens.mp.</w:t>
            </w:r>
          </w:p>
          <w:p w14:paraId="58D5C61A"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Tofu*.mp.</w:t>
            </w:r>
          </w:p>
          <w:p w14:paraId="1C1DB694"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Natto*.mp.</w:t>
            </w:r>
          </w:p>
          <w:p w14:paraId="3AF20B28"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Tempeh*.mp.</w:t>
            </w:r>
          </w:p>
          <w:p w14:paraId="72A2CAA1"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Miso*.mp.</w:t>
            </w:r>
          </w:p>
          <w:p w14:paraId="6A447F2B"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tofu/</w:t>
            </w:r>
          </w:p>
          <w:p w14:paraId="60CF780D"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fermented soybean/</w:t>
            </w:r>
          </w:p>
          <w:p w14:paraId="123D65FD"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genistein/</w:t>
            </w:r>
          </w:p>
          <w:p w14:paraId="587E5787"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genistein.mp.</w:t>
            </w:r>
          </w:p>
          <w:p w14:paraId="01F0ADDD"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genistin/</w:t>
            </w:r>
          </w:p>
          <w:p w14:paraId="094AA645"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genistin.mp.</w:t>
            </w:r>
          </w:p>
          <w:p w14:paraId="0FD95447"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daidzein/</w:t>
            </w:r>
          </w:p>
          <w:p w14:paraId="1F82DC89"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daidzein.mp.</w:t>
            </w:r>
          </w:p>
          <w:p w14:paraId="7A533990"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daidzin/</w:t>
            </w:r>
          </w:p>
          <w:p w14:paraId="65D43DF0"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daidzin.mp.</w:t>
            </w:r>
          </w:p>
          <w:p w14:paraId="1A5902B9"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equol/</w:t>
            </w:r>
          </w:p>
          <w:p w14:paraId="63CA2136"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equol.mp.</w:t>
            </w:r>
          </w:p>
          <w:p w14:paraId="5C6902AF"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glycitein/</w:t>
            </w:r>
          </w:p>
          <w:p w14:paraId="4398ED42"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glycitein.mp.</w:t>
            </w:r>
          </w:p>
          <w:p w14:paraId="5CD2D637"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glycitin.mp.</w:t>
            </w:r>
          </w:p>
          <w:p w14:paraId="1F70E2A2"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1 or 2 or 3 or 4 or 5 or 6 or 7 or 8 or 9 or 10 or 11 or 12 or 13 or 14 or 15 or 16 or 17 or 18 or 19 or 20 or 21 or 22 or 23 or 24 or 25 or 26 or 27 or 28 or 29 or 30 or 31 or 32 or 33 or 34 or 35 or 36</w:t>
            </w:r>
          </w:p>
          <w:p w14:paraId="48B334D9"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FSH.mp.</w:t>
            </w:r>
          </w:p>
          <w:p w14:paraId="1DFF3410"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follicle stimulating hormone.mp.</w:t>
            </w:r>
          </w:p>
          <w:p w14:paraId="627D0B5F"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endometrial thickness/</w:t>
            </w:r>
          </w:p>
          <w:p w14:paraId="722A393D"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endometrial.mp.</w:t>
            </w:r>
          </w:p>
          <w:p w14:paraId="58E2D16B"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endometrium/</w:t>
            </w:r>
          </w:p>
          <w:p w14:paraId="1088E43E"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endometrium.mp.</w:t>
            </w:r>
          </w:p>
          <w:p w14:paraId="6EA8E75A"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vaginal maturation.mp.</w:t>
            </w:r>
          </w:p>
          <w:p w14:paraId="60C056D0"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vaginal maturation index.mp.</w:t>
            </w:r>
          </w:p>
          <w:p w14:paraId="4DCF51CA"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e2.mp.</w:t>
            </w:r>
          </w:p>
          <w:p w14:paraId="25817F43"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estradiol/</w:t>
            </w:r>
          </w:p>
          <w:p w14:paraId="73FBEEC0"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estradiol.mp.</w:t>
            </w:r>
          </w:p>
          <w:p w14:paraId="23032B8C"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oestradiol.mp.</w:t>
            </w:r>
          </w:p>
          <w:p w14:paraId="4BAA4DA2"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estrogen/</w:t>
            </w:r>
          </w:p>
          <w:p w14:paraId="5F712D65"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estrogen.mp.</w:t>
            </w:r>
          </w:p>
          <w:p w14:paraId="13E76AF7"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oestrogen.mp.</w:t>
            </w:r>
          </w:p>
          <w:p w14:paraId="2FFF2F18"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lastRenderedPageBreak/>
              <w:t>38 or 39 or 40 or 41 or 42 or 43 or 44 or 45 or 46 or 47 or 48 or 49 or 50 or 51 or 52</w:t>
            </w:r>
          </w:p>
          <w:p w14:paraId="6BBE6962"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37 and 53</w:t>
            </w:r>
          </w:p>
          <w:p w14:paraId="02DDC140"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randomized controlled trial'/</w:t>
            </w:r>
          </w:p>
          <w:p w14:paraId="104B766A"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controlled clinical trial'/</w:t>
            </w:r>
          </w:p>
          <w:p w14:paraId="3A0A82E6"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random*'.ti,ab,tt.</w:t>
            </w:r>
          </w:p>
          <w:p w14:paraId="404C797C"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randomization'/</w:t>
            </w:r>
          </w:p>
          <w:p w14:paraId="50DD7245"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placebo.ti,ab,tt.</w:t>
            </w:r>
          </w:p>
          <w:p w14:paraId="5A75B44E"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(compare or compared or comparison).ti,tt.</w:t>
            </w:r>
          </w:p>
          <w:p w14:paraId="7092FC1C"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(evaluated or evaluate or evaluating or assessed or assess).ab.</w:t>
            </w:r>
          </w:p>
          <w:p w14:paraId="51DEADF7"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(compare or compared or comparing or comparison).ab.</w:t>
            </w:r>
          </w:p>
          <w:p w14:paraId="66C4B6DE"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61 and 62</w:t>
            </w:r>
          </w:p>
          <w:p w14:paraId="23A85032"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(open adj label).ti,ab,tt.</w:t>
            </w:r>
          </w:p>
          <w:p w14:paraId="0B195713"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((double or single or doubly or singly) adj (blind or blinded or blindly)).ti,ab,tt.</w:t>
            </w:r>
          </w:p>
          <w:p w14:paraId="662E1D43"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double blind procedure/</w:t>
            </w:r>
          </w:p>
          <w:p w14:paraId="1225775F"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(parallel adj group*).ti,ab,tt.</w:t>
            </w:r>
          </w:p>
          <w:p w14:paraId="42613DCB"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(crossover or "cross over").ti,ab,tt.</w:t>
            </w:r>
          </w:p>
          <w:p w14:paraId="278C7D1F"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((assign* or match or matched or allocation) adj6 (alternate or group or groups or intervention or interventions or patient or patients or subject or subjects or participant or participants)).ti,ab,tt.</w:t>
            </w:r>
          </w:p>
          <w:p w14:paraId="53A8E913"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(assigned or allocated).ti,ab,tt.</w:t>
            </w:r>
          </w:p>
          <w:p w14:paraId="12025D70"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(controlled adj8 (study or design or trial)).ti,ab,tt.</w:t>
            </w:r>
          </w:p>
          <w:p w14:paraId="7FC75BDD"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(volunteer or volunteers).ti,ab,tt.</w:t>
            </w:r>
          </w:p>
          <w:p w14:paraId="1E1C26BF"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human experiment/</w:t>
            </w:r>
          </w:p>
          <w:p w14:paraId="390731CC"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trial.ti,tt.</w:t>
            </w:r>
          </w:p>
          <w:p w14:paraId="640E32BA"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55 or 56 or 57 or 58 or 59 or 60 or 63 or 64 or 65 or 66 or 67 or 68 or 69 or 70 or 71 or 72 or 73 or 74</w:t>
            </w:r>
          </w:p>
          <w:p w14:paraId="0FBCFEB0"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(random* adj sampl* adj8 ("cross section*" or questionnaire* or survey or surveys or database or databases)).ti,ab,tt. not (comparative study/ or controlled study/ or "randomised controlled".ti,ab,tt. or "randomized controlled".ti,ab,tt. or "randomly assigned".ti,ab,tt.)</w:t>
            </w:r>
          </w:p>
          <w:p w14:paraId="608355BD"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cross-sectional study/ not (randomized controlled trial/ or controlled clinical study/ or controlled study/ or "randomised controlled".ti,ab,tt. or "randomized controlled".ti,ab,tt. or "control group".ti,ab,tt. or "control groups".ti,ab,tt.)</w:t>
            </w:r>
          </w:p>
          <w:p w14:paraId="297D2F85"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(("case control*" and random*) not ("randomised controlled" or "randomized controlled")).ti,ab,tt.</w:t>
            </w:r>
          </w:p>
          <w:p w14:paraId="4294BE75"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("systematic review" not (trial or study)).ti,tt.</w:t>
            </w:r>
          </w:p>
          <w:p w14:paraId="5F5B70BC"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(nonrandom* not random*).ti,ab,tt.</w:t>
            </w:r>
          </w:p>
          <w:p w14:paraId="5200BB28"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"random field*".ti,ab,tt.</w:t>
            </w:r>
          </w:p>
          <w:p w14:paraId="0118C5BA"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("random cluster" adj4 sampl*).ti,ab,tt.</w:t>
            </w:r>
          </w:p>
          <w:p w14:paraId="2E661C08"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(review.ab. and review.pt.) not trial.ti,tt.</w:t>
            </w:r>
          </w:p>
          <w:p w14:paraId="1E4E1FDF"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"we searched".ab. and (review.ti,tt. or review.pt.)</w:t>
            </w:r>
          </w:p>
          <w:p w14:paraId="36297F7F"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"update review".ab.</w:t>
            </w:r>
          </w:p>
          <w:p w14:paraId="710D0649"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(databases adj5 searched).ab.</w:t>
            </w:r>
          </w:p>
          <w:p w14:paraId="1BB70A45"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lastRenderedPageBreak/>
              <w:t>(rat or rats or mouse or mice or swine or porcine or murine or sheep or lambs or pigs or piglets or rabbit or rabbits or cat or cats or dog or dogs or cattle or bovine or monkey or monkeys or trout or marmoset*).ti,tt. and animal experiment/</w:t>
            </w:r>
          </w:p>
          <w:p w14:paraId="5811B455"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animal experiment/ not (human experiment/ or human/)</w:t>
            </w:r>
          </w:p>
          <w:p w14:paraId="3A4014B8"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76 or 77 or 78 or 79 or 80 or 81 or 82 or 83 or 84 or 85 or 86 or 87 or 88</w:t>
            </w:r>
          </w:p>
          <w:p w14:paraId="4767A9A4" w14:textId="77777777" w:rsidR="004A7E55" w:rsidRDefault="004A7E55">
            <w:pPr>
              <w:pStyle w:val="NormalWeb"/>
              <w:numPr>
                <w:ilvl w:val="0"/>
                <w:numId w:val="2"/>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75 not 89</w:t>
            </w:r>
          </w:p>
          <w:p w14:paraId="6EE3C766" w14:textId="77777777" w:rsidR="004A7E55" w:rsidRDefault="004A7E55">
            <w:pPr>
              <w:pStyle w:val="NormalWeb"/>
              <w:numPr>
                <w:ilvl w:val="0"/>
                <w:numId w:val="2"/>
              </w:numPr>
              <w:spacing w:before="0" w:beforeAutospacing="0" w:after="160" w:afterAutospacing="0"/>
              <w:ind w:left="360"/>
              <w:textAlignment w:val="baseline"/>
              <w:rPr>
                <w:rFonts w:ascii="Calibri" w:hAnsi="Calibri"/>
                <w:color w:val="000000"/>
                <w:sz w:val="16"/>
                <w:szCs w:val="16"/>
              </w:rPr>
            </w:pPr>
            <w:r>
              <w:rPr>
                <w:rFonts w:ascii="Calibri" w:hAnsi="Calibri"/>
                <w:color w:val="000000"/>
                <w:sz w:val="16"/>
                <w:szCs w:val="16"/>
              </w:rPr>
              <w:t>54 and 90</w:t>
            </w:r>
          </w:p>
        </w:tc>
        <w:tc>
          <w:tcPr>
            <w:tcW w:w="2976" w:type="dxa"/>
            <w:tcMar>
              <w:top w:w="0" w:type="dxa"/>
              <w:left w:w="108" w:type="dxa"/>
              <w:bottom w:w="0" w:type="dxa"/>
              <w:right w:w="108" w:type="dxa"/>
            </w:tcMar>
            <w:hideMark/>
          </w:tcPr>
          <w:p w14:paraId="3365978E"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lastRenderedPageBreak/>
              <w:t>soy.mp.</w:t>
            </w:r>
          </w:p>
          <w:p w14:paraId="5B73F408"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isoflavon*.mp.</w:t>
            </w:r>
          </w:p>
          <w:p w14:paraId="0A65C1C2"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Isoflavones/]</w:t>
            </w:r>
          </w:p>
          <w:p w14:paraId="7CC6E3B3"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Soybeans/]</w:t>
            </w:r>
          </w:p>
          <w:p w14:paraId="751A3B04"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 protein.mp.</w:t>
            </w:r>
          </w:p>
          <w:p w14:paraId="0A57055D"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Soybean Proteins/]</w:t>
            </w:r>
          </w:p>
          <w:p w14:paraId="47756C78"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Soy Foods/]</w:t>
            </w:r>
          </w:p>
          <w:p w14:paraId="7ECF0D75"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Soy Milk/]</w:t>
            </w:r>
          </w:p>
          <w:p w14:paraId="684447D9"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 adj3 milk).mp.</w:t>
            </w:r>
          </w:p>
          <w:p w14:paraId="1E8543E6"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soybeans.mp.</w:t>
            </w:r>
          </w:p>
          <w:p w14:paraId="798A8FE4"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 adj3 bean$).mp. </w:t>
            </w:r>
          </w:p>
          <w:p w14:paraId="53BF06A7"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 food$.mp.</w:t>
            </w:r>
          </w:p>
          <w:p w14:paraId="626F1300"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 adj3 beverage$).mp.</w:t>
            </w:r>
          </w:p>
          <w:p w14:paraId="5A38DB23"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isolated soy protein.mp.</w:t>
            </w:r>
          </w:p>
          <w:p w14:paraId="523BBC62"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 protein isolate*.mp.</w:t>
            </w:r>
          </w:p>
          <w:p w14:paraId="58B6E04E"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soya.mp.</w:t>
            </w:r>
          </w:p>
          <w:p w14:paraId="7AC7EEF8"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phytoestrogens.mp.</w:t>
            </w:r>
          </w:p>
          <w:p w14:paraId="632789BE"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Tofu*.mp.</w:t>
            </w:r>
          </w:p>
          <w:p w14:paraId="7EDC1C5B"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Natto*.mp.</w:t>
            </w:r>
          </w:p>
          <w:p w14:paraId="5D38C332"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Tempeh*.mp.</w:t>
            </w:r>
          </w:p>
          <w:p w14:paraId="65A543FB"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Miso*.mp.</w:t>
            </w:r>
          </w:p>
          <w:p w14:paraId="102DE6D4"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genistein/</w:t>
            </w:r>
          </w:p>
          <w:p w14:paraId="4BFD030B"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genistein.mp.</w:t>
            </w:r>
          </w:p>
          <w:p w14:paraId="446AA765"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genistin.mp.</w:t>
            </w:r>
          </w:p>
          <w:p w14:paraId="4AA4A4D5"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daidzein.mp.</w:t>
            </w:r>
          </w:p>
          <w:p w14:paraId="295462BC"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daidzin/</w:t>
            </w:r>
          </w:p>
          <w:p w14:paraId="255C9A98"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equol/</w:t>
            </w:r>
          </w:p>
          <w:p w14:paraId="6CA379F4"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equol.mp.</w:t>
            </w:r>
          </w:p>
          <w:p w14:paraId="568A8372"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glycitein.mp.</w:t>
            </w:r>
          </w:p>
          <w:p w14:paraId="1AE1855B"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glycitin.mp.</w:t>
            </w:r>
          </w:p>
          <w:p w14:paraId="58C5BED6"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1/30 OR</w:t>
            </w:r>
          </w:p>
          <w:p w14:paraId="3536FC39"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FSH.mp.</w:t>
            </w:r>
          </w:p>
          <w:p w14:paraId="1976E070"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Follicle Stimulating Hormone/</w:t>
            </w:r>
          </w:p>
          <w:p w14:paraId="008CF857"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follicle stimulating hormone.mp.</w:t>
            </w:r>
          </w:p>
          <w:p w14:paraId="3B1FD84E"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endometrial thickness.mp.</w:t>
            </w:r>
          </w:p>
          <w:p w14:paraId="4FB9F2BE"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endometrial.mp.</w:t>
            </w:r>
          </w:p>
          <w:p w14:paraId="2BA23020"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endometrium/</w:t>
            </w:r>
          </w:p>
          <w:p w14:paraId="081D11F2"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endometrium.mp.</w:t>
            </w:r>
          </w:p>
          <w:p w14:paraId="5E462DFB"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vaginal maturation.mp.</w:t>
            </w:r>
          </w:p>
          <w:p w14:paraId="455ED172"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vaginal maturation index.mp.</w:t>
            </w:r>
          </w:p>
          <w:p w14:paraId="6195E565"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E2.mp.</w:t>
            </w:r>
          </w:p>
          <w:p w14:paraId="4E8E2B82"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estradiol/</w:t>
            </w:r>
          </w:p>
          <w:p w14:paraId="3F27EF92"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estradiol.mp.</w:t>
            </w:r>
          </w:p>
          <w:p w14:paraId="7A1E899B"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oestradiol.mp.</w:t>
            </w:r>
          </w:p>
          <w:p w14:paraId="0091E9C9"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exp estrogen/</w:t>
            </w:r>
          </w:p>
          <w:p w14:paraId="78C27BD7"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estrogen.mp.</w:t>
            </w:r>
          </w:p>
          <w:p w14:paraId="5815CD4F"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oestrogen.mp.</w:t>
            </w:r>
          </w:p>
          <w:p w14:paraId="57722BC9" w14:textId="77777777" w:rsidR="004A7E55" w:rsidRDefault="004A7E55">
            <w:pPr>
              <w:pStyle w:val="NormalWeb"/>
              <w:numPr>
                <w:ilvl w:val="0"/>
                <w:numId w:val="3"/>
              </w:numPr>
              <w:spacing w:before="0" w:beforeAutospacing="0" w:after="0" w:afterAutospacing="0"/>
              <w:ind w:left="360"/>
              <w:textAlignment w:val="baseline"/>
              <w:rPr>
                <w:rFonts w:ascii="Calibri" w:hAnsi="Calibri"/>
                <w:color w:val="000000"/>
                <w:sz w:val="16"/>
                <w:szCs w:val="16"/>
              </w:rPr>
            </w:pPr>
            <w:r>
              <w:rPr>
                <w:rFonts w:ascii="Calibri" w:hAnsi="Calibri"/>
                <w:color w:val="000000"/>
                <w:sz w:val="16"/>
                <w:szCs w:val="16"/>
              </w:rPr>
              <w:t>32/47 OR</w:t>
            </w:r>
          </w:p>
          <w:p w14:paraId="5206A0ED" w14:textId="77777777" w:rsidR="004A7E55" w:rsidRDefault="004A7E55">
            <w:pPr>
              <w:pStyle w:val="NormalWeb"/>
              <w:numPr>
                <w:ilvl w:val="0"/>
                <w:numId w:val="3"/>
              </w:numPr>
              <w:spacing w:before="0" w:beforeAutospacing="0" w:after="160" w:afterAutospacing="0"/>
              <w:ind w:left="360"/>
              <w:textAlignment w:val="baseline"/>
              <w:rPr>
                <w:rFonts w:ascii="Calibri" w:hAnsi="Calibri"/>
                <w:color w:val="000000"/>
                <w:sz w:val="16"/>
                <w:szCs w:val="16"/>
              </w:rPr>
            </w:pPr>
            <w:r>
              <w:rPr>
                <w:rFonts w:ascii="Calibri" w:hAnsi="Calibri"/>
                <w:color w:val="000000"/>
                <w:sz w:val="16"/>
                <w:szCs w:val="16"/>
              </w:rPr>
              <w:t>31 AND 48</w:t>
            </w:r>
          </w:p>
        </w:tc>
      </w:tr>
    </w:tbl>
    <w:p w14:paraId="0F708A61" w14:textId="77777777" w:rsidR="004A7E55" w:rsidRDefault="004A7E55" w:rsidP="004A7E55"/>
    <w:p w14:paraId="46057FBF" w14:textId="2E2BEDB6" w:rsidR="004A7E55" w:rsidRDefault="004A7E55">
      <w:r>
        <w:br w:type="page"/>
      </w:r>
    </w:p>
    <w:p w14:paraId="6D04E183" w14:textId="63898360" w:rsidR="004A7E55" w:rsidRDefault="004A7E55" w:rsidP="00CB4744">
      <w:pPr>
        <w:pStyle w:val="Heading1"/>
      </w:pPr>
      <w:bookmarkStart w:id="1" w:name="_Toc152764285"/>
      <w:bookmarkStart w:id="2" w:name="_Toc153356542"/>
      <w:r w:rsidRPr="004A7E55">
        <w:rPr>
          <w:b/>
          <w:bCs/>
        </w:rPr>
        <w:lastRenderedPageBreak/>
        <w:t>Supplementa</w:t>
      </w:r>
      <w:r w:rsidR="006C3266">
        <w:rPr>
          <w:b/>
          <w:bCs/>
        </w:rPr>
        <w:t>l</w:t>
      </w:r>
      <w:r w:rsidRPr="004A7E55">
        <w:rPr>
          <w:b/>
          <w:bCs/>
        </w:rPr>
        <w:t xml:space="preserve"> Table 2.</w:t>
      </w:r>
      <w:r>
        <w:t xml:space="preserve"> P</w:t>
      </w:r>
      <w:r w:rsidR="005A426B">
        <w:t>I</w:t>
      </w:r>
      <w:r>
        <w:t>COTS framework of the search strategy</w:t>
      </w:r>
      <w:bookmarkEnd w:id="1"/>
      <w:bookmarkEnd w:id="2"/>
    </w:p>
    <w:p w14:paraId="4ACE5B60" w14:textId="69944C50" w:rsidR="004A7E55" w:rsidRDefault="004A7E55"/>
    <w:tbl>
      <w:tblPr>
        <w:tblW w:w="9918" w:type="dxa"/>
        <w:tblCellMar>
          <w:top w:w="15" w:type="dxa"/>
          <w:left w:w="15" w:type="dxa"/>
          <w:bottom w:w="15" w:type="dxa"/>
          <w:right w:w="15" w:type="dxa"/>
        </w:tblCellMar>
        <w:tblLook w:val="04A0" w:firstRow="1" w:lastRow="0" w:firstColumn="1" w:lastColumn="0" w:noHBand="0" w:noVBand="1"/>
      </w:tblPr>
      <w:tblGrid>
        <w:gridCol w:w="1320"/>
        <w:gridCol w:w="1656"/>
        <w:gridCol w:w="1532"/>
        <w:gridCol w:w="2433"/>
        <w:gridCol w:w="1276"/>
        <w:gridCol w:w="1701"/>
      </w:tblGrid>
      <w:tr w:rsidR="004A7E55" w:rsidRPr="004A7E55" w14:paraId="6B148734" w14:textId="77777777" w:rsidTr="004A7E55">
        <w:tc>
          <w:tcPr>
            <w:tcW w:w="9918" w:type="dxa"/>
            <w:gridSpan w:val="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8DC6B7D" w14:textId="77777777" w:rsidR="004A7E55" w:rsidRPr="00217E3B" w:rsidRDefault="004A7E55" w:rsidP="004A7E55">
            <w:pPr>
              <w:rPr>
                <w:sz w:val="20"/>
                <w:szCs w:val="20"/>
              </w:rPr>
            </w:pPr>
            <w:r w:rsidRPr="00217E3B">
              <w:rPr>
                <w:rFonts w:ascii="Calibri" w:hAnsi="Calibri"/>
                <w:b/>
                <w:bCs/>
                <w:color w:val="000000"/>
                <w:sz w:val="20"/>
                <w:szCs w:val="20"/>
              </w:rPr>
              <w:t>PICOTS framework</w:t>
            </w:r>
            <w:r w:rsidRPr="00217E3B">
              <w:rPr>
                <w:rFonts w:ascii="Calibri" w:hAnsi="Calibri"/>
                <w:b/>
                <w:bCs/>
                <w:color w:val="000000"/>
                <w:sz w:val="20"/>
                <w:szCs w:val="20"/>
                <w:vertAlign w:val="superscript"/>
              </w:rPr>
              <w:t xml:space="preserve"> </w:t>
            </w:r>
            <w:r w:rsidRPr="00217E3B">
              <w:rPr>
                <w:rFonts w:ascii="Calibri" w:hAnsi="Calibri"/>
                <w:b/>
                <w:bCs/>
                <w:color w:val="000000"/>
                <w:sz w:val="20"/>
                <w:szCs w:val="20"/>
              </w:rPr>
              <w:t>defined in the present systematic review and meta-analysis </w:t>
            </w:r>
          </w:p>
        </w:tc>
      </w:tr>
      <w:tr w:rsidR="007C5A3D" w:rsidRPr="004A7E55" w14:paraId="3E40A967" w14:textId="77777777" w:rsidTr="004A7E55">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93CC35" w14:textId="77777777" w:rsidR="004A7E55" w:rsidRPr="00217E3B" w:rsidRDefault="004A7E55" w:rsidP="004A7E55">
            <w:pPr>
              <w:rPr>
                <w:sz w:val="20"/>
                <w:szCs w:val="20"/>
              </w:rPr>
            </w:pPr>
            <w:r w:rsidRPr="00217E3B">
              <w:rPr>
                <w:rFonts w:ascii="Calibri" w:hAnsi="Calibri"/>
                <w:b/>
                <w:bCs/>
                <w:color w:val="000000"/>
                <w:sz w:val="20"/>
                <w:szCs w:val="20"/>
              </w:rPr>
              <w:t>Participants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A0DB989" w14:textId="77777777" w:rsidR="004A7E55" w:rsidRPr="00217E3B" w:rsidRDefault="004A7E55" w:rsidP="004A7E55">
            <w:pPr>
              <w:rPr>
                <w:sz w:val="20"/>
                <w:szCs w:val="20"/>
              </w:rPr>
            </w:pPr>
            <w:r w:rsidRPr="00217E3B">
              <w:rPr>
                <w:rFonts w:ascii="Calibri" w:hAnsi="Calibri"/>
                <w:b/>
                <w:bCs/>
                <w:color w:val="000000"/>
                <w:sz w:val="20"/>
                <w:szCs w:val="20"/>
              </w:rPr>
              <w:t>Interventions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93A404" w14:textId="77777777" w:rsidR="004A7E55" w:rsidRPr="00217E3B" w:rsidRDefault="004A7E55" w:rsidP="004A7E55">
            <w:pPr>
              <w:rPr>
                <w:sz w:val="20"/>
                <w:szCs w:val="20"/>
              </w:rPr>
            </w:pPr>
            <w:r w:rsidRPr="00217E3B">
              <w:rPr>
                <w:rFonts w:ascii="Calibri" w:hAnsi="Calibri"/>
                <w:b/>
                <w:bCs/>
                <w:color w:val="000000"/>
                <w:sz w:val="20"/>
                <w:szCs w:val="20"/>
              </w:rPr>
              <w:t>Comparators</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A083958" w14:textId="77777777" w:rsidR="004A7E55" w:rsidRPr="00217E3B" w:rsidRDefault="004A7E55" w:rsidP="004A7E55">
            <w:pPr>
              <w:rPr>
                <w:sz w:val="20"/>
                <w:szCs w:val="20"/>
              </w:rPr>
            </w:pPr>
            <w:r w:rsidRPr="00217E3B">
              <w:rPr>
                <w:rFonts w:ascii="Calibri" w:hAnsi="Calibri"/>
                <w:b/>
                <w:bCs/>
                <w:color w:val="000000"/>
                <w:sz w:val="20"/>
                <w:szCs w:val="20"/>
              </w:rPr>
              <w:t>Outcomes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88CC39A" w14:textId="77777777" w:rsidR="004A7E55" w:rsidRPr="00217E3B" w:rsidRDefault="004A7E55" w:rsidP="004A7E55">
            <w:pPr>
              <w:rPr>
                <w:sz w:val="20"/>
                <w:szCs w:val="20"/>
              </w:rPr>
            </w:pPr>
            <w:r w:rsidRPr="00217E3B">
              <w:rPr>
                <w:rFonts w:ascii="Calibri" w:hAnsi="Calibri"/>
                <w:b/>
                <w:bCs/>
                <w:color w:val="000000"/>
                <w:sz w:val="20"/>
                <w:szCs w:val="20"/>
              </w:rPr>
              <w:t>Time</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B38D499" w14:textId="77777777" w:rsidR="004A7E55" w:rsidRPr="00217E3B" w:rsidRDefault="004A7E55" w:rsidP="004A7E55">
            <w:pPr>
              <w:rPr>
                <w:sz w:val="20"/>
                <w:szCs w:val="20"/>
              </w:rPr>
            </w:pPr>
            <w:r w:rsidRPr="00217E3B">
              <w:rPr>
                <w:rFonts w:ascii="Calibri" w:hAnsi="Calibri"/>
                <w:b/>
                <w:bCs/>
                <w:color w:val="000000"/>
                <w:sz w:val="20"/>
                <w:szCs w:val="20"/>
              </w:rPr>
              <w:t>Study design</w:t>
            </w:r>
          </w:p>
        </w:tc>
      </w:tr>
      <w:tr w:rsidR="007C5A3D" w:rsidRPr="004A7E55" w14:paraId="583A862D" w14:textId="77777777" w:rsidTr="004A7E55">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1AFBA9F" w14:textId="4F89E26E" w:rsidR="004A7E55" w:rsidRPr="00217E3B" w:rsidRDefault="004A7E55" w:rsidP="004A7E55">
            <w:pPr>
              <w:rPr>
                <w:sz w:val="20"/>
                <w:szCs w:val="20"/>
              </w:rPr>
            </w:pPr>
            <w:r w:rsidRPr="00217E3B">
              <w:rPr>
                <w:rFonts w:ascii="Calibri" w:hAnsi="Calibri"/>
                <w:color w:val="000000"/>
                <w:sz w:val="20"/>
                <w:szCs w:val="20"/>
              </w:rPr>
              <w:t xml:space="preserve">Post-menopausal </w:t>
            </w:r>
            <w:r w:rsidR="00553A30">
              <w:rPr>
                <w:rFonts w:ascii="Calibri" w:hAnsi="Calibri"/>
                <w:color w:val="000000"/>
                <w:sz w:val="20"/>
                <w:szCs w:val="20"/>
              </w:rPr>
              <w:t>women</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97364F" w14:textId="77777777" w:rsidR="004A7E55" w:rsidRPr="00217E3B" w:rsidRDefault="004A7E55" w:rsidP="004A7E55">
            <w:pPr>
              <w:rPr>
                <w:sz w:val="20"/>
                <w:szCs w:val="20"/>
              </w:rPr>
            </w:pPr>
            <w:r w:rsidRPr="00217E3B">
              <w:rPr>
                <w:rFonts w:ascii="Calibri" w:hAnsi="Calibri"/>
                <w:color w:val="000000"/>
                <w:sz w:val="20"/>
                <w:szCs w:val="20"/>
              </w:rPr>
              <w:t>Dietary interventions containing isoflavones from soy</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0B58A8" w14:textId="5056B093" w:rsidR="004A7E55" w:rsidRPr="00217E3B" w:rsidRDefault="004A7E55" w:rsidP="004A7E55">
            <w:pPr>
              <w:rPr>
                <w:sz w:val="20"/>
                <w:szCs w:val="20"/>
              </w:rPr>
            </w:pPr>
            <w:r w:rsidRPr="00217E3B">
              <w:rPr>
                <w:rFonts w:ascii="Calibri" w:hAnsi="Calibri"/>
                <w:color w:val="000000"/>
                <w:sz w:val="20"/>
                <w:szCs w:val="20"/>
              </w:rPr>
              <w:t>Suitable non-isoflavone containing control</w:t>
            </w:r>
          </w:p>
        </w:tc>
        <w:tc>
          <w:tcPr>
            <w:tcW w:w="0" w:type="auto"/>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754E459" w14:textId="27403D6E" w:rsidR="004A7E55" w:rsidRPr="00217E3B" w:rsidRDefault="0036033F" w:rsidP="004A7E55">
            <w:pPr>
              <w:rPr>
                <w:sz w:val="20"/>
                <w:szCs w:val="20"/>
              </w:rPr>
            </w:pPr>
            <w:r>
              <w:rPr>
                <w:rFonts w:ascii="Calibri" w:hAnsi="Calibri"/>
                <w:color w:val="000000"/>
                <w:sz w:val="20"/>
                <w:szCs w:val="20"/>
              </w:rPr>
              <w:t>E</w:t>
            </w:r>
            <w:r w:rsidRPr="00217E3B">
              <w:rPr>
                <w:rFonts w:ascii="Calibri" w:hAnsi="Calibri"/>
                <w:color w:val="000000"/>
                <w:sz w:val="20"/>
                <w:szCs w:val="20"/>
              </w:rPr>
              <w:t>ndometrial thickness</w:t>
            </w:r>
            <w:r>
              <w:rPr>
                <w:rFonts w:ascii="Calibri" w:hAnsi="Calibri"/>
                <w:color w:val="000000"/>
                <w:sz w:val="20"/>
                <w:szCs w:val="20"/>
              </w:rPr>
              <w:t>, v</w:t>
            </w:r>
            <w:r w:rsidR="004A7E55" w:rsidRPr="00217E3B">
              <w:rPr>
                <w:rFonts w:ascii="Calibri" w:hAnsi="Calibri"/>
                <w:color w:val="000000"/>
                <w:sz w:val="20"/>
                <w:szCs w:val="20"/>
              </w:rPr>
              <w:t>aginal maturation index, levels of follicle-stimulating hormone (FSH) and levels of estradiol, mean difference and 95% confidence intervals</w:t>
            </w:r>
          </w:p>
        </w:tc>
        <w:tc>
          <w:tcPr>
            <w:tcW w:w="127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EC8F077" w14:textId="77777777" w:rsidR="004A7E55" w:rsidRPr="00217E3B" w:rsidRDefault="004A7E55" w:rsidP="004A7E55">
            <w:pPr>
              <w:rPr>
                <w:sz w:val="20"/>
                <w:szCs w:val="20"/>
              </w:rPr>
            </w:pPr>
            <w:r w:rsidRPr="00217E3B">
              <w:rPr>
                <w:rFonts w:ascii="Calibri" w:hAnsi="Calibri"/>
                <w:color w:val="000000"/>
                <w:sz w:val="20"/>
                <w:szCs w:val="20"/>
              </w:rPr>
              <w:t>≥3 months</w:t>
            </w:r>
          </w:p>
        </w:tc>
        <w:tc>
          <w:tcPr>
            <w:tcW w:w="170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DBDDFAB" w14:textId="77777777" w:rsidR="004A7E55" w:rsidRPr="00217E3B" w:rsidRDefault="004A7E55" w:rsidP="004A7E55">
            <w:pPr>
              <w:rPr>
                <w:sz w:val="20"/>
                <w:szCs w:val="20"/>
              </w:rPr>
            </w:pPr>
            <w:r w:rsidRPr="00217E3B">
              <w:rPr>
                <w:rFonts w:ascii="Calibri" w:hAnsi="Calibri"/>
                <w:color w:val="000000"/>
                <w:sz w:val="20"/>
                <w:szCs w:val="20"/>
              </w:rPr>
              <w:t>Randomized controlled trials in humans</w:t>
            </w:r>
          </w:p>
        </w:tc>
      </w:tr>
    </w:tbl>
    <w:p w14:paraId="583A4B21" w14:textId="77777777" w:rsidR="004A7E55" w:rsidRPr="004A7E55" w:rsidRDefault="004A7E55" w:rsidP="004A7E55">
      <w:pPr>
        <w:rPr>
          <w:sz w:val="18"/>
          <w:szCs w:val="18"/>
        </w:rPr>
      </w:pPr>
      <w:r w:rsidRPr="004A7E55">
        <w:rPr>
          <w:rFonts w:ascii="Calibri" w:hAnsi="Calibri"/>
          <w:color w:val="000000"/>
          <w:sz w:val="16"/>
          <w:szCs w:val="16"/>
        </w:rPr>
        <w:t>PICOTS, participants, interventions, comparators, outcomes, time and study design </w:t>
      </w:r>
    </w:p>
    <w:p w14:paraId="654F81D4" w14:textId="47D7325B" w:rsidR="004A7E55" w:rsidRPr="00CB4744" w:rsidRDefault="004A7E55">
      <w:pPr>
        <w:sectPr w:rsidR="004A7E55" w:rsidRPr="00CB4744" w:rsidSect="00041C4E">
          <w:footerReference w:type="even" r:id="rId8"/>
          <w:footerReference w:type="default" r:id="rId9"/>
          <w:pgSz w:w="12240" w:h="15840"/>
          <w:pgMar w:top="1440" w:right="1440" w:bottom="1440" w:left="1440" w:header="708" w:footer="708" w:gutter="0"/>
          <w:cols w:space="708"/>
          <w:titlePg/>
          <w:docGrid w:linePitch="360"/>
        </w:sectPr>
      </w:pPr>
      <w:r>
        <w:br w:type="page"/>
      </w:r>
    </w:p>
    <w:p w14:paraId="60B3D85C" w14:textId="564FF298" w:rsidR="004A7E55" w:rsidRDefault="004A7E55" w:rsidP="00CB4744">
      <w:pPr>
        <w:pStyle w:val="Heading1"/>
      </w:pPr>
      <w:bookmarkStart w:id="3" w:name="_Toc152764286"/>
      <w:bookmarkStart w:id="4" w:name="_Toc153356543"/>
      <w:r w:rsidRPr="004A7E55">
        <w:rPr>
          <w:b/>
          <w:bCs/>
        </w:rPr>
        <w:lastRenderedPageBreak/>
        <w:t>Supplementa</w:t>
      </w:r>
      <w:r w:rsidR="006C3266">
        <w:rPr>
          <w:b/>
          <w:bCs/>
        </w:rPr>
        <w:t>l</w:t>
      </w:r>
      <w:r w:rsidRPr="004A7E55">
        <w:rPr>
          <w:b/>
          <w:bCs/>
        </w:rPr>
        <w:t xml:space="preserve"> Table 3.</w:t>
      </w:r>
      <w:r>
        <w:t xml:space="preserve"> Table of </w:t>
      </w:r>
      <w:r w:rsidR="0036033F">
        <w:t>c</w:t>
      </w:r>
      <w:r>
        <w:t>haracteristics of the randomized controlled trials assess</w:t>
      </w:r>
      <w:r w:rsidR="0036033F">
        <w:t>ing</w:t>
      </w:r>
      <w:r>
        <w:t xml:space="preserve"> the effect of soy isoflavones on measures of estrogenicity</w:t>
      </w:r>
      <w:bookmarkEnd w:id="3"/>
      <w:bookmarkEnd w:id="4"/>
      <w:r>
        <w:t xml:space="preserve"> </w:t>
      </w:r>
    </w:p>
    <w:p w14:paraId="1A0E3717" w14:textId="77777777" w:rsidR="004A7E55" w:rsidRDefault="004A7E55"/>
    <w:p w14:paraId="01F00977" w14:textId="62B4EDDA" w:rsidR="004A7E55" w:rsidRDefault="00871EA1">
      <w:r>
        <w:rPr>
          <w:noProof/>
        </w:rPr>
        <w:drawing>
          <wp:inline distT="0" distB="0" distL="0" distR="0" wp14:anchorId="5215B590" wp14:editId="2B78A8B1">
            <wp:extent cx="8395970" cy="4100513"/>
            <wp:effectExtent l="0" t="0" r="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rotWithShape="1">
                    <a:blip r:embed="rId10">
                      <a:extLst>
                        <a:ext uri="{28A0092B-C50C-407E-A947-70E740481C1C}">
                          <a14:useLocalDpi xmlns:a14="http://schemas.microsoft.com/office/drawing/2010/main" val="0"/>
                        </a:ext>
                      </a:extLst>
                    </a:blip>
                    <a:srcRect l="2104" t="8577" r="2677" b="41993"/>
                    <a:stretch/>
                  </pic:blipFill>
                  <pic:spPr bwMode="auto">
                    <a:xfrm>
                      <a:off x="0" y="0"/>
                      <a:ext cx="8415773" cy="4110185"/>
                    </a:xfrm>
                    <a:prstGeom prst="rect">
                      <a:avLst/>
                    </a:prstGeom>
                    <a:ln>
                      <a:noFill/>
                    </a:ln>
                    <a:extLst>
                      <a:ext uri="{53640926-AAD7-44D8-BBD7-CCE9431645EC}">
                        <a14:shadowObscured xmlns:a14="http://schemas.microsoft.com/office/drawing/2010/main"/>
                      </a:ext>
                    </a:extLst>
                  </pic:spPr>
                </pic:pic>
              </a:graphicData>
            </a:graphic>
          </wp:inline>
        </w:drawing>
      </w:r>
    </w:p>
    <w:p w14:paraId="6048A57F" w14:textId="77777777" w:rsidR="00871EA1" w:rsidRDefault="00871EA1"/>
    <w:p w14:paraId="06D0F4F4" w14:textId="77777777" w:rsidR="00871EA1" w:rsidRDefault="00871EA1"/>
    <w:p w14:paraId="766DB6A1" w14:textId="77777777" w:rsidR="00871EA1" w:rsidRDefault="00871EA1"/>
    <w:p w14:paraId="3C50E73A" w14:textId="77777777" w:rsidR="00871EA1" w:rsidRDefault="00871EA1"/>
    <w:p w14:paraId="1507CC61" w14:textId="77777777" w:rsidR="00871EA1" w:rsidRDefault="00871EA1"/>
    <w:p w14:paraId="77349BB6" w14:textId="77777777" w:rsidR="00871EA1" w:rsidRDefault="00871EA1"/>
    <w:p w14:paraId="446A2DC1" w14:textId="77777777" w:rsidR="00871EA1" w:rsidRDefault="00871EA1"/>
    <w:p w14:paraId="58E1F771" w14:textId="342022BA" w:rsidR="00871EA1" w:rsidRDefault="00D56B4F">
      <w:r>
        <w:rPr>
          <w:noProof/>
        </w:rPr>
        <w:drawing>
          <wp:inline distT="0" distB="0" distL="0" distR="0" wp14:anchorId="4FE11176" wp14:editId="56B416DD">
            <wp:extent cx="8386445" cy="4848447"/>
            <wp:effectExtent l="0" t="0" r="0" b="317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rotWithShape="1">
                    <a:blip r:embed="rId11">
                      <a:extLst>
                        <a:ext uri="{28A0092B-C50C-407E-A947-70E740481C1C}">
                          <a14:useLocalDpi xmlns:a14="http://schemas.microsoft.com/office/drawing/2010/main" val="0"/>
                        </a:ext>
                      </a:extLst>
                    </a:blip>
                    <a:srcRect l="2068" t="8554" r="2823" b="37926"/>
                    <a:stretch/>
                  </pic:blipFill>
                  <pic:spPr bwMode="auto">
                    <a:xfrm>
                      <a:off x="0" y="0"/>
                      <a:ext cx="8404279" cy="4858757"/>
                    </a:xfrm>
                    <a:prstGeom prst="rect">
                      <a:avLst/>
                    </a:prstGeom>
                    <a:ln>
                      <a:noFill/>
                    </a:ln>
                    <a:extLst>
                      <a:ext uri="{53640926-AAD7-44D8-BBD7-CCE9431645EC}">
                        <a14:shadowObscured xmlns:a14="http://schemas.microsoft.com/office/drawing/2010/main"/>
                      </a:ext>
                    </a:extLst>
                  </pic:spPr>
                </pic:pic>
              </a:graphicData>
            </a:graphic>
          </wp:inline>
        </w:drawing>
      </w:r>
    </w:p>
    <w:p w14:paraId="08B2F565" w14:textId="77777777" w:rsidR="00871EA1" w:rsidRDefault="00871EA1"/>
    <w:p w14:paraId="5753FBE4" w14:textId="77777777" w:rsidR="00871EA1" w:rsidRDefault="00871EA1"/>
    <w:p w14:paraId="4E735D60" w14:textId="77777777" w:rsidR="00871EA1" w:rsidRDefault="00871EA1"/>
    <w:p w14:paraId="276E40EE" w14:textId="77777777" w:rsidR="00871EA1" w:rsidRDefault="00871EA1"/>
    <w:p w14:paraId="455DC67B" w14:textId="77777777" w:rsidR="00871EA1" w:rsidRDefault="00871EA1"/>
    <w:p w14:paraId="02F2A4A9" w14:textId="6F089132" w:rsidR="00E0654A" w:rsidRDefault="00E0654A">
      <w:r>
        <w:rPr>
          <w:noProof/>
        </w:rPr>
        <w:lastRenderedPageBreak/>
        <w:drawing>
          <wp:inline distT="0" distB="0" distL="0" distR="0" wp14:anchorId="7D152EE4" wp14:editId="2A759450">
            <wp:extent cx="8360410" cy="4527932"/>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rotWithShape="1">
                    <a:blip r:embed="rId12">
                      <a:extLst>
                        <a:ext uri="{28A0092B-C50C-407E-A947-70E740481C1C}">
                          <a14:useLocalDpi xmlns:a14="http://schemas.microsoft.com/office/drawing/2010/main" val="0"/>
                        </a:ext>
                      </a:extLst>
                    </a:blip>
                    <a:srcRect l="1983" t="8310" r="2818" b="42965"/>
                    <a:stretch/>
                  </pic:blipFill>
                  <pic:spPr bwMode="auto">
                    <a:xfrm>
                      <a:off x="0" y="0"/>
                      <a:ext cx="8416994" cy="4558578"/>
                    </a:xfrm>
                    <a:prstGeom prst="rect">
                      <a:avLst/>
                    </a:prstGeom>
                    <a:ln>
                      <a:noFill/>
                    </a:ln>
                    <a:extLst>
                      <a:ext uri="{53640926-AAD7-44D8-BBD7-CCE9431645EC}">
                        <a14:shadowObscured xmlns:a14="http://schemas.microsoft.com/office/drawing/2010/main"/>
                      </a:ext>
                    </a:extLst>
                  </pic:spPr>
                </pic:pic>
              </a:graphicData>
            </a:graphic>
          </wp:inline>
        </w:drawing>
      </w:r>
    </w:p>
    <w:p w14:paraId="6BC1F56C" w14:textId="006EEE91" w:rsidR="00E0654A" w:rsidRDefault="00E0654A">
      <w:r>
        <w:rPr>
          <w:noProof/>
        </w:rPr>
        <w:lastRenderedPageBreak/>
        <w:drawing>
          <wp:inline distT="0" distB="0" distL="0" distR="0" wp14:anchorId="034A56A4" wp14:editId="6A3BEF3E">
            <wp:extent cx="8488680" cy="431850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rotWithShape="1">
                    <a:blip r:embed="rId13">
                      <a:extLst>
                        <a:ext uri="{28A0092B-C50C-407E-A947-70E740481C1C}">
                          <a14:useLocalDpi xmlns:a14="http://schemas.microsoft.com/office/drawing/2010/main" val="0"/>
                        </a:ext>
                      </a:extLst>
                    </a:blip>
                    <a:srcRect l="2093" t="8493" r="2872" b="47128"/>
                    <a:stretch/>
                  </pic:blipFill>
                  <pic:spPr bwMode="auto">
                    <a:xfrm>
                      <a:off x="0" y="0"/>
                      <a:ext cx="8510305" cy="4329504"/>
                    </a:xfrm>
                    <a:prstGeom prst="rect">
                      <a:avLst/>
                    </a:prstGeom>
                    <a:ln>
                      <a:noFill/>
                    </a:ln>
                    <a:extLst>
                      <a:ext uri="{53640926-AAD7-44D8-BBD7-CCE9431645EC}">
                        <a14:shadowObscured xmlns:a14="http://schemas.microsoft.com/office/drawing/2010/main"/>
                      </a:ext>
                    </a:extLst>
                  </pic:spPr>
                </pic:pic>
              </a:graphicData>
            </a:graphic>
          </wp:inline>
        </w:drawing>
      </w:r>
    </w:p>
    <w:p w14:paraId="5CCE84A1" w14:textId="300C2F37" w:rsidR="00E0654A" w:rsidRDefault="00E0654A"/>
    <w:p w14:paraId="5EA3E146" w14:textId="78DD2943" w:rsidR="00E0654A" w:rsidRDefault="00E0654A">
      <w:pPr>
        <w:rPr>
          <w:noProof/>
        </w:rPr>
      </w:pPr>
    </w:p>
    <w:p w14:paraId="5784F4F0" w14:textId="363879CE" w:rsidR="000E4EDA" w:rsidRDefault="000E4EDA">
      <w:pPr>
        <w:rPr>
          <w:noProof/>
        </w:rPr>
      </w:pPr>
    </w:p>
    <w:p w14:paraId="2FA5AEF3" w14:textId="02357553" w:rsidR="000E4EDA" w:rsidRDefault="000E4EDA">
      <w:pPr>
        <w:rPr>
          <w:noProof/>
        </w:rPr>
      </w:pPr>
    </w:p>
    <w:p w14:paraId="57E2AAD9" w14:textId="2DC11B6E" w:rsidR="000E4EDA" w:rsidRDefault="000E4EDA">
      <w:pPr>
        <w:rPr>
          <w:noProof/>
        </w:rPr>
      </w:pPr>
    </w:p>
    <w:p w14:paraId="64461836" w14:textId="701BB3DE" w:rsidR="000E4EDA" w:rsidRDefault="000E4EDA">
      <w:pPr>
        <w:rPr>
          <w:noProof/>
        </w:rPr>
      </w:pPr>
    </w:p>
    <w:p w14:paraId="71D04D32" w14:textId="5F2E799D" w:rsidR="000E4EDA" w:rsidRDefault="000E4EDA">
      <w:pPr>
        <w:rPr>
          <w:noProof/>
        </w:rPr>
      </w:pPr>
    </w:p>
    <w:p w14:paraId="14FC5F05" w14:textId="30D5F445" w:rsidR="000E4EDA" w:rsidRDefault="000E4EDA">
      <w:pPr>
        <w:rPr>
          <w:noProof/>
        </w:rPr>
      </w:pPr>
    </w:p>
    <w:p w14:paraId="1D8A2D98" w14:textId="5903D7F7" w:rsidR="000E4EDA" w:rsidRDefault="000E4EDA">
      <w:pPr>
        <w:rPr>
          <w:noProof/>
        </w:rPr>
      </w:pPr>
    </w:p>
    <w:p w14:paraId="0380FDF8" w14:textId="3D4E6019" w:rsidR="000E4EDA" w:rsidRDefault="007B71F1">
      <w:pPr>
        <w:rPr>
          <w:noProof/>
        </w:rPr>
      </w:pPr>
      <w:r>
        <w:rPr>
          <w:noProof/>
        </w:rPr>
        <w:lastRenderedPageBreak/>
        <w:drawing>
          <wp:inline distT="0" distB="0" distL="0" distR="0" wp14:anchorId="02C97D59" wp14:editId="5A99A334">
            <wp:extent cx="8466312" cy="4020855"/>
            <wp:effectExtent l="0" t="0" r="5080" b="508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rotWithShape="1">
                    <a:blip r:embed="rId14">
                      <a:extLst>
                        <a:ext uri="{28A0092B-C50C-407E-A947-70E740481C1C}">
                          <a14:useLocalDpi xmlns:a14="http://schemas.microsoft.com/office/drawing/2010/main" val="0"/>
                        </a:ext>
                      </a:extLst>
                    </a:blip>
                    <a:srcRect l="2744" t="6637" r="2798" b="70063"/>
                    <a:stretch/>
                  </pic:blipFill>
                  <pic:spPr bwMode="auto">
                    <a:xfrm>
                      <a:off x="0" y="0"/>
                      <a:ext cx="8500562" cy="4037121"/>
                    </a:xfrm>
                    <a:prstGeom prst="rect">
                      <a:avLst/>
                    </a:prstGeom>
                    <a:ln>
                      <a:noFill/>
                    </a:ln>
                    <a:extLst>
                      <a:ext uri="{53640926-AAD7-44D8-BBD7-CCE9431645EC}">
                        <a14:shadowObscured xmlns:a14="http://schemas.microsoft.com/office/drawing/2010/main"/>
                      </a:ext>
                    </a:extLst>
                  </pic:spPr>
                </pic:pic>
              </a:graphicData>
            </a:graphic>
          </wp:inline>
        </w:drawing>
      </w:r>
    </w:p>
    <w:p w14:paraId="205749A3" w14:textId="4FB0B50D" w:rsidR="000E4EDA" w:rsidRDefault="000E4EDA">
      <w:pPr>
        <w:rPr>
          <w:noProof/>
        </w:rPr>
      </w:pPr>
    </w:p>
    <w:p w14:paraId="491E8E76" w14:textId="344C1D6F" w:rsidR="000E4EDA" w:rsidRDefault="000E4EDA">
      <w:pPr>
        <w:rPr>
          <w:noProof/>
        </w:rPr>
      </w:pPr>
    </w:p>
    <w:p w14:paraId="6711F99F" w14:textId="77777777" w:rsidR="000E4EDA" w:rsidRDefault="000E4EDA"/>
    <w:p w14:paraId="18690D31" w14:textId="339CDD2A" w:rsidR="00E0654A" w:rsidRDefault="000E4EDA">
      <w:r>
        <w:rPr>
          <w:noProof/>
        </w:rPr>
        <w:lastRenderedPageBreak/>
        <w:drawing>
          <wp:inline distT="0" distB="0" distL="0" distR="0" wp14:anchorId="23DD554C" wp14:editId="1442E0BB">
            <wp:extent cx="8488680" cy="42672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rotWithShape="1">
                    <a:blip r:embed="rId15">
                      <a:extLst>
                        <a:ext uri="{28A0092B-C50C-407E-A947-70E740481C1C}">
                          <a14:useLocalDpi xmlns:a14="http://schemas.microsoft.com/office/drawing/2010/main" val="0"/>
                        </a:ext>
                      </a:extLst>
                    </a:blip>
                    <a:srcRect l="2012" t="8520" r="2787" b="43187"/>
                    <a:stretch/>
                  </pic:blipFill>
                  <pic:spPr bwMode="auto">
                    <a:xfrm>
                      <a:off x="0" y="0"/>
                      <a:ext cx="8493532" cy="4269639"/>
                    </a:xfrm>
                    <a:prstGeom prst="rect">
                      <a:avLst/>
                    </a:prstGeom>
                    <a:ln>
                      <a:noFill/>
                    </a:ln>
                    <a:extLst>
                      <a:ext uri="{53640926-AAD7-44D8-BBD7-CCE9431645EC}">
                        <a14:shadowObscured xmlns:a14="http://schemas.microsoft.com/office/drawing/2010/main"/>
                      </a:ext>
                    </a:extLst>
                  </pic:spPr>
                </pic:pic>
              </a:graphicData>
            </a:graphic>
          </wp:inline>
        </w:drawing>
      </w:r>
    </w:p>
    <w:p w14:paraId="6A91B8C5" w14:textId="77777777" w:rsidR="00E0654A" w:rsidRDefault="00E0654A"/>
    <w:p w14:paraId="65AF6321" w14:textId="6099F210" w:rsidR="000E4EDA" w:rsidRPr="00D54058" w:rsidRDefault="001E732F">
      <w:pPr>
        <w:rPr>
          <w:sz w:val="16"/>
          <w:szCs w:val="16"/>
        </w:rPr>
      </w:pPr>
      <w:r w:rsidRPr="00D54058">
        <w:rPr>
          <w:sz w:val="16"/>
          <w:szCs w:val="16"/>
        </w:rPr>
        <w:t>A, agency; BMI, body mass index; C, crossover; FSH, follicle-stimulating hormone; I, industry; NR, not reported; OP, outpatient; P, parallel; SD, standard deviation; Supp, supplemental feeding control; USA, United States of America</w:t>
      </w:r>
    </w:p>
    <w:p w14:paraId="6F1B1614" w14:textId="7D2AEAF5" w:rsidR="001E732F" w:rsidRPr="00D54058" w:rsidRDefault="001E732F">
      <w:pPr>
        <w:rPr>
          <w:sz w:val="16"/>
          <w:szCs w:val="16"/>
        </w:rPr>
      </w:pPr>
    </w:p>
    <w:p w14:paraId="7284B635" w14:textId="286A0B4A" w:rsidR="001E732F" w:rsidRPr="00D54058" w:rsidRDefault="001E732F" w:rsidP="00D54058">
      <w:pPr>
        <w:autoSpaceDE w:val="0"/>
        <w:autoSpaceDN w:val="0"/>
        <w:adjustRightInd w:val="0"/>
        <w:rPr>
          <w:sz w:val="16"/>
          <w:szCs w:val="16"/>
          <w:lang w:val="en-US"/>
        </w:rPr>
      </w:pPr>
      <w:r w:rsidRPr="00D54058">
        <w:rPr>
          <w:sz w:val="16"/>
          <w:szCs w:val="16"/>
          <w:vertAlign w:val="superscript"/>
        </w:rPr>
        <w:t>a</w:t>
      </w:r>
      <w:r w:rsidRPr="00D54058">
        <w:rPr>
          <w:sz w:val="16"/>
          <w:szCs w:val="16"/>
        </w:rPr>
        <w:t xml:space="preserve"> </w:t>
      </w:r>
      <w:r w:rsidR="00D54058" w:rsidRPr="00D54058">
        <w:rPr>
          <w:sz w:val="16"/>
          <w:szCs w:val="16"/>
        </w:rPr>
        <w:t>Supplemental feeding control (Supp) is the provision of some foods consumed during the study.</w:t>
      </w:r>
      <w:r w:rsidR="007B71F1">
        <w:rPr>
          <w:sz w:val="16"/>
          <w:szCs w:val="16"/>
        </w:rPr>
        <w:t xml:space="preserve"> Ad libitum feeding control refers to foods being available at all time. </w:t>
      </w:r>
    </w:p>
    <w:p w14:paraId="476B0731" w14:textId="2CE59F40" w:rsidR="001E732F" w:rsidRPr="00D54058" w:rsidRDefault="001E732F">
      <w:pPr>
        <w:rPr>
          <w:sz w:val="16"/>
          <w:szCs w:val="16"/>
        </w:rPr>
      </w:pPr>
      <w:r w:rsidRPr="00D54058">
        <w:rPr>
          <w:sz w:val="16"/>
          <w:szCs w:val="16"/>
          <w:vertAlign w:val="superscript"/>
        </w:rPr>
        <w:t xml:space="preserve">d </w:t>
      </w:r>
      <w:r w:rsidR="00D54058" w:rsidRPr="002D3DCB">
        <w:rPr>
          <w:color w:val="231F20"/>
          <w:sz w:val="16"/>
          <w:szCs w:val="16"/>
          <w:lang w:val="en-US"/>
        </w:rPr>
        <w:t>Neutral energy balance refers to the maintenance of usual energy intak</w:t>
      </w:r>
      <w:r w:rsidR="00D54058">
        <w:rPr>
          <w:color w:val="231F20"/>
          <w:sz w:val="16"/>
          <w:szCs w:val="16"/>
          <w:lang w:val="en-US"/>
        </w:rPr>
        <w:t>e</w:t>
      </w:r>
      <w:r w:rsidR="00D54058" w:rsidRPr="002D3DCB">
        <w:rPr>
          <w:color w:val="231F20"/>
          <w:sz w:val="16"/>
          <w:szCs w:val="16"/>
          <w:lang w:val="en-US"/>
        </w:rPr>
        <w:t>.</w:t>
      </w:r>
      <w:r w:rsidR="00D54058">
        <w:rPr>
          <w:color w:val="231F20"/>
          <w:sz w:val="16"/>
          <w:szCs w:val="16"/>
          <w:lang w:val="en-US"/>
        </w:rPr>
        <w:t xml:space="preserve"> </w:t>
      </w:r>
      <w:r w:rsidR="00D54058" w:rsidRPr="00021A8E">
        <w:rPr>
          <w:color w:val="231F20"/>
          <w:sz w:val="16"/>
          <w:szCs w:val="16"/>
          <w:lang w:val="en-US"/>
        </w:rPr>
        <w:t>Positive</w:t>
      </w:r>
      <w:r w:rsidR="00D54058">
        <w:rPr>
          <w:color w:val="231F20"/>
          <w:sz w:val="16"/>
          <w:szCs w:val="16"/>
          <w:lang w:val="en-US"/>
        </w:rPr>
        <w:t xml:space="preserve"> energy balance refers to a greater than normal energy intake. </w:t>
      </w:r>
      <w:r w:rsidR="00D54058" w:rsidRPr="002D3DCB">
        <w:rPr>
          <w:color w:val="231F20"/>
          <w:sz w:val="16"/>
          <w:szCs w:val="16"/>
          <w:lang w:val="en-US"/>
        </w:rPr>
        <w:t xml:space="preserve">Negative energy balance refers to a </w:t>
      </w:r>
      <w:r w:rsidR="00D54058">
        <w:rPr>
          <w:color w:val="231F20"/>
          <w:sz w:val="16"/>
          <w:szCs w:val="16"/>
          <w:lang w:val="en-US"/>
        </w:rPr>
        <w:t>deficit in</w:t>
      </w:r>
      <w:r w:rsidR="00D54058" w:rsidRPr="002D3DCB">
        <w:rPr>
          <w:color w:val="231F20"/>
          <w:sz w:val="16"/>
          <w:szCs w:val="16"/>
          <w:lang w:val="en-US"/>
        </w:rPr>
        <w:t xml:space="preserve"> normal energy</w:t>
      </w:r>
      <w:r w:rsidR="00D54058">
        <w:rPr>
          <w:color w:val="231F20"/>
          <w:sz w:val="16"/>
          <w:szCs w:val="16"/>
          <w:lang w:val="en-US"/>
        </w:rPr>
        <w:t xml:space="preserve"> intake</w:t>
      </w:r>
      <w:r w:rsidR="00D54058" w:rsidRPr="002D3DCB">
        <w:rPr>
          <w:color w:val="231F20"/>
          <w:sz w:val="16"/>
          <w:szCs w:val="16"/>
          <w:lang w:val="en-US"/>
        </w:rPr>
        <w:t>.</w:t>
      </w:r>
    </w:p>
    <w:p w14:paraId="13346E0E" w14:textId="7770B1CC" w:rsidR="000E4EDA" w:rsidRPr="00D54058" w:rsidRDefault="001E732F">
      <w:pPr>
        <w:rPr>
          <w:sz w:val="16"/>
          <w:szCs w:val="16"/>
        </w:rPr>
      </w:pPr>
      <w:r w:rsidRPr="00D54058">
        <w:rPr>
          <w:sz w:val="16"/>
          <w:szCs w:val="16"/>
          <w:vertAlign w:val="superscript"/>
        </w:rPr>
        <w:t>f</w:t>
      </w:r>
      <w:r w:rsidRPr="00D54058">
        <w:rPr>
          <w:sz w:val="16"/>
          <w:szCs w:val="16"/>
        </w:rPr>
        <w:t xml:space="preserve"> </w:t>
      </w:r>
      <w:r w:rsidR="00D54058" w:rsidRPr="002D3DCB">
        <w:rPr>
          <w:color w:val="231F20"/>
          <w:sz w:val="16"/>
          <w:szCs w:val="16"/>
          <w:lang w:val="en-US"/>
        </w:rPr>
        <w:t>Agency funding is that from government, university, or not-for-profit sources. Industry funding is that from trade organisations that obtain revenue from the sale of products.</w:t>
      </w:r>
    </w:p>
    <w:p w14:paraId="7CE8C2F5" w14:textId="7F2B7495" w:rsidR="000E4EDA" w:rsidRDefault="000E4EDA"/>
    <w:p w14:paraId="412477BB" w14:textId="076FDC3D" w:rsidR="00D54058" w:rsidRPr="00D54058" w:rsidRDefault="00D54058" w:rsidP="00D54058">
      <w:pPr>
        <w:rPr>
          <w:sz w:val="16"/>
          <w:szCs w:val="16"/>
        </w:rPr>
      </w:pPr>
      <w:r w:rsidRPr="00D54058">
        <w:rPr>
          <w:sz w:val="16"/>
          <w:szCs w:val="16"/>
        </w:rPr>
        <w:t>*Median and interquartile range (IQR)</w:t>
      </w:r>
    </w:p>
    <w:p w14:paraId="1957A884" w14:textId="799B7C83" w:rsidR="000E4EDA" w:rsidRDefault="000E4EDA">
      <w:pPr>
        <w:sectPr w:rsidR="000E4EDA" w:rsidSect="00041C4E">
          <w:pgSz w:w="15840" w:h="12240" w:orient="landscape"/>
          <w:pgMar w:top="1440" w:right="1440" w:bottom="1440" w:left="1440" w:header="709" w:footer="709" w:gutter="0"/>
          <w:cols w:space="708"/>
          <w:titlePg/>
          <w:docGrid w:linePitch="360"/>
        </w:sectPr>
      </w:pPr>
    </w:p>
    <w:p w14:paraId="14F7D100" w14:textId="3DB765C8" w:rsidR="00C33568" w:rsidRDefault="00F31633" w:rsidP="00CB4744">
      <w:pPr>
        <w:pStyle w:val="Heading1"/>
      </w:pPr>
      <w:bookmarkStart w:id="5" w:name="_Toc152764287"/>
      <w:bookmarkStart w:id="6" w:name="_Toc153356544"/>
      <w:r w:rsidRPr="00F31633">
        <w:rPr>
          <w:b/>
          <w:bCs/>
        </w:rPr>
        <w:lastRenderedPageBreak/>
        <w:t>Supplementa</w:t>
      </w:r>
      <w:r w:rsidR="006C3266">
        <w:rPr>
          <w:b/>
          <w:bCs/>
        </w:rPr>
        <w:t>l</w:t>
      </w:r>
      <w:r w:rsidRPr="00F31633">
        <w:rPr>
          <w:b/>
          <w:bCs/>
        </w:rPr>
        <w:t xml:space="preserve"> Table 4.</w:t>
      </w:r>
      <w:r>
        <w:t xml:space="preserve"> </w:t>
      </w:r>
      <w:r w:rsidR="00AA38B7">
        <w:t>Assessment of acceptability and adverse events</w:t>
      </w:r>
      <w:r>
        <w:t>*</w:t>
      </w:r>
      <w:bookmarkEnd w:id="5"/>
      <w:bookmarkEnd w:id="6"/>
    </w:p>
    <w:p w14:paraId="7B919E20" w14:textId="77777777" w:rsidR="00C33568" w:rsidRDefault="00C33568" w:rsidP="00F31633"/>
    <w:tbl>
      <w:tblPr>
        <w:tblW w:w="1291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4A0" w:firstRow="1" w:lastRow="0" w:firstColumn="1" w:lastColumn="0" w:noHBand="0" w:noVBand="1"/>
      </w:tblPr>
      <w:tblGrid>
        <w:gridCol w:w="1820"/>
        <w:gridCol w:w="4394"/>
        <w:gridCol w:w="6700"/>
      </w:tblGrid>
      <w:tr w:rsidR="00C33568" w14:paraId="7993F0B4" w14:textId="77777777" w:rsidTr="00A9662F">
        <w:trPr>
          <w:trHeight w:val="315"/>
          <w:tblHeader/>
        </w:trPr>
        <w:tc>
          <w:tcPr>
            <w:tcW w:w="1820" w:type="dxa"/>
            <w:shd w:val="clear" w:color="auto" w:fill="FFFFFF"/>
            <w:tcMar>
              <w:top w:w="0" w:type="dxa"/>
              <w:left w:w="45" w:type="dxa"/>
              <w:bottom w:w="0" w:type="dxa"/>
              <w:right w:w="45" w:type="dxa"/>
            </w:tcMar>
            <w:vAlign w:val="center"/>
            <w:hideMark/>
          </w:tcPr>
          <w:p w14:paraId="563DE48B" w14:textId="77777777" w:rsidR="00C33568" w:rsidRPr="00C33568" w:rsidRDefault="00C33568">
            <w:pPr>
              <w:jc w:val="center"/>
              <w:rPr>
                <w:rFonts w:asciiTheme="minorHAnsi" w:hAnsiTheme="minorHAnsi"/>
                <w:b/>
                <w:bCs/>
                <w:sz w:val="16"/>
                <w:szCs w:val="16"/>
              </w:rPr>
            </w:pPr>
            <w:r w:rsidRPr="00C33568">
              <w:rPr>
                <w:rFonts w:asciiTheme="minorHAnsi" w:hAnsiTheme="minorHAnsi"/>
                <w:b/>
                <w:bCs/>
                <w:sz w:val="16"/>
                <w:szCs w:val="16"/>
              </w:rPr>
              <w:t>Study</w:t>
            </w:r>
          </w:p>
        </w:tc>
        <w:tc>
          <w:tcPr>
            <w:tcW w:w="4394" w:type="dxa"/>
            <w:shd w:val="clear" w:color="auto" w:fill="FFFFFF"/>
            <w:tcMar>
              <w:top w:w="0" w:type="dxa"/>
              <w:left w:w="45" w:type="dxa"/>
              <w:bottom w:w="0" w:type="dxa"/>
              <w:right w:w="45" w:type="dxa"/>
            </w:tcMar>
            <w:vAlign w:val="center"/>
            <w:hideMark/>
          </w:tcPr>
          <w:p w14:paraId="1F757CA5" w14:textId="6BF39445" w:rsidR="00C33568" w:rsidRPr="00C33568" w:rsidRDefault="00C33568">
            <w:pPr>
              <w:jc w:val="center"/>
              <w:rPr>
                <w:rFonts w:asciiTheme="minorHAnsi" w:hAnsiTheme="minorHAnsi"/>
                <w:b/>
                <w:bCs/>
                <w:sz w:val="16"/>
                <w:szCs w:val="16"/>
              </w:rPr>
            </w:pPr>
            <w:r w:rsidRPr="00C33568">
              <w:rPr>
                <w:rFonts w:asciiTheme="minorHAnsi" w:hAnsiTheme="minorHAnsi"/>
                <w:b/>
                <w:bCs/>
                <w:sz w:val="16"/>
                <w:szCs w:val="16"/>
              </w:rPr>
              <w:t>Assessment of Acceptability</w:t>
            </w:r>
          </w:p>
        </w:tc>
        <w:tc>
          <w:tcPr>
            <w:tcW w:w="6700" w:type="dxa"/>
            <w:tcMar>
              <w:top w:w="0" w:type="dxa"/>
              <w:left w:w="45" w:type="dxa"/>
              <w:bottom w:w="0" w:type="dxa"/>
              <w:right w:w="45" w:type="dxa"/>
            </w:tcMar>
            <w:vAlign w:val="center"/>
            <w:hideMark/>
          </w:tcPr>
          <w:p w14:paraId="793B78BD" w14:textId="77777777" w:rsidR="00C33568" w:rsidRPr="00C33568" w:rsidRDefault="00C33568">
            <w:pPr>
              <w:jc w:val="center"/>
              <w:rPr>
                <w:rFonts w:asciiTheme="minorHAnsi" w:hAnsiTheme="minorHAnsi"/>
                <w:b/>
                <w:bCs/>
                <w:sz w:val="16"/>
                <w:szCs w:val="16"/>
              </w:rPr>
            </w:pPr>
            <w:r w:rsidRPr="00C33568">
              <w:rPr>
                <w:rFonts w:asciiTheme="minorHAnsi" w:hAnsiTheme="minorHAnsi"/>
                <w:b/>
                <w:bCs/>
                <w:sz w:val="16"/>
                <w:szCs w:val="16"/>
              </w:rPr>
              <w:t>Assessment of Adverse Events</w:t>
            </w:r>
          </w:p>
        </w:tc>
      </w:tr>
      <w:tr w:rsidR="00C33568" w14:paraId="24B740D0" w14:textId="77777777" w:rsidTr="00A9662F">
        <w:trPr>
          <w:trHeight w:val="266"/>
        </w:trPr>
        <w:tc>
          <w:tcPr>
            <w:tcW w:w="0" w:type="auto"/>
            <w:gridSpan w:val="3"/>
            <w:shd w:val="clear" w:color="auto" w:fill="E7E6E6"/>
            <w:tcMar>
              <w:top w:w="0" w:type="dxa"/>
              <w:left w:w="45" w:type="dxa"/>
              <w:bottom w:w="0" w:type="dxa"/>
              <w:right w:w="45" w:type="dxa"/>
            </w:tcMar>
            <w:vAlign w:val="center"/>
            <w:hideMark/>
          </w:tcPr>
          <w:p w14:paraId="3B8627F2" w14:textId="77777777" w:rsidR="00C33568" w:rsidRPr="00C33568" w:rsidRDefault="00C33568">
            <w:pPr>
              <w:jc w:val="center"/>
              <w:rPr>
                <w:rFonts w:asciiTheme="minorHAnsi" w:hAnsiTheme="minorHAnsi"/>
                <w:b/>
                <w:bCs/>
                <w:sz w:val="16"/>
                <w:szCs w:val="16"/>
              </w:rPr>
            </w:pPr>
            <w:r w:rsidRPr="00C33568">
              <w:rPr>
                <w:rFonts w:asciiTheme="minorHAnsi" w:hAnsiTheme="minorHAnsi"/>
                <w:b/>
                <w:bCs/>
                <w:sz w:val="16"/>
                <w:szCs w:val="16"/>
              </w:rPr>
              <w:t>Isoflavone capsule</w:t>
            </w:r>
          </w:p>
        </w:tc>
      </w:tr>
      <w:tr w:rsidR="00C33568" w14:paraId="2A432E27" w14:textId="77777777" w:rsidTr="00A9662F">
        <w:trPr>
          <w:trHeight w:val="315"/>
        </w:trPr>
        <w:tc>
          <w:tcPr>
            <w:tcW w:w="1820" w:type="dxa"/>
            <w:shd w:val="clear" w:color="auto" w:fill="FFFFFF"/>
            <w:tcMar>
              <w:top w:w="0" w:type="dxa"/>
              <w:left w:w="45" w:type="dxa"/>
              <w:bottom w:w="0" w:type="dxa"/>
              <w:right w:w="45" w:type="dxa"/>
            </w:tcMar>
            <w:vAlign w:val="center"/>
            <w:hideMark/>
          </w:tcPr>
          <w:p w14:paraId="253E337F" w14:textId="77777777" w:rsidR="00C33568" w:rsidRPr="00C33568" w:rsidRDefault="00C33568">
            <w:pPr>
              <w:jc w:val="center"/>
              <w:rPr>
                <w:rFonts w:asciiTheme="minorHAnsi" w:hAnsiTheme="minorHAnsi"/>
                <w:b/>
                <w:bCs/>
                <w:sz w:val="16"/>
                <w:szCs w:val="16"/>
              </w:rPr>
            </w:pPr>
            <w:r w:rsidRPr="00C33568">
              <w:rPr>
                <w:rFonts w:asciiTheme="minorHAnsi" w:hAnsiTheme="minorHAnsi"/>
                <w:b/>
                <w:bCs/>
                <w:sz w:val="16"/>
                <w:szCs w:val="16"/>
              </w:rPr>
              <w:t>Atteritano et al. 2017</w:t>
            </w:r>
          </w:p>
        </w:tc>
        <w:tc>
          <w:tcPr>
            <w:tcW w:w="4394" w:type="dxa"/>
            <w:shd w:val="clear" w:color="auto" w:fill="FFFFFF"/>
            <w:tcMar>
              <w:top w:w="0" w:type="dxa"/>
              <w:left w:w="45" w:type="dxa"/>
              <w:bottom w:w="0" w:type="dxa"/>
              <w:right w:w="45" w:type="dxa"/>
            </w:tcMar>
            <w:vAlign w:val="center"/>
            <w:hideMark/>
          </w:tcPr>
          <w:p w14:paraId="5E4A50FF" w14:textId="77777777" w:rsidR="00C33568" w:rsidRPr="00C33568" w:rsidRDefault="00C33568">
            <w:pPr>
              <w:jc w:val="center"/>
              <w:rPr>
                <w:rFonts w:asciiTheme="minorHAnsi" w:hAnsiTheme="minorHAnsi"/>
                <w:sz w:val="16"/>
                <w:szCs w:val="16"/>
              </w:rPr>
            </w:pPr>
            <w:r w:rsidRPr="00C33568">
              <w:rPr>
                <w:rFonts w:asciiTheme="minorHAnsi" w:hAnsiTheme="minorHAnsi"/>
                <w:sz w:val="16"/>
                <w:szCs w:val="16"/>
              </w:rPr>
              <w:t>NR</w:t>
            </w:r>
          </w:p>
        </w:tc>
        <w:tc>
          <w:tcPr>
            <w:tcW w:w="6700" w:type="dxa"/>
            <w:shd w:val="clear" w:color="auto" w:fill="FFFFFF"/>
            <w:tcMar>
              <w:top w:w="0" w:type="dxa"/>
              <w:left w:w="45" w:type="dxa"/>
              <w:bottom w:w="0" w:type="dxa"/>
              <w:right w:w="45" w:type="dxa"/>
            </w:tcMar>
            <w:vAlign w:val="center"/>
            <w:hideMark/>
          </w:tcPr>
          <w:p w14:paraId="641239E0" w14:textId="77777777" w:rsidR="00C33568" w:rsidRPr="00C33568" w:rsidRDefault="00C33568">
            <w:pPr>
              <w:jc w:val="center"/>
              <w:rPr>
                <w:rFonts w:asciiTheme="minorHAnsi" w:hAnsiTheme="minorHAnsi"/>
                <w:sz w:val="16"/>
                <w:szCs w:val="16"/>
              </w:rPr>
            </w:pPr>
            <w:r w:rsidRPr="00C33568">
              <w:rPr>
                <w:rFonts w:asciiTheme="minorHAnsi" w:hAnsiTheme="minorHAnsi"/>
                <w:sz w:val="16"/>
                <w:szCs w:val="16"/>
              </w:rPr>
              <w:t xml:space="preserve">In the placebo group, 3 women withdrew due to abdominal pain, 3 for dyspepsia, 3 for vomiting and 6 for constipation. In the isoflavone group, 6 withdrew due to abdominal pain, 5 for epigastric pain, 9 for dyspepsia, 4 for vomiting, and 13 for constipation. </w:t>
            </w:r>
          </w:p>
        </w:tc>
      </w:tr>
      <w:tr w:rsidR="00C33568" w14:paraId="3E57171B" w14:textId="77777777" w:rsidTr="00A9662F">
        <w:trPr>
          <w:trHeight w:val="266"/>
        </w:trPr>
        <w:tc>
          <w:tcPr>
            <w:tcW w:w="1820" w:type="dxa"/>
            <w:shd w:val="clear" w:color="auto" w:fill="FFFFFF"/>
            <w:tcMar>
              <w:top w:w="0" w:type="dxa"/>
              <w:left w:w="45" w:type="dxa"/>
              <w:bottom w:w="0" w:type="dxa"/>
              <w:right w:w="45" w:type="dxa"/>
            </w:tcMar>
            <w:vAlign w:val="center"/>
            <w:hideMark/>
          </w:tcPr>
          <w:p w14:paraId="6E4E5798" w14:textId="77777777" w:rsidR="00C33568" w:rsidRPr="00C33568" w:rsidRDefault="00C33568">
            <w:pPr>
              <w:jc w:val="center"/>
              <w:rPr>
                <w:rFonts w:asciiTheme="minorHAnsi" w:hAnsiTheme="minorHAnsi"/>
                <w:b/>
                <w:bCs/>
                <w:sz w:val="16"/>
                <w:szCs w:val="16"/>
              </w:rPr>
            </w:pPr>
            <w:r w:rsidRPr="00C33568">
              <w:rPr>
                <w:rFonts w:asciiTheme="minorHAnsi" w:hAnsiTheme="minorHAnsi"/>
                <w:b/>
                <w:bCs/>
                <w:sz w:val="16"/>
                <w:szCs w:val="16"/>
              </w:rPr>
              <w:t>Garrido et al. 2006</w:t>
            </w:r>
          </w:p>
        </w:tc>
        <w:tc>
          <w:tcPr>
            <w:tcW w:w="4394" w:type="dxa"/>
            <w:shd w:val="clear" w:color="auto" w:fill="FFFFFF"/>
            <w:tcMar>
              <w:top w:w="0" w:type="dxa"/>
              <w:left w:w="45" w:type="dxa"/>
              <w:bottom w:w="0" w:type="dxa"/>
              <w:right w:w="45" w:type="dxa"/>
            </w:tcMar>
            <w:vAlign w:val="center"/>
            <w:hideMark/>
          </w:tcPr>
          <w:p w14:paraId="4E8362B8" w14:textId="77777777" w:rsidR="00C33568" w:rsidRPr="00C33568" w:rsidRDefault="00C33568">
            <w:pPr>
              <w:jc w:val="center"/>
              <w:rPr>
                <w:rFonts w:asciiTheme="minorHAnsi" w:hAnsiTheme="minorHAnsi"/>
                <w:sz w:val="16"/>
                <w:szCs w:val="16"/>
              </w:rPr>
            </w:pPr>
            <w:r w:rsidRPr="00C33568">
              <w:rPr>
                <w:rFonts w:asciiTheme="minorHAnsi" w:hAnsiTheme="minorHAnsi"/>
                <w:sz w:val="16"/>
                <w:szCs w:val="16"/>
              </w:rPr>
              <w:t>NR</w:t>
            </w:r>
          </w:p>
        </w:tc>
        <w:tc>
          <w:tcPr>
            <w:tcW w:w="6700" w:type="dxa"/>
            <w:shd w:val="clear" w:color="auto" w:fill="FFFFFF"/>
            <w:tcMar>
              <w:top w:w="0" w:type="dxa"/>
              <w:left w:w="45" w:type="dxa"/>
              <w:bottom w:w="0" w:type="dxa"/>
              <w:right w:w="45" w:type="dxa"/>
            </w:tcMar>
            <w:vAlign w:val="center"/>
            <w:hideMark/>
          </w:tcPr>
          <w:p w14:paraId="216F1A77" w14:textId="295581C3" w:rsidR="00C33568" w:rsidRPr="00C33568" w:rsidRDefault="00C33568">
            <w:pPr>
              <w:jc w:val="center"/>
              <w:rPr>
                <w:rFonts w:asciiTheme="minorHAnsi" w:hAnsiTheme="minorHAnsi"/>
                <w:sz w:val="16"/>
                <w:szCs w:val="16"/>
              </w:rPr>
            </w:pPr>
            <w:r w:rsidRPr="00C33568">
              <w:rPr>
                <w:rFonts w:asciiTheme="minorHAnsi" w:hAnsiTheme="minorHAnsi"/>
                <w:sz w:val="16"/>
                <w:szCs w:val="16"/>
              </w:rPr>
              <w:t>In the isoflavone group, 1 woman reported abdominal bloating and 1 reported nicturia.</w:t>
            </w:r>
          </w:p>
        </w:tc>
      </w:tr>
      <w:tr w:rsidR="00C33568" w14:paraId="7D74A850" w14:textId="77777777" w:rsidTr="00A9662F">
        <w:trPr>
          <w:trHeight w:val="315"/>
        </w:trPr>
        <w:tc>
          <w:tcPr>
            <w:tcW w:w="1820" w:type="dxa"/>
            <w:shd w:val="clear" w:color="auto" w:fill="FFFFFF"/>
            <w:tcMar>
              <w:top w:w="0" w:type="dxa"/>
              <w:left w:w="45" w:type="dxa"/>
              <w:bottom w:w="0" w:type="dxa"/>
              <w:right w:w="45" w:type="dxa"/>
            </w:tcMar>
            <w:vAlign w:val="center"/>
            <w:hideMark/>
          </w:tcPr>
          <w:p w14:paraId="2E1E326A" w14:textId="77777777" w:rsidR="00C33568" w:rsidRPr="00C33568" w:rsidRDefault="00C33568">
            <w:pPr>
              <w:jc w:val="center"/>
              <w:rPr>
                <w:rFonts w:asciiTheme="minorHAnsi" w:hAnsiTheme="minorHAnsi"/>
                <w:b/>
                <w:bCs/>
                <w:sz w:val="16"/>
                <w:szCs w:val="16"/>
              </w:rPr>
            </w:pPr>
            <w:r w:rsidRPr="00C33568">
              <w:rPr>
                <w:rFonts w:asciiTheme="minorHAnsi" w:hAnsiTheme="minorHAnsi"/>
                <w:b/>
                <w:bCs/>
                <w:sz w:val="16"/>
                <w:szCs w:val="16"/>
              </w:rPr>
              <w:t>Han et al. 2002</w:t>
            </w:r>
          </w:p>
        </w:tc>
        <w:tc>
          <w:tcPr>
            <w:tcW w:w="4394" w:type="dxa"/>
            <w:shd w:val="clear" w:color="auto" w:fill="FFFFFF"/>
            <w:tcMar>
              <w:top w:w="0" w:type="dxa"/>
              <w:left w:w="45" w:type="dxa"/>
              <w:bottom w:w="0" w:type="dxa"/>
              <w:right w:w="45" w:type="dxa"/>
            </w:tcMar>
            <w:vAlign w:val="center"/>
            <w:hideMark/>
          </w:tcPr>
          <w:p w14:paraId="5780CA8C" w14:textId="77777777" w:rsidR="00C33568" w:rsidRPr="00C33568" w:rsidRDefault="00C33568">
            <w:pPr>
              <w:jc w:val="center"/>
              <w:rPr>
                <w:rFonts w:asciiTheme="minorHAnsi" w:hAnsiTheme="minorHAnsi"/>
                <w:b/>
                <w:bCs/>
                <w:sz w:val="16"/>
                <w:szCs w:val="16"/>
              </w:rPr>
            </w:pPr>
          </w:p>
        </w:tc>
        <w:tc>
          <w:tcPr>
            <w:tcW w:w="6700" w:type="dxa"/>
            <w:shd w:val="clear" w:color="auto" w:fill="FFFFFF"/>
            <w:tcMar>
              <w:top w:w="0" w:type="dxa"/>
              <w:left w:w="45" w:type="dxa"/>
              <w:bottom w:w="0" w:type="dxa"/>
              <w:right w:w="45" w:type="dxa"/>
            </w:tcMar>
            <w:vAlign w:val="center"/>
            <w:hideMark/>
          </w:tcPr>
          <w:p w14:paraId="02E745FD" w14:textId="77777777" w:rsidR="00C33568" w:rsidRPr="00C33568" w:rsidRDefault="00C33568">
            <w:pPr>
              <w:jc w:val="center"/>
              <w:rPr>
                <w:rFonts w:asciiTheme="minorHAnsi" w:hAnsiTheme="minorHAnsi"/>
                <w:sz w:val="16"/>
                <w:szCs w:val="16"/>
              </w:rPr>
            </w:pPr>
            <w:r w:rsidRPr="00C33568">
              <w:rPr>
                <w:rFonts w:asciiTheme="minorHAnsi" w:hAnsiTheme="minorHAnsi"/>
                <w:sz w:val="16"/>
                <w:szCs w:val="16"/>
              </w:rPr>
              <w:t xml:space="preserve">One participant withdrew due to "poor response" and 1 due to nausea in the isoflavone and placebo group respectively. None of the women experienced abnormal bleeding or side effects after the study. </w:t>
            </w:r>
          </w:p>
        </w:tc>
      </w:tr>
      <w:tr w:rsidR="00A9662F" w14:paraId="6A3039EF" w14:textId="77777777" w:rsidTr="00A9662F">
        <w:trPr>
          <w:trHeight w:val="110"/>
        </w:trPr>
        <w:tc>
          <w:tcPr>
            <w:tcW w:w="1820" w:type="dxa"/>
            <w:shd w:val="clear" w:color="auto" w:fill="FFFFFF"/>
            <w:tcMar>
              <w:top w:w="0" w:type="dxa"/>
              <w:left w:w="45" w:type="dxa"/>
              <w:bottom w:w="0" w:type="dxa"/>
              <w:right w:w="45" w:type="dxa"/>
            </w:tcMar>
            <w:vAlign w:val="center"/>
          </w:tcPr>
          <w:p w14:paraId="7F6A081C" w14:textId="142A66D1" w:rsidR="00A9662F" w:rsidRPr="00C33568" w:rsidRDefault="00A9662F">
            <w:pPr>
              <w:jc w:val="center"/>
              <w:rPr>
                <w:rFonts w:asciiTheme="minorHAnsi" w:hAnsiTheme="minorHAnsi"/>
                <w:b/>
                <w:bCs/>
                <w:sz w:val="16"/>
                <w:szCs w:val="16"/>
              </w:rPr>
            </w:pPr>
            <w:r w:rsidRPr="00C33568">
              <w:rPr>
                <w:rFonts w:asciiTheme="minorHAnsi" w:hAnsiTheme="minorHAnsi"/>
                <w:b/>
                <w:bCs/>
                <w:sz w:val="16"/>
                <w:szCs w:val="16"/>
              </w:rPr>
              <w:t>Jassi et al. 2010</w:t>
            </w:r>
          </w:p>
        </w:tc>
        <w:tc>
          <w:tcPr>
            <w:tcW w:w="4394" w:type="dxa"/>
            <w:shd w:val="clear" w:color="auto" w:fill="FFFFFF"/>
            <w:tcMar>
              <w:top w:w="0" w:type="dxa"/>
              <w:left w:w="45" w:type="dxa"/>
              <w:bottom w:w="0" w:type="dxa"/>
              <w:right w:w="45" w:type="dxa"/>
            </w:tcMar>
            <w:vAlign w:val="center"/>
          </w:tcPr>
          <w:p w14:paraId="21C62577" w14:textId="39B7254F" w:rsidR="00A9662F" w:rsidRPr="00C33568" w:rsidRDefault="00A9662F">
            <w:pPr>
              <w:jc w:val="center"/>
              <w:rPr>
                <w:rFonts w:asciiTheme="minorHAnsi" w:hAnsiTheme="minorHAnsi"/>
                <w:sz w:val="16"/>
                <w:szCs w:val="16"/>
              </w:rPr>
            </w:pPr>
            <w:r w:rsidRPr="00C33568">
              <w:rPr>
                <w:rFonts w:asciiTheme="minorHAnsi" w:hAnsiTheme="minorHAnsi"/>
                <w:sz w:val="16"/>
                <w:szCs w:val="16"/>
              </w:rPr>
              <w:t>NR</w:t>
            </w:r>
          </w:p>
        </w:tc>
        <w:tc>
          <w:tcPr>
            <w:tcW w:w="6700" w:type="dxa"/>
            <w:shd w:val="clear" w:color="auto" w:fill="FFFFFF"/>
            <w:tcMar>
              <w:top w:w="0" w:type="dxa"/>
              <w:left w:w="45" w:type="dxa"/>
              <w:bottom w:w="0" w:type="dxa"/>
              <w:right w:w="45" w:type="dxa"/>
            </w:tcMar>
            <w:vAlign w:val="center"/>
          </w:tcPr>
          <w:p w14:paraId="4998137B" w14:textId="421F292E" w:rsidR="00A9662F" w:rsidRPr="00C33568" w:rsidRDefault="00A9662F">
            <w:pPr>
              <w:jc w:val="center"/>
              <w:rPr>
                <w:rFonts w:asciiTheme="minorHAnsi" w:hAnsiTheme="minorHAnsi"/>
                <w:sz w:val="16"/>
                <w:szCs w:val="16"/>
              </w:rPr>
            </w:pPr>
            <w:r w:rsidRPr="00C33568">
              <w:rPr>
                <w:rFonts w:asciiTheme="minorHAnsi" w:hAnsiTheme="minorHAnsi"/>
                <w:sz w:val="16"/>
                <w:szCs w:val="16"/>
              </w:rPr>
              <w:t>20% of women consuming soy protein and soy isoflavones experienced GI symptoms including bloating, abdominal pain, and constipation, with incidental occurrences of nausea and vomiting in 1 wom</w:t>
            </w:r>
            <w:r>
              <w:rPr>
                <w:rFonts w:asciiTheme="minorHAnsi" w:hAnsiTheme="minorHAnsi"/>
                <w:sz w:val="16"/>
                <w:szCs w:val="16"/>
              </w:rPr>
              <w:t>a</w:t>
            </w:r>
            <w:r w:rsidRPr="00C33568">
              <w:rPr>
                <w:rFonts w:asciiTheme="minorHAnsi" w:hAnsiTheme="minorHAnsi"/>
                <w:sz w:val="16"/>
                <w:szCs w:val="16"/>
              </w:rPr>
              <w:t>n each within both groups.</w:t>
            </w:r>
          </w:p>
        </w:tc>
      </w:tr>
      <w:tr w:rsidR="00A9662F" w14:paraId="11DEF564" w14:textId="77777777" w:rsidTr="00A9662F">
        <w:trPr>
          <w:trHeight w:val="50"/>
        </w:trPr>
        <w:tc>
          <w:tcPr>
            <w:tcW w:w="1820" w:type="dxa"/>
            <w:tcMar>
              <w:top w:w="0" w:type="dxa"/>
              <w:left w:w="45" w:type="dxa"/>
              <w:bottom w:w="0" w:type="dxa"/>
              <w:right w:w="45" w:type="dxa"/>
            </w:tcMar>
            <w:vAlign w:val="center"/>
          </w:tcPr>
          <w:p w14:paraId="572B8760" w14:textId="640CF512" w:rsidR="00A9662F" w:rsidRPr="00C33568" w:rsidRDefault="00A9662F">
            <w:pPr>
              <w:jc w:val="center"/>
              <w:rPr>
                <w:rFonts w:asciiTheme="minorHAnsi" w:hAnsiTheme="minorHAnsi"/>
                <w:b/>
                <w:bCs/>
                <w:sz w:val="16"/>
                <w:szCs w:val="16"/>
              </w:rPr>
            </w:pPr>
            <w:r w:rsidRPr="00C33568">
              <w:rPr>
                <w:rFonts w:asciiTheme="minorHAnsi" w:hAnsiTheme="minorHAnsi"/>
                <w:b/>
                <w:bCs/>
                <w:sz w:val="16"/>
                <w:szCs w:val="16"/>
              </w:rPr>
              <w:t>Kenny et al. 2009</w:t>
            </w:r>
          </w:p>
        </w:tc>
        <w:tc>
          <w:tcPr>
            <w:tcW w:w="4394" w:type="dxa"/>
            <w:tcMar>
              <w:top w:w="0" w:type="dxa"/>
              <w:left w:w="45" w:type="dxa"/>
              <w:bottom w:w="0" w:type="dxa"/>
              <w:right w:w="45" w:type="dxa"/>
            </w:tcMar>
            <w:vAlign w:val="center"/>
          </w:tcPr>
          <w:p w14:paraId="3BF549E3" w14:textId="2C930600" w:rsidR="00A9662F" w:rsidRPr="00C33568" w:rsidRDefault="00A9662F">
            <w:pPr>
              <w:jc w:val="center"/>
              <w:rPr>
                <w:rFonts w:asciiTheme="minorHAnsi" w:hAnsiTheme="minorHAnsi"/>
                <w:sz w:val="16"/>
                <w:szCs w:val="16"/>
              </w:rPr>
            </w:pPr>
            <w:r w:rsidRPr="00C33568">
              <w:rPr>
                <w:rFonts w:asciiTheme="minorHAnsi" w:hAnsiTheme="minorHAnsi"/>
                <w:sz w:val="16"/>
                <w:szCs w:val="16"/>
              </w:rPr>
              <w:t>NR</w:t>
            </w:r>
          </w:p>
        </w:tc>
        <w:tc>
          <w:tcPr>
            <w:tcW w:w="6700" w:type="dxa"/>
            <w:tcMar>
              <w:top w:w="0" w:type="dxa"/>
              <w:left w:w="45" w:type="dxa"/>
              <w:bottom w:w="0" w:type="dxa"/>
              <w:right w:w="45" w:type="dxa"/>
            </w:tcMar>
            <w:vAlign w:val="center"/>
          </w:tcPr>
          <w:p w14:paraId="4C206567" w14:textId="5B13FE7A" w:rsidR="00A9662F" w:rsidRPr="00C33568" w:rsidRDefault="00A9662F">
            <w:pPr>
              <w:jc w:val="center"/>
              <w:rPr>
                <w:rFonts w:asciiTheme="minorHAnsi" w:hAnsiTheme="minorHAnsi"/>
                <w:sz w:val="16"/>
                <w:szCs w:val="16"/>
              </w:rPr>
            </w:pPr>
            <w:r w:rsidRPr="00C33568">
              <w:rPr>
                <w:rFonts w:asciiTheme="minorHAnsi" w:hAnsiTheme="minorHAnsi"/>
                <w:sz w:val="16"/>
                <w:szCs w:val="16"/>
              </w:rPr>
              <w:t>The adverse events rate did not differ between isoflavone and control groups. Women experienced gastrointestinal disturbances (n=10) and differences in mammogram or breast tenderness (n=2).</w:t>
            </w:r>
          </w:p>
        </w:tc>
      </w:tr>
      <w:tr w:rsidR="00A9662F" w14:paraId="58787DAB" w14:textId="77777777" w:rsidTr="00A9662F">
        <w:trPr>
          <w:trHeight w:val="315"/>
        </w:trPr>
        <w:tc>
          <w:tcPr>
            <w:tcW w:w="1820" w:type="dxa"/>
            <w:tcMar>
              <w:top w:w="0" w:type="dxa"/>
              <w:left w:w="45" w:type="dxa"/>
              <w:bottom w:w="0" w:type="dxa"/>
              <w:right w:w="45" w:type="dxa"/>
            </w:tcMar>
            <w:vAlign w:val="center"/>
            <w:hideMark/>
          </w:tcPr>
          <w:p w14:paraId="3178B00E" w14:textId="5BE8DB97" w:rsidR="00A9662F" w:rsidRPr="00C33568" w:rsidRDefault="00A9662F">
            <w:pPr>
              <w:jc w:val="center"/>
              <w:rPr>
                <w:rFonts w:asciiTheme="minorHAnsi" w:hAnsiTheme="minorHAnsi"/>
                <w:b/>
                <w:bCs/>
                <w:sz w:val="16"/>
                <w:szCs w:val="16"/>
              </w:rPr>
            </w:pPr>
            <w:r w:rsidRPr="00C33568">
              <w:rPr>
                <w:rFonts w:asciiTheme="minorHAnsi" w:hAnsiTheme="minorHAnsi"/>
                <w:b/>
                <w:bCs/>
                <w:sz w:val="16"/>
                <w:szCs w:val="16"/>
              </w:rPr>
              <w:t>Khaodhiar et al. 2008</w:t>
            </w:r>
          </w:p>
        </w:tc>
        <w:tc>
          <w:tcPr>
            <w:tcW w:w="4394" w:type="dxa"/>
            <w:tcMar>
              <w:top w:w="0" w:type="dxa"/>
              <w:left w:w="45" w:type="dxa"/>
              <w:bottom w:w="0" w:type="dxa"/>
              <w:right w:w="45" w:type="dxa"/>
            </w:tcMar>
            <w:vAlign w:val="center"/>
            <w:hideMark/>
          </w:tcPr>
          <w:p w14:paraId="7E06E1CC" w14:textId="36A38111" w:rsidR="00A9662F" w:rsidRPr="00C33568" w:rsidRDefault="00A9662F">
            <w:pPr>
              <w:jc w:val="center"/>
              <w:rPr>
                <w:rFonts w:asciiTheme="minorHAnsi" w:hAnsiTheme="minorHAnsi"/>
                <w:sz w:val="16"/>
                <w:szCs w:val="16"/>
              </w:rPr>
            </w:pPr>
            <w:r w:rsidRPr="00C33568">
              <w:rPr>
                <w:rFonts w:asciiTheme="minorHAnsi" w:hAnsiTheme="minorHAnsi"/>
                <w:sz w:val="16"/>
                <w:szCs w:val="16"/>
              </w:rPr>
              <w:t>NR</w:t>
            </w:r>
          </w:p>
        </w:tc>
        <w:tc>
          <w:tcPr>
            <w:tcW w:w="6700" w:type="dxa"/>
            <w:tcMar>
              <w:top w:w="0" w:type="dxa"/>
              <w:left w:w="45" w:type="dxa"/>
              <w:bottom w:w="0" w:type="dxa"/>
              <w:right w:w="45" w:type="dxa"/>
            </w:tcMar>
            <w:vAlign w:val="center"/>
            <w:hideMark/>
          </w:tcPr>
          <w:p w14:paraId="691151B5" w14:textId="11A681D0" w:rsidR="00A9662F" w:rsidRPr="00C33568" w:rsidRDefault="00A9662F">
            <w:pPr>
              <w:jc w:val="center"/>
              <w:rPr>
                <w:rFonts w:asciiTheme="minorHAnsi" w:hAnsiTheme="minorHAnsi"/>
                <w:sz w:val="16"/>
                <w:szCs w:val="16"/>
              </w:rPr>
            </w:pPr>
            <w:r w:rsidRPr="00C33568">
              <w:rPr>
                <w:rFonts w:asciiTheme="minorHAnsi" w:hAnsiTheme="minorHAnsi"/>
                <w:sz w:val="16"/>
                <w:szCs w:val="16"/>
              </w:rPr>
              <w:t>The isoflavone groups' primary side effects were GI, including stomach upset, constipation, flatulence, and diarrhea, causing 2 participants to discontinue the 60 mg isoflavone supplement (due to stomach upset and diarrhea respectively).</w:t>
            </w:r>
          </w:p>
        </w:tc>
      </w:tr>
      <w:tr w:rsidR="00A9662F" w14:paraId="246A5672" w14:textId="77777777" w:rsidTr="00A9662F">
        <w:trPr>
          <w:trHeight w:val="315"/>
        </w:trPr>
        <w:tc>
          <w:tcPr>
            <w:tcW w:w="1820" w:type="dxa"/>
            <w:tcMar>
              <w:top w:w="0" w:type="dxa"/>
              <w:left w:w="45" w:type="dxa"/>
              <w:bottom w:w="0" w:type="dxa"/>
              <w:right w:w="45" w:type="dxa"/>
            </w:tcMar>
            <w:vAlign w:val="center"/>
            <w:hideMark/>
          </w:tcPr>
          <w:p w14:paraId="2179FF0F" w14:textId="0A34B876" w:rsidR="00A9662F" w:rsidRPr="00C33568" w:rsidRDefault="00A9662F">
            <w:pPr>
              <w:jc w:val="center"/>
              <w:rPr>
                <w:rFonts w:asciiTheme="minorHAnsi" w:hAnsiTheme="minorHAnsi"/>
                <w:b/>
                <w:bCs/>
                <w:sz w:val="16"/>
                <w:szCs w:val="16"/>
              </w:rPr>
            </w:pPr>
            <w:r w:rsidRPr="00C33568">
              <w:rPr>
                <w:rFonts w:asciiTheme="minorHAnsi" w:hAnsiTheme="minorHAnsi"/>
                <w:b/>
                <w:bCs/>
                <w:sz w:val="16"/>
                <w:szCs w:val="16"/>
              </w:rPr>
              <w:t>Levis et al. 2011</w:t>
            </w:r>
          </w:p>
        </w:tc>
        <w:tc>
          <w:tcPr>
            <w:tcW w:w="4394" w:type="dxa"/>
            <w:tcMar>
              <w:top w:w="0" w:type="dxa"/>
              <w:left w:w="45" w:type="dxa"/>
              <w:bottom w:w="0" w:type="dxa"/>
              <w:right w:w="45" w:type="dxa"/>
            </w:tcMar>
            <w:vAlign w:val="center"/>
            <w:hideMark/>
          </w:tcPr>
          <w:p w14:paraId="603AB88A" w14:textId="2D0369A1" w:rsidR="00A9662F" w:rsidRPr="00C33568" w:rsidRDefault="00A9662F">
            <w:pPr>
              <w:jc w:val="center"/>
              <w:rPr>
                <w:rFonts w:asciiTheme="minorHAnsi" w:hAnsiTheme="minorHAnsi"/>
                <w:sz w:val="16"/>
                <w:szCs w:val="16"/>
              </w:rPr>
            </w:pPr>
            <w:r w:rsidRPr="00C33568">
              <w:rPr>
                <w:rFonts w:asciiTheme="minorHAnsi" w:hAnsiTheme="minorHAnsi"/>
                <w:sz w:val="16"/>
                <w:szCs w:val="16"/>
              </w:rPr>
              <w:t>NR</w:t>
            </w:r>
          </w:p>
        </w:tc>
        <w:tc>
          <w:tcPr>
            <w:tcW w:w="6700" w:type="dxa"/>
            <w:tcMar>
              <w:top w:w="0" w:type="dxa"/>
              <w:left w:w="45" w:type="dxa"/>
              <w:bottom w:w="0" w:type="dxa"/>
              <w:right w:w="45" w:type="dxa"/>
            </w:tcMar>
            <w:vAlign w:val="center"/>
            <w:hideMark/>
          </w:tcPr>
          <w:p w14:paraId="47C67B05" w14:textId="2386DCDA" w:rsidR="00A9662F" w:rsidRPr="00C33568" w:rsidRDefault="00A9662F">
            <w:pPr>
              <w:jc w:val="center"/>
              <w:rPr>
                <w:rFonts w:asciiTheme="minorHAnsi" w:hAnsiTheme="minorHAnsi"/>
                <w:sz w:val="16"/>
                <w:szCs w:val="16"/>
              </w:rPr>
            </w:pPr>
            <w:r w:rsidRPr="00C33568">
              <w:rPr>
                <w:rFonts w:asciiTheme="minorHAnsi" w:hAnsiTheme="minorHAnsi"/>
                <w:sz w:val="16"/>
                <w:szCs w:val="16"/>
              </w:rPr>
              <w:t>Nearly all participants experienced adverse events, evenly distributed between both groups, with a slightly higher percentage of participants consuming soy isoflavones reporting constipation compared to those on placebo (31.2% vs. 20.6%). Vaginal bleeding was reported by 13.9% of women in the soy isoflavone group and 14.3% in the placebo group.</w:t>
            </w:r>
          </w:p>
        </w:tc>
      </w:tr>
      <w:tr w:rsidR="00A9662F" w14:paraId="0AF003C1" w14:textId="77777777" w:rsidTr="00A9662F">
        <w:trPr>
          <w:trHeight w:val="315"/>
        </w:trPr>
        <w:tc>
          <w:tcPr>
            <w:tcW w:w="1820" w:type="dxa"/>
            <w:tcMar>
              <w:top w:w="0" w:type="dxa"/>
              <w:left w:w="45" w:type="dxa"/>
              <w:bottom w:w="0" w:type="dxa"/>
              <w:right w:w="45" w:type="dxa"/>
            </w:tcMar>
            <w:vAlign w:val="center"/>
            <w:hideMark/>
          </w:tcPr>
          <w:p w14:paraId="1E830EE9" w14:textId="092D6099" w:rsidR="00A9662F" w:rsidRPr="00C33568" w:rsidRDefault="00A9662F">
            <w:pPr>
              <w:jc w:val="center"/>
              <w:rPr>
                <w:rFonts w:asciiTheme="minorHAnsi" w:hAnsiTheme="minorHAnsi"/>
                <w:b/>
                <w:bCs/>
                <w:sz w:val="16"/>
                <w:szCs w:val="16"/>
              </w:rPr>
            </w:pPr>
            <w:r w:rsidRPr="00C33568">
              <w:rPr>
                <w:rFonts w:asciiTheme="minorHAnsi" w:hAnsiTheme="minorHAnsi"/>
                <w:b/>
                <w:bCs/>
                <w:sz w:val="16"/>
                <w:szCs w:val="16"/>
              </w:rPr>
              <w:t>Mittal et al. 2011</w:t>
            </w:r>
          </w:p>
        </w:tc>
        <w:tc>
          <w:tcPr>
            <w:tcW w:w="4394" w:type="dxa"/>
            <w:tcMar>
              <w:top w:w="0" w:type="dxa"/>
              <w:left w:w="45" w:type="dxa"/>
              <w:bottom w:w="0" w:type="dxa"/>
              <w:right w:w="45" w:type="dxa"/>
            </w:tcMar>
            <w:vAlign w:val="center"/>
            <w:hideMark/>
          </w:tcPr>
          <w:p w14:paraId="24DFBCAA" w14:textId="184F6CA1" w:rsidR="00A9662F" w:rsidRPr="00C33568" w:rsidRDefault="00A9662F">
            <w:pPr>
              <w:jc w:val="center"/>
              <w:rPr>
                <w:rFonts w:asciiTheme="minorHAnsi" w:hAnsiTheme="minorHAnsi"/>
                <w:sz w:val="16"/>
                <w:szCs w:val="16"/>
              </w:rPr>
            </w:pPr>
            <w:r w:rsidRPr="00C33568">
              <w:rPr>
                <w:rFonts w:asciiTheme="minorHAnsi" w:hAnsiTheme="minorHAnsi"/>
                <w:sz w:val="16"/>
                <w:szCs w:val="16"/>
              </w:rPr>
              <w:t>NR</w:t>
            </w:r>
          </w:p>
        </w:tc>
        <w:tc>
          <w:tcPr>
            <w:tcW w:w="6700" w:type="dxa"/>
            <w:tcMar>
              <w:top w:w="0" w:type="dxa"/>
              <w:left w:w="45" w:type="dxa"/>
              <w:bottom w:w="0" w:type="dxa"/>
              <w:right w:w="45" w:type="dxa"/>
            </w:tcMar>
            <w:vAlign w:val="center"/>
            <w:hideMark/>
          </w:tcPr>
          <w:p w14:paraId="36558C31" w14:textId="3CF09D69" w:rsidR="00A9662F" w:rsidRPr="00C33568" w:rsidRDefault="00A9662F">
            <w:pPr>
              <w:jc w:val="center"/>
              <w:rPr>
                <w:rFonts w:asciiTheme="minorHAnsi" w:hAnsiTheme="minorHAnsi"/>
                <w:sz w:val="16"/>
                <w:szCs w:val="16"/>
              </w:rPr>
            </w:pPr>
            <w:r w:rsidRPr="00C33568">
              <w:rPr>
                <w:rFonts w:asciiTheme="minorHAnsi" w:hAnsiTheme="minorHAnsi"/>
                <w:sz w:val="16"/>
                <w:szCs w:val="16"/>
              </w:rPr>
              <w:t>At 4-week, 1 woman from the isoflavone group discontinued treatment due to sleep disturbances, anxiety, and restlessness. In the placebo group, 2 women encountered generalized body aches and increased fatigue, leading to discontinuation at 2 weeks and 2 days respectively. The occurrence of adverse events was comparable between both groups.</w:t>
            </w:r>
          </w:p>
        </w:tc>
      </w:tr>
      <w:tr w:rsidR="00A9662F" w14:paraId="1F5D60E2" w14:textId="77777777" w:rsidTr="00A9662F">
        <w:trPr>
          <w:trHeight w:val="211"/>
        </w:trPr>
        <w:tc>
          <w:tcPr>
            <w:tcW w:w="1820" w:type="dxa"/>
            <w:tcMar>
              <w:top w:w="0" w:type="dxa"/>
              <w:left w:w="45" w:type="dxa"/>
              <w:bottom w:w="0" w:type="dxa"/>
              <w:right w:w="45" w:type="dxa"/>
            </w:tcMar>
            <w:vAlign w:val="center"/>
            <w:hideMark/>
          </w:tcPr>
          <w:p w14:paraId="34CCAF52" w14:textId="51B524A9" w:rsidR="00A9662F" w:rsidRPr="00C33568" w:rsidRDefault="00A9662F">
            <w:pPr>
              <w:jc w:val="center"/>
              <w:rPr>
                <w:rFonts w:asciiTheme="minorHAnsi" w:hAnsiTheme="minorHAnsi"/>
                <w:b/>
                <w:bCs/>
                <w:sz w:val="16"/>
                <w:szCs w:val="16"/>
              </w:rPr>
            </w:pPr>
            <w:r w:rsidRPr="00C33568">
              <w:rPr>
                <w:rFonts w:asciiTheme="minorHAnsi" w:hAnsiTheme="minorHAnsi"/>
                <w:b/>
                <w:bCs/>
                <w:sz w:val="16"/>
                <w:szCs w:val="16"/>
              </w:rPr>
              <w:t>Nahas et al. 2004</w:t>
            </w:r>
          </w:p>
        </w:tc>
        <w:tc>
          <w:tcPr>
            <w:tcW w:w="4394" w:type="dxa"/>
            <w:tcMar>
              <w:top w:w="0" w:type="dxa"/>
              <w:left w:w="45" w:type="dxa"/>
              <w:bottom w:w="0" w:type="dxa"/>
              <w:right w:w="45" w:type="dxa"/>
            </w:tcMar>
            <w:vAlign w:val="center"/>
            <w:hideMark/>
          </w:tcPr>
          <w:p w14:paraId="2B6EBD13" w14:textId="60783797" w:rsidR="00A9662F" w:rsidRPr="00C33568" w:rsidRDefault="00A9662F">
            <w:pPr>
              <w:jc w:val="center"/>
              <w:rPr>
                <w:rFonts w:asciiTheme="minorHAnsi" w:hAnsiTheme="minorHAnsi"/>
                <w:sz w:val="16"/>
                <w:szCs w:val="16"/>
              </w:rPr>
            </w:pPr>
            <w:r w:rsidRPr="00C33568">
              <w:rPr>
                <w:rFonts w:asciiTheme="minorHAnsi" w:hAnsiTheme="minorHAnsi"/>
                <w:sz w:val="16"/>
                <w:szCs w:val="16"/>
              </w:rPr>
              <w:t>NR</w:t>
            </w:r>
          </w:p>
        </w:tc>
        <w:tc>
          <w:tcPr>
            <w:tcW w:w="6700" w:type="dxa"/>
            <w:tcMar>
              <w:top w:w="0" w:type="dxa"/>
              <w:left w:w="45" w:type="dxa"/>
              <w:bottom w:w="0" w:type="dxa"/>
              <w:right w:w="45" w:type="dxa"/>
            </w:tcMar>
            <w:vAlign w:val="center"/>
            <w:hideMark/>
          </w:tcPr>
          <w:p w14:paraId="5258450A" w14:textId="44727056" w:rsidR="00A9662F" w:rsidRPr="00C33568" w:rsidRDefault="00A9662F">
            <w:pPr>
              <w:jc w:val="center"/>
              <w:rPr>
                <w:rFonts w:asciiTheme="minorHAnsi" w:hAnsiTheme="minorHAnsi"/>
                <w:sz w:val="16"/>
                <w:szCs w:val="16"/>
              </w:rPr>
            </w:pPr>
            <w:r w:rsidRPr="00C33568">
              <w:rPr>
                <w:rFonts w:asciiTheme="minorHAnsi" w:hAnsiTheme="minorHAnsi"/>
                <w:sz w:val="16"/>
                <w:szCs w:val="16"/>
              </w:rPr>
              <w:t>In the isoflavone group, 3 women reported constipation, 2 reported</w:t>
            </w:r>
            <w:r w:rsidRPr="00C33568">
              <w:rPr>
                <w:rFonts w:asciiTheme="minorHAnsi" w:hAnsiTheme="minorHAnsi"/>
                <w:sz w:val="16"/>
                <w:szCs w:val="16"/>
              </w:rPr>
              <w:br/>
              <w:t>flatulence and 2 reported nausea, while in the placebo group, 2 reported constipation and flatulence.</w:t>
            </w:r>
          </w:p>
        </w:tc>
      </w:tr>
      <w:tr w:rsidR="00A9662F" w14:paraId="64A33B40" w14:textId="77777777" w:rsidTr="00A9662F">
        <w:trPr>
          <w:trHeight w:val="315"/>
        </w:trPr>
        <w:tc>
          <w:tcPr>
            <w:tcW w:w="1820" w:type="dxa"/>
            <w:tcMar>
              <w:top w:w="0" w:type="dxa"/>
              <w:left w:w="45" w:type="dxa"/>
              <w:bottom w:w="0" w:type="dxa"/>
              <w:right w:w="45" w:type="dxa"/>
            </w:tcMar>
            <w:vAlign w:val="center"/>
            <w:hideMark/>
          </w:tcPr>
          <w:p w14:paraId="5C5A862E" w14:textId="0D4FAF58" w:rsidR="00A9662F" w:rsidRPr="00C33568" w:rsidRDefault="00A9662F">
            <w:pPr>
              <w:jc w:val="center"/>
              <w:rPr>
                <w:rFonts w:asciiTheme="minorHAnsi" w:hAnsiTheme="minorHAnsi"/>
                <w:b/>
                <w:bCs/>
                <w:sz w:val="16"/>
                <w:szCs w:val="16"/>
              </w:rPr>
            </w:pPr>
            <w:r w:rsidRPr="00C33568">
              <w:rPr>
                <w:rFonts w:asciiTheme="minorHAnsi" w:hAnsiTheme="minorHAnsi"/>
                <w:b/>
                <w:bCs/>
                <w:sz w:val="16"/>
                <w:szCs w:val="16"/>
              </w:rPr>
              <w:t>Nahas et al. 2007</w:t>
            </w:r>
          </w:p>
        </w:tc>
        <w:tc>
          <w:tcPr>
            <w:tcW w:w="4394" w:type="dxa"/>
            <w:tcMar>
              <w:top w:w="0" w:type="dxa"/>
              <w:left w:w="45" w:type="dxa"/>
              <w:bottom w:w="0" w:type="dxa"/>
              <w:right w:w="45" w:type="dxa"/>
            </w:tcMar>
            <w:vAlign w:val="center"/>
            <w:hideMark/>
          </w:tcPr>
          <w:p w14:paraId="17DA88E0" w14:textId="22AD5417" w:rsidR="00A9662F" w:rsidRPr="00C33568" w:rsidRDefault="00A9662F">
            <w:pPr>
              <w:jc w:val="center"/>
              <w:rPr>
                <w:rFonts w:asciiTheme="minorHAnsi" w:hAnsiTheme="minorHAnsi"/>
                <w:sz w:val="16"/>
                <w:szCs w:val="16"/>
              </w:rPr>
            </w:pPr>
            <w:r w:rsidRPr="00C33568">
              <w:rPr>
                <w:rFonts w:asciiTheme="minorHAnsi" w:hAnsiTheme="minorHAnsi"/>
                <w:sz w:val="16"/>
                <w:szCs w:val="16"/>
              </w:rPr>
              <w:t>NR</w:t>
            </w:r>
          </w:p>
        </w:tc>
        <w:tc>
          <w:tcPr>
            <w:tcW w:w="6700" w:type="dxa"/>
            <w:tcMar>
              <w:top w:w="0" w:type="dxa"/>
              <w:left w:w="45" w:type="dxa"/>
              <w:bottom w:w="0" w:type="dxa"/>
              <w:right w:w="45" w:type="dxa"/>
            </w:tcMar>
            <w:vAlign w:val="center"/>
            <w:hideMark/>
          </w:tcPr>
          <w:p w14:paraId="35C1BE03" w14:textId="3538444F" w:rsidR="00A9662F" w:rsidRPr="00C33568" w:rsidRDefault="00A9662F">
            <w:pPr>
              <w:jc w:val="center"/>
              <w:rPr>
                <w:rFonts w:asciiTheme="minorHAnsi" w:hAnsiTheme="minorHAnsi"/>
                <w:sz w:val="16"/>
                <w:szCs w:val="16"/>
              </w:rPr>
            </w:pPr>
            <w:r w:rsidRPr="00C33568">
              <w:rPr>
                <w:rFonts w:asciiTheme="minorHAnsi" w:hAnsiTheme="minorHAnsi"/>
                <w:sz w:val="16"/>
                <w:szCs w:val="16"/>
              </w:rPr>
              <w:t>7 women in the isoflavone group (18.4%) and 4 in the placebo group (10.5%) reported gastrointestinal-related adverse events.</w:t>
            </w:r>
          </w:p>
        </w:tc>
      </w:tr>
      <w:tr w:rsidR="00A9662F" w14:paraId="763EEC66" w14:textId="77777777" w:rsidTr="00A9662F">
        <w:trPr>
          <w:trHeight w:val="50"/>
        </w:trPr>
        <w:tc>
          <w:tcPr>
            <w:tcW w:w="1820" w:type="dxa"/>
            <w:tcMar>
              <w:top w:w="0" w:type="dxa"/>
              <w:left w:w="45" w:type="dxa"/>
              <w:bottom w:w="0" w:type="dxa"/>
              <w:right w:w="45" w:type="dxa"/>
            </w:tcMar>
            <w:vAlign w:val="center"/>
            <w:hideMark/>
          </w:tcPr>
          <w:p w14:paraId="6524EEFF" w14:textId="28790366" w:rsidR="00A9662F" w:rsidRPr="00C33568" w:rsidRDefault="00A9662F">
            <w:pPr>
              <w:jc w:val="center"/>
              <w:rPr>
                <w:rFonts w:asciiTheme="minorHAnsi" w:hAnsiTheme="minorHAnsi"/>
                <w:b/>
                <w:bCs/>
                <w:sz w:val="16"/>
                <w:szCs w:val="16"/>
              </w:rPr>
            </w:pPr>
            <w:r w:rsidRPr="00C33568">
              <w:rPr>
                <w:rFonts w:asciiTheme="minorHAnsi" w:hAnsiTheme="minorHAnsi"/>
                <w:b/>
                <w:bCs/>
                <w:sz w:val="16"/>
                <w:szCs w:val="16"/>
              </w:rPr>
              <w:t>Nikander et al. 2003</w:t>
            </w:r>
          </w:p>
        </w:tc>
        <w:tc>
          <w:tcPr>
            <w:tcW w:w="4394" w:type="dxa"/>
            <w:tcMar>
              <w:top w:w="0" w:type="dxa"/>
              <w:left w:w="45" w:type="dxa"/>
              <w:bottom w:w="0" w:type="dxa"/>
              <w:right w:w="45" w:type="dxa"/>
            </w:tcMar>
            <w:vAlign w:val="center"/>
            <w:hideMark/>
          </w:tcPr>
          <w:p w14:paraId="54F1AA4A" w14:textId="79EAB7AD" w:rsidR="00A9662F" w:rsidRPr="00C33568" w:rsidRDefault="00A9662F">
            <w:pPr>
              <w:jc w:val="center"/>
              <w:rPr>
                <w:rFonts w:asciiTheme="minorHAnsi" w:hAnsiTheme="minorHAnsi"/>
                <w:sz w:val="16"/>
                <w:szCs w:val="16"/>
              </w:rPr>
            </w:pPr>
            <w:r w:rsidRPr="00C33568">
              <w:rPr>
                <w:rFonts w:asciiTheme="minorHAnsi" w:hAnsiTheme="minorHAnsi"/>
                <w:sz w:val="16"/>
                <w:szCs w:val="16"/>
              </w:rPr>
              <w:t>NR</w:t>
            </w:r>
          </w:p>
        </w:tc>
        <w:tc>
          <w:tcPr>
            <w:tcW w:w="6700" w:type="dxa"/>
            <w:tcMar>
              <w:top w:w="0" w:type="dxa"/>
              <w:left w:w="45" w:type="dxa"/>
              <w:bottom w:w="0" w:type="dxa"/>
              <w:right w:w="45" w:type="dxa"/>
            </w:tcMar>
            <w:vAlign w:val="center"/>
            <w:hideMark/>
          </w:tcPr>
          <w:p w14:paraId="561ECA2C" w14:textId="47673344" w:rsidR="00A9662F" w:rsidRPr="00C33568" w:rsidRDefault="00A9662F">
            <w:pPr>
              <w:jc w:val="center"/>
              <w:rPr>
                <w:rFonts w:asciiTheme="minorHAnsi" w:hAnsiTheme="minorHAnsi"/>
                <w:sz w:val="16"/>
                <w:szCs w:val="16"/>
              </w:rPr>
            </w:pPr>
            <w:r w:rsidRPr="00C33568">
              <w:rPr>
                <w:rFonts w:asciiTheme="minorHAnsi" w:hAnsiTheme="minorHAnsi"/>
                <w:sz w:val="16"/>
                <w:szCs w:val="16"/>
              </w:rPr>
              <w:t>During the soy isoflavone phase, 2 women withdrew from the study because of stomachache. During the control phase, 2 women withdrew due to vaginal bleeding and lack of effect respectively.</w:t>
            </w:r>
          </w:p>
        </w:tc>
      </w:tr>
      <w:tr w:rsidR="00A9662F" w14:paraId="7759E7C5" w14:textId="77777777" w:rsidTr="00A9662F">
        <w:trPr>
          <w:trHeight w:val="315"/>
        </w:trPr>
        <w:tc>
          <w:tcPr>
            <w:tcW w:w="1820" w:type="dxa"/>
            <w:tcMar>
              <w:top w:w="0" w:type="dxa"/>
              <w:left w:w="45" w:type="dxa"/>
              <w:bottom w:w="0" w:type="dxa"/>
              <w:right w:w="45" w:type="dxa"/>
            </w:tcMar>
            <w:vAlign w:val="center"/>
            <w:hideMark/>
          </w:tcPr>
          <w:p w14:paraId="66FFECE7" w14:textId="2DF1D8EB" w:rsidR="00A9662F" w:rsidRPr="00C33568" w:rsidRDefault="00A9662F">
            <w:pPr>
              <w:jc w:val="center"/>
              <w:rPr>
                <w:rFonts w:asciiTheme="minorHAnsi" w:hAnsiTheme="minorHAnsi"/>
                <w:b/>
                <w:bCs/>
                <w:sz w:val="16"/>
                <w:szCs w:val="16"/>
              </w:rPr>
            </w:pPr>
            <w:r w:rsidRPr="00C33568">
              <w:rPr>
                <w:rFonts w:asciiTheme="minorHAnsi" w:hAnsiTheme="minorHAnsi"/>
                <w:b/>
                <w:bCs/>
                <w:sz w:val="16"/>
                <w:szCs w:val="16"/>
              </w:rPr>
              <w:t>Penotti et al. 2003</w:t>
            </w:r>
          </w:p>
        </w:tc>
        <w:tc>
          <w:tcPr>
            <w:tcW w:w="4394" w:type="dxa"/>
            <w:tcMar>
              <w:top w:w="0" w:type="dxa"/>
              <w:left w:w="45" w:type="dxa"/>
              <w:bottom w:w="0" w:type="dxa"/>
              <w:right w:w="45" w:type="dxa"/>
            </w:tcMar>
            <w:vAlign w:val="center"/>
            <w:hideMark/>
          </w:tcPr>
          <w:p w14:paraId="033050D5" w14:textId="60B7447A" w:rsidR="00A9662F" w:rsidRPr="00C33568" w:rsidRDefault="00A9662F">
            <w:pPr>
              <w:jc w:val="center"/>
              <w:rPr>
                <w:rFonts w:asciiTheme="minorHAnsi" w:hAnsiTheme="minorHAnsi"/>
                <w:sz w:val="16"/>
                <w:szCs w:val="16"/>
              </w:rPr>
            </w:pPr>
            <w:r w:rsidRPr="00C33568">
              <w:rPr>
                <w:rFonts w:asciiTheme="minorHAnsi" w:hAnsiTheme="minorHAnsi"/>
                <w:sz w:val="16"/>
                <w:szCs w:val="16"/>
              </w:rPr>
              <w:t>NR</w:t>
            </w:r>
          </w:p>
        </w:tc>
        <w:tc>
          <w:tcPr>
            <w:tcW w:w="6700" w:type="dxa"/>
            <w:tcMar>
              <w:top w:w="0" w:type="dxa"/>
              <w:left w:w="45" w:type="dxa"/>
              <w:bottom w:w="0" w:type="dxa"/>
              <w:right w:w="45" w:type="dxa"/>
            </w:tcMar>
            <w:vAlign w:val="center"/>
            <w:hideMark/>
          </w:tcPr>
          <w:p w14:paraId="6F99B8F8" w14:textId="0D83D4B3" w:rsidR="00A9662F" w:rsidRPr="00C33568" w:rsidRDefault="00A9662F">
            <w:pPr>
              <w:jc w:val="center"/>
              <w:rPr>
                <w:rFonts w:asciiTheme="minorHAnsi" w:hAnsiTheme="minorHAnsi"/>
                <w:sz w:val="16"/>
                <w:szCs w:val="16"/>
              </w:rPr>
            </w:pPr>
            <w:r w:rsidRPr="00C33568">
              <w:rPr>
                <w:rFonts w:asciiTheme="minorHAnsi" w:hAnsiTheme="minorHAnsi"/>
                <w:sz w:val="16"/>
                <w:szCs w:val="16"/>
              </w:rPr>
              <w:t>1 woman in the soy isoflavone group withdrew due to diarrhea onset.</w:t>
            </w:r>
          </w:p>
        </w:tc>
      </w:tr>
      <w:tr w:rsidR="00A9662F" w14:paraId="0F9D8A43" w14:textId="77777777" w:rsidTr="00A9662F">
        <w:trPr>
          <w:trHeight w:val="315"/>
        </w:trPr>
        <w:tc>
          <w:tcPr>
            <w:tcW w:w="1820" w:type="dxa"/>
            <w:tcMar>
              <w:top w:w="0" w:type="dxa"/>
              <w:left w:w="45" w:type="dxa"/>
              <w:bottom w:w="0" w:type="dxa"/>
              <w:right w:w="45" w:type="dxa"/>
            </w:tcMar>
            <w:vAlign w:val="center"/>
            <w:hideMark/>
          </w:tcPr>
          <w:p w14:paraId="4F1D7411" w14:textId="72F50211" w:rsidR="00A9662F" w:rsidRPr="00C33568" w:rsidRDefault="00A9662F">
            <w:pPr>
              <w:jc w:val="center"/>
              <w:rPr>
                <w:rFonts w:asciiTheme="minorHAnsi" w:hAnsiTheme="minorHAnsi"/>
                <w:b/>
                <w:bCs/>
                <w:sz w:val="16"/>
                <w:szCs w:val="16"/>
              </w:rPr>
            </w:pPr>
            <w:r w:rsidRPr="00C33568">
              <w:rPr>
                <w:rFonts w:asciiTheme="minorHAnsi" w:hAnsiTheme="minorHAnsi"/>
                <w:b/>
                <w:bCs/>
                <w:sz w:val="16"/>
                <w:szCs w:val="16"/>
              </w:rPr>
              <w:t>Pop et al. 2008</w:t>
            </w:r>
          </w:p>
        </w:tc>
        <w:tc>
          <w:tcPr>
            <w:tcW w:w="4394" w:type="dxa"/>
            <w:tcMar>
              <w:top w:w="0" w:type="dxa"/>
              <w:left w:w="45" w:type="dxa"/>
              <w:bottom w:w="0" w:type="dxa"/>
              <w:right w:w="45" w:type="dxa"/>
            </w:tcMar>
            <w:vAlign w:val="center"/>
            <w:hideMark/>
          </w:tcPr>
          <w:p w14:paraId="37FA81A0" w14:textId="5F2E6255" w:rsidR="00A9662F" w:rsidRPr="00C33568" w:rsidRDefault="00A9662F">
            <w:pPr>
              <w:jc w:val="center"/>
              <w:rPr>
                <w:rFonts w:asciiTheme="minorHAnsi" w:hAnsiTheme="minorHAnsi"/>
                <w:sz w:val="16"/>
                <w:szCs w:val="16"/>
              </w:rPr>
            </w:pPr>
            <w:r w:rsidRPr="00C33568">
              <w:rPr>
                <w:rFonts w:asciiTheme="minorHAnsi" w:hAnsiTheme="minorHAnsi"/>
                <w:sz w:val="16"/>
                <w:szCs w:val="16"/>
              </w:rPr>
              <w:t>NR</w:t>
            </w:r>
          </w:p>
        </w:tc>
        <w:tc>
          <w:tcPr>
            <w:tcW w:w="6700" w:type="dxa"/>
            <w:tcMar>
              <w:top w:w="0" w:type="dxa"/>
              <w:left w:w="45" w:type="dxa"/>
              <w:bottom w:w="0" w:type="dxa"/>
              <w:right w:w="45" w:type="dxa"/>
            </w:tcMar>
            <w:vAlign w:val="center"/>
            <w:hideMark/>
          </w:tcPr>
          <w:p w14:paraId="204B9B9D" w14:textId="58C765A4" w:rsidR="00A9662F" w:rsidRPr="00C33568" w:rsidRDefault="00A9662F">
            <w:pPr>
              <w:jc w:val="center"/>
              <w:rPr>
                <w:rFonts w:asciiTheme="minorHAnsi" w:hAnsiTheme="minorHAnsi"/>
                <w:sz w:val="16"/>
                <w:szCs w:val="16"/>
              </w:rPr>
            </w:pPr>
            <w:r w:rsidRPr="00C33568">
              <w:rPr>
                <w:rFonts w:asciiTheme="minorHAnsi" w:hAnsiTheme="minorHAnsi"/>
                <w:sz w:val="16"/>
                <w:szCs w:val="16"/>
              </w:rPr>
              <w:t xml:space="preserve">In the soy isoflavone group, 1 woman reported nausea, 6 reported increased hot flashes, and 2 reported increased breast size/tenderness. In the placebo group, 1 woman reported flatulence, 1 reported swelling in legs, 1 reported breast tenderness, 3 reported increased hot flashes, and 1 reported decreased hot flashes intensity. </w:t>
            </w:r>
          </w:p>
        </w:tc>
      </w:tr>
      <w:tr w:rsidR="00A9662F" w14:paraId="3E6DB156" w14:textId="77777777" w:rsidTr="00A9662F">
        <w:trPr>
          <w:trHeight w:val="315"/>
        </w:trPr>
        <w:tc>
          <w:tcPr>
            <w:tcW w:w="12914" w:type="dxa"/>
            <w:gridSpan w:val="3"/>
            <w:shd w:val="clear" w:color="auto" w:fill="E7E6E6"/>
            <w:tcMar>
              <w:top w:w="0" w:type="dxa"/>
              <w:left w:w="45" w:type="dxa"/>
              <w:bottom w:w="0" w:type="dxa"/>
              <w:right w:w="45" w:type="dxa"/>
            </w:tcMar>
            <w:vAlign w:val="center"/>
            <w:hideMark/>
          </w:tcPr>
          <w:p w14:paraId="53A3652F" w14:textId="62925F0F" w:rsidR="00A9662F" w:rsidRPr="00C33568" w:rsidRDefault="00A9662F">
            <w:pPr>
              <w:jc w:val="center"/>
              <w:rPr>
                <w:rFonts w:asciiTheme="minorHAnsi" w:hAnsiTheme="minorHAnsi"/>
                <w:sz w:val="16"/>
                <w:szCs w:val="16"/>
              </w:rPr>
            </w:pPr>
            <w:r w:rsidRPr="00C33568">
              <w:rPr>
                <w:rFonts w:asciiTheme="minorHAnsi" w:hAnsiTheme="minorHAnsi"/>
                <w:b/>
                <w:bCs/>
                <w:sz w:val="16"/>
                <w:szCs w:val="16"/>
              </w:rPr>
              <w:t>Soy protein-based beverage</w:t>
            </w:r>
            <w:r>
              <w:rPr>
                <w:rFonts w:asciiTheme="minorHAnsi" w:hAnsiTheme="minorHAnsi"/>
                <w:b/>
                <w:bCs/>
                <w:sz w:val="16"/>
                <w:szCs w:val="16"/>
              </w:rPr>
              <w:t>/</w:t>
            </w:r>
            <w:r w:rsidRPr="00C33568">
              <w:rPr>
                <w:rFonts w:asciiTheme="minorHAnsi" w:hAnsiTheme="minorHAnsi"/>
                <w:b/>
                <w:bCs/>
                <w:sz w:val="16"/>
                <w:szCs w:val="16"/>
              </w:rPr>
              <w:t>foods</w:t>
            </w:r>
          </w:p>
        </w:tc>
      </w:tr>
      <w:tr w:rsidR="00A9662F" w14:paraId="4B50C1CA" w14:textId="77777777" w:rsidTr="00A9662F">
        <w:trPr>
          <w:trHeight w:val="315"/>
        </w:trPr>
        <w:tc>
          <w:tcPr>
            <w:tcW w:w="1820" w:type="dxa"/>
            <w:tcMar>
              <w:top w:w="0" w:type="dxa"/>
              <w:left w:w="45" w:type="dxa"/>
              <w:bottom w:w="0" w:type="dxa"/>
              <w:right w:w="45" w:type="dxa"/>
            </w:tcMar>
            <w:vAlign w:val="center"/>
            <w:hideMark/>
          </w:tcPr>
          <w:p w14:paraId="11391459" w14:textId="0C0444D2" w:rsidR="00A9662F" w:rsidRPr="00C33568" w:rsidRDefault="00A9662F">
            <w:pPr>
              <w:jc w:val="center"/>
              <w:rPr>
                <w:rFonts w:asciiTheme="minorHAnsi" w:hAnsiTheme="minorHAnsi"/>
                <w:b/>
                <w:bCs/>
                <w:sz w:val="16"/>
                <w:szCs w:val="16"/>
              </w:rPr>
            </w:pPr>
            <w:r w:rsidRPr="00C33568">
              <w:rPr>
                <w:rFonts w:asciiTheme="minorHAnsi" w:hAnsiTheme="minorHAnsi"/>
                <w:b/>
                <w:bCs/>
                <w:sz w:val="16"/>
                <w:szCs w:val="16"/>
              </w:rPr>
              <w:t>Arjmandi et al. 2005</w:t>
            </w:r>
          </w:p>
        </w:tc>
        <w:tc>
          <w:tcPr>
            <w:tcW w:w="4394" w:type="dxa"/>
            <w:shd w:val="clear" w:color="auto" w:fill="FFFFFF"/>
            <w:tcMar>
              <w:top w:w="0" w:type="dxa"/>
              <w:left w:w="45" w:type="dxa"/>
              <w:bottom w:w="0" w:type="dxa"/>
              <w:right w:w="45" w:type="dxa"/>
            </w:tcMar>
            <w:vAlign w:val="center"/>
            <w:hideMark/>
          </w:tcPr>
          <w:p w14:paraId="55CE6795" w14:textId="5C589A87" w:rsidR="00A9662F" w:rsidRPr="00C33568" w:rsidRDefault="00A9662F">
            <w:pPr>
              <w:jc w:val="center"/>
              <w:rPr>
                <w:rFonts w:asciiTheme="minorHAnsi" w:hAnsiTheme="minorHAnsi"/>
                <w:sz w:val="16"/>
                <w:szCs w:val="16"/>
              </w:rPr>
            </w:pPr>
            <w:r w:rsidRPr="00C33568">
              <w:rPr>
                <w:rFonts w:asciiTheme="minorHAnsi" w:hAnsiTheme="minorHAnsi"/>
                <w:sz w:val="16"/>
                <w:szCs w:val="16"/>
              </w:rPr>
              <w:t>In the control group, women withdrew from the study for dislike of the volume or flavor of food (n=3).</w:t>
            </w:r>
          </w:p>
        </w:tc>
        <w:tc>
          <w:tcPr>
            <w:tcW w:w="6700" w:type="dxa"/>
            <w:shd w:val="clear" w:color="auto" w:fill="FFFFFF"/>
            <w:tcMar>
              <w:top w:w="0" w:type="dxa"/>
              <w:left w:w="45" w:type="dxa"/>
              <w:bottom w:w="0" w:type="dxa"/>
              <w:right w:w="45" w:type="dxa"/>
            </w:tcMar>
            <w:vAlign w:val="center"/>
            <w:hideMark/>
          </w:tcPr>
          <w:p w14:paraId="6A68A361" w14:textId="300C222C" w:rsidR="00A9662F" w:rsidRPr="00C33568" w:rsidRDefault="00A9662F">
            <w:pPr>
              <w:jc w:val="center"/>
              <w:rPr>
                <w:rFonts w:asciiTheme="minorHAnsi" w:hAnsiTheme="minorHAnsi"/>
                <w:sz w:val="16"/>
                <w:szCs w:val="16"/>
              </w:rPr>
            </w:pPr>
            <w:r w:rsidRPr="00C33568">
              <w:rPr>
                <w:rFonts w:asciiTheme="minorHAnsi" w:hAnsiTheme="minorHAnsi"/>
                <w:sz w:val="16"/>
                <w:szCs w:val="16"/>
              </w:rPr>
              <w:t>In the control group, women withdrew from the study due to gastrointestinal side effects (n=2), and headaches caused by study food (n=1).</w:t>
            </w:r>
          </w:p>
        </w:tc>
      </w:tr>
      <w:tr w:rsidR="00A9662F" w14:paraId="70A0E676" w14:textId="77777777" w:rsidTr="00A9662F">
        <w:trPr>
          <w:trHeight w:val="315"/>
        </w:trPr>
        <w:tc>
          <w:tcPr>
            <w:tcW w:w="1820" w:type="dxa"/>
            <w:tcMar>
              <w:top w:w="0" w:type="dxa"/>
              <w:left w:w="45" w:type="dxa"/>
              <w:bottom w:w="0" w:type="dxa"/>
              <w:right w:w="45" w:type="dxa"/>
            </w:tcMar>
            <w:vAlign w:val="center"/>
            <w:hideMark/>
          </w:tcPr>
          <w:p w14:paraId="74273E64" w14:textId="5E92471E" w:rsidR="00A9662F" w:rsidRPr="00C33568" w:rsidRDefault="00A9662F">
            <w:pPr>
              <w:jc w:val="center"/>
              <w:rPr>
                <w:rFonts w:asciiTheme="minorHAnsi" w:hAnsiTheme="minorHAnsi"/>
                <w:b/>
                <w:bCs/>
                <w:sz w:val="16"/>
                <w:szCs w:val="16"/>
              </w:rPr>
            </w:pPr>
            <w:r w:rsidRPr="00C33568">
              <w:rPr>
                <w:rFonts w:asciiTheme="minorHAnsi" w:hAnsiTheme="minorHAnsi"/>
                <w:b/>
                <w:bCs/>
                <w:sz w:val="16"/>
                <w:szCs w:val="16"/>
              </w:rPr>
              <w:lastRenderedPageBreak/>
              <w:t>Basaria et al. 2009</w:t>
            </w:r>
          </w:p>
        </w:tc>
        <w:tc>
          <w:tcPr>
            <w:tcW w:w="4394" w:type="dxa"/>
            <w:tcMar>
              <w:top w:w="0" w:type="dxa"/>
              <w:left w:w="45" w:type="dxa"/>
              <w:bottom w:w="0" w:type="dxa"/>
              <w:right w:w="45" w:type="dxa"/>
            </w:tcMar>
            <w:vAlign w:val="center"/>
            <w:hideMark/>
          </w:tcPr>
          <w:p w14:paraId="209184A1" w14:textId="4020696A" w:rsidR="00A9662F" w:rsidRPr="00C33568" w:rsidRDefault="00A9662F">
            <w:pPr>
              <w:jc w:val="center"/>
              <w:rPr>
                <w:rFonts w:asciiTheme="minorHAnsi" w:hAnsiTheme="minorHAnsi"/>
                <w:sz w:val="16"/>
                <w:szCs w:val="16"/>
              </w:rPr>
            </w:pPr>
            <w:r w:rsidRPr="00C33568">
              <w:rPr>
                <w:rFonts w:asciiTheme="minorHAnsi" w:hAnsiTheme="minorHAnsi"/>
                <w:sz w:val="16"/>
                <w:szCs w:val="16"/>
              </w:rPr>
              <w:t>2 women withdrew from the study due to bad taste of the study foods.</w:t>
            </w:r>
          </w:p>
        </w:tc>
        <w:tc>
          <w:tcPr>
            <w:tcW w:w="6700" w:type="dxa"/>
            <w:shd w:val="clear" w:color="auto" w:fill="FFFFFF"/>
            <w:tcMar>
              <w:top w:w="0" w:type="dxa"/>
              <w:left w:w="45" w:type="dxa"/>
              <w:bottom w:w="0" w:type="dxa"/>
              <w:right w:w="45" w:type="dxa"/>
            </w:tcMar>
            <w:vAlign w:val="center"/>
            <w:hideMark/>
          </w:tcPr>
          <w:p w14:paraId="0999E989" w14:textId="53AC848F" w:rsidR="00A9662F" w:rsidRPr="00C33568" w:rsidRDefault="00A9662F">
            <w:pPr>
              <w:jc w:val="center"/>
              <w:rPr>
                <w:rFonts w:asciiTheme="minorHAnsi" w:hAnsiTheme="minorHAnsi"/>
                <w:sz w:val="16"/>
                <w:szCs w:val="16"/>
              </w:rPr>
            </w:pPr>
            <w:r w:rsidRPr="00C33568">
              <w:rPr>
                <w:rFonts w:asciiTheme="minorHAnsi" w:hAnsiTheme="minorHAnsi"/>
                <w:sz w:val="16"/>
                <w:szCs w:val="16"/>
              </w:rPr>
              <w:t>5 women withdrew from the study due to gastrointestinal upset.</w:t>
            </w:r>
          </w:p>
        </w:tc>
      </w:tr>
      <w:tr w:rsidR="00A9662F" w14:paraId="71B0F8A5" w14:textId="77777777" w:rsidTr="00A9662F">
        <w:trPr>
          <w:trHeight w:val="315"/>
        </w:trPr>
        <w:tc>
          <w:tcPr>
            <w:tcW w:w="1820" w:type="dxa"/>
            <w:tcMar>
              <w:top w:w="0" w:type="dxa"/>
              <w:left w:w="45" w:type="dxa"/>
              <w:bottom w:w="0" w:type="dxa"/>
              <w:right w:w="45" w:type="dxa"/>
            </w:tcMar>
            <w:vAlign w:val="center"/>
            <w:hideMark/>
          </w:tcPr>
          <w:p w14:paraId="67B637D3" w14:textId="1A35B8DE" w:rsidR="00A9662F" w:rsidRPr="00C33568" w:rsidRDefault="00A9662F">
            <w:pPr>
              <w:jc w:val="center"/>
              <w:rPr>
                <w:rFonts w:asciiTheme="minorHAnsi" w:hAnsiTheme="minorHAnsi"/>
                <w:b/>
                <w:bCs/>
                <w:sz w:val="16"/>
                <w:szCs w:val="16"/>
              </w:rPr>
            </w:pPr>
            <w:r w:rsidRPr="00C33568">
              <w:rPr>
                <w:rFonts w:asciiTheme="minorHAnsi" w:hAnsiTheme="minorHAnsi"/>
                <w:b/>
                <w:bCs/>
                <w:sz w:val="16"/>
                <w:szCs w:val="16"/>
              </w:rPr>
              <w:t>Carmignani et al. 2010</w:t>
            </w:r>
          </w:p>
        </w:tc>
        <w:tc>
          <w:tcPr>
            <w:tcW w:w="4394" w:type="dxa"/>
            <w:tcMar>
              <w:top w:w="0" w:type="dxa"/>
              <w:left w:w="45" w:type="dxa"/>
              <w:bottom w:w="0" w:type="dxa"/>
              <w:right w:w="45" w:type="dxa"/>
            </w:tcMar>
            <w:vAlign w:val="center"/>
            <w:hideMark/>
          </w:tcPr>
          <w:p w14:paraId="54887656" w14:textId="52C82B3A" w:rsidR="00A9662F" w:rsidRPr="00C33568" w:rsidRDefault="00A9662F">
            <w:pPr>
              <w:jc w:val="center"/>
              <w:rPr>
                <w:rFonts w:asciiTheme="minorHAnsi" w:hAnsiTheme="minorHAnsi"/>
                <w:sz w:val="16"/>
                <w:szCs w:val="16"/>
              </w:rPr>
            </w:pPr>
            <w:r w:rsidRPr="00C33568">
              <w:rPr>
                <w:rFonts w:asciiTheme="minorHAnsi" w:hAnsiTheme="minorHAnsi"/>
                <w:sz w:val="16"/>
                <w:szCs w:val="16"/>
              </w:rPr>
              <w:t>NR</w:t>
            </w:r>
          </w:p>
        </w:tc>
        <w:tc>
          <w:tcPr>
            <w:tcW w:w="6700" w:type="dxa"/>
            <w:tcMar>
              <w:top w:w="0" w:type="dxa"/>
              <w:left w:w="45" w:type="dxa"/>
              <w:bottom w:w="0" w:type="dxa"/>
              <w:right w:w="45" w:type="dxa"/>
            </w:tcMar>
            <w:vAlign w:val="center"/>
            <w:hideMark/>
          </w:tcPr>
          <w:p w14:paraId="1230B589" w14:textId="01F44F79" w:rsidR="00A9662F" w:rsidRPr="00C33568" w:rsidRDefault="00A9662F">
            <w:pPr>
              <w:jc w:val="center"/>
              <w:rPr>
                <w:rFonts w:asciiTheme="minorHAnsi" w:hAnsiTheme="minorHAnsi"/>
                <w:sz w:val="16"/>
                <w:szCs w:val="16"/>
              </w:rPr>
            </w:pPr>
            <w:r w:rsidRPr="00C33568">
              <w:rPr>
                <w:rFonts w:asciiTheme="minorHAnsi" w:hAnsiTheme="minorHAnsi"/>
                <w:sz w:val="16"/>
                <w:szCs w:val="16"/>
              </w:rPr>
              <w:t>In the soy isoflavone group, 2 women reported mastalgia, 1 reported bleeding, 1 reporte</w:t>
            </w:r>
            <w:r>
              <w:rPr>
                <w:rFonts w:asciiTheme="minorHAnsi" w:hAnsiTheme="minorHAnsi"/>
                <w:sz w:val="16"/>
                <w:szCs w:val="16"/>
              </w:rPr>
              <w:t>d</w:t>
            </w:r>
            <w:r w:rsidRPr="00C33568">
              <w:rPr>
                <w:rFonts w:asciiTheme="minorHAnsi" w:hAnsiTheme="minorHAnsi"/>
                <w:sz w:val="16"/>
                <w:szCs w:val="16"/>
              </w:rPr>
              <w:t xml:space="preserve"> headache, 3 reported water retention and 1 reported intestinal complaints. In the control group, 1 woman reported bleeding, 3 reported nausea, 1 reported water retention and 1 reporte</w:t>
            </w:r>
            <w:r>
              <w:rPr>
                <w:rFonts w:asciiTheme="minorHAnsi" w:hAnsiTheme="minorHAnsi"/>
                <w:sz w:val="16"/>
                <w:szCs w:val="16"/>
              </w:rPr>
              <w:t>d</w:t>
            </w:r>
            <w:r w:rsidRPr="00C33568">
              <w:rPr>
                <w:rFonts w:asciiTheme="minorHAnsi" w:hAnsiTheme="minorHAnsi"/>
                <w:sz w:val="16"/>
                <w:szCs w:val="16"/>
              </w:rPr>
              <w:t xml:space="preserve"> intestinal complaints. There were no statistical differences in reported adverse events between groups. </w:t>
            </w:r>
          </w:p>
        </w:tc>
      </w:tr>
      <w:tr w:rsidR="00A9662F" w14:paraId="55140933" w14:textId="77777777" w:rsidTr="00A9662F">
        <w:trPr>
          <w:trHeight w:val="50"/>
        </w:trPr>
        <w:tc>
          <w:tcPr>
            <w:tcW w:w="1820" w:type="dxa"/>
            <w:tcMar>
              <w:top w:w="0" w:type="dxa"/>
              <w:left w:w="45" w:type="dxa"/>
              <w:bottom w:w="0" w:type="dxa"/>
              <w:right w:w="45" w:type="dxa"/>
            </w:tcMar>
            <w:vAlign w:val="center"/>
            <w:hideMark/>
          </w:tcPr>
          <w:p w14:paraId="2D3FD4C5" w14:textId="62055122" w:rsidR="00A9662F" w:rsidRPr="00C33568" w:rsidRDefault="00A9662F">
            <w:pPr>
              <w:jc w:val="center"/>
              <w:rPr>
                <w:rFonts w:asciiTheme="minorHAnsi" w:hAnsiTheme="minorHAnsi"/>
                <w:b/>
                <w:bCs/>
                <w:sz w:val="16"/>
                <w:szCs w:val="16"/>
              </w:rPr>
            </w:pPr>
            <w:r w:rsidRPr="00C33568">
              <w:rPr>
                <w:rFonts w:asciiTheme="minorHAnsi" w:hAnsiTheme="minorHAnsi"/>
                <w:b/>
                <w:bCs/>
                <w:sz w:val="16"/>
                <w:szCs w:val="16"/>
              </w:rPr>
              <w:t>Chienchi et al. 2002</w:t>
            </w:r>
          </w:p>
        </w:tc>
        <w:tc>
          <w:tcPr>
            <w:tcW w:w="4394" w:type="dxa"/>
            <w:tcMar>
              <w:top w:w="0" w:type="dxa"/>
              <w:left w:w="45" w:type="dxa"/>
              <w:bottom w:w="0" w:type="dxa"/>
              <w:right w:w="45" w:type="dxa"/>
            </w:tcMar>
            <w:vAlign w:val="center"/>
            <w:hideMark/>
          </w:tcPr>
          <w:p w14:paraId="04D242BE" w14:textId="6FBD6718" w:rsidR="00A9662F" w:rsidRPr="00C33568" w:rsidRDefault="00A9662F">
            <w:pPr>
              <w:jc w:val="center"/>
              <w:rPr>
                <w:rFonts w:asciiTheme="minorHAnsi" w:hAnsiTheme="minorHAnsi"/>
                <w:sz w:val="16"/>
                <w:szCs w:val="16"/>
              </w:rPr>
            </w:pPr>
            <w:r w:rsidRPr="00C33568">
              <w:rPr>
                <w:rFonts w:asciiTheme="minorHAnsi" w:hAnsiTheme="minorHAnsi"/>
                <w:sz w:val="16"/>
                <w:szCs w:val="16"/>
              </w:rPr>
              <w:t>In the diet group, women withdrew from the study due to dislike of soy (n=11), study being "too difficult" (n=7), foods being difficult to find (n=3) and high cost of the foods (n=3).</w:t>
            </w:r>
          </w:p>
        </w:tc>
        <w:tc>
          <w:tcPr>
            <w:tcW w:w="6700" w:type="dxa"/>
            <w:tcMar>
              <w:top w:w="0" w:type="dxa"/>
              <w:left w:w="45" w:type="dxa"/>
              <w:bottom w:w="0" w:type="dxa"/>
              <w:right w:w="45" w:type="dxa"/>
            </w:tcMar>
            <w:vAlign w:val="center"/>
            <w:hideMark/>
          </w:tcPr>
          <w:p w14:paraId="115716D8" w14:textId="5034F5B2" w:rsidR="00A9662F" w:rsidRPr="00C33568" w:rsidRDefault="00A9662F">
            <w:pPr>
              <w:jc w:val="center"/>
              <w:rPr>
                <w:rFonts w:asciiTheme="minorHAnsi" w:hAnsiTheme="minorHAnsi"/>
                <w:sz w:val="16"/>
                <w:szCs w:val="16"/>
              </w:rPr>
            </w:pPr>
            <w:r w:rsidRPr="00C33568">
              <w:rPr>
                <w:rFonts w:asciiTheme="minorHAnsi" w:hAnsiTheme="minorHAnsi"/>
                <w:sz w:val="16"/>
                <w:szCs w:val="16"/>
              </w:rPr>
              <w:t>NR</w:t>
            </w:r>
          </w:p>
        </w:tc>
      </w:tr>
      <w:tr w:rsidR="00A9662F" w14:paraId="7AD6D9ED" w14:textId="77777777" w:rsidTr="00A9662F">
        <w:trPr>
          <w:trHeight w:val="59"/>
        </w:trPr>
        <w:tc>
          <w:tcPr>
            <w:tcW w:w="1820" w:type="dxa"/>
            <w:tcMar>
              <w:top w:w="0" w:type="dxa"/>
              <w:left w:w="45" w:type="dxa"/>
              <w:bottom w:w="0" w:type="dxa"/>
              <w:right w:w="45" w:type="dxa"/>
            </w:tcMar>
            <w:vAlign w:val="center"/>
            <w:hideMark/>
          </w:tcPr>
          <w:p w14:paraId="7CB1D439" w14:textId="1927B134" w:rsidR="00A9662F" w:rsidRPr="00C33568" w:rsidRDefault="00A9662F">
            <w:pPr>
              <w:jc w:val="center"/>
              <w:rPr>
                <w:rFonts w:asciiTheme="minorHAnsi" w:hAnsiTheme="minorHAnsi"/>
                <w:b/>
                <w:bCs/>
                <w:sz w:val="16"/>
                <w:szCs w:val="16"/>
              </w:rPr>
            </w:pPr>
            <w:r w:rsidRPr="00C33568">
              <w:rPr>
                <w:rFonts w:asciiTheme="minorHAnsi" w:hAnsiTheme="minorHAnsi"/>
                <w:b/>
                <w:bCs/>
                <w:sz w:val="16"/>
                <w:szCs w:val="16"/>
              </w:rPr>
              <w:t>Radhakrishnan et al. 2009</w:t>
            </w:r>
          </w:p>
        </w:tc>
        <w:tc>
          <w:tcPr>
            <w:tcW w:w="4394" w:type="dxa"/>
            <w:tcMar>
              <w:top w:w="0" w:type="dxa"/>
              <w:left w:w="45" w:type="dxa"/>
              <w:bottom w:w="0" w:type="dxa"/>
              <w:right w:w="45" w:type="dxa"/>
            </w:tcMar>
            <w:vAlign w:val="center"/>
            <w:hideMark/>
          </w:tcPr>
          <w:p w14:paraId="4D2781B9" w14:textId="2A9038D7" w:rsidR="00A9662F" w:rsidRPr="00C33568" w:rsidRDefault="00A9662F">
            <w:pPr>
              <w:jc w:val="center"/>
              <w:rPr>
                <w:rFonts w:asciiTheme="minorHAnsi" w:hAnsiTheme="minorHAnsi"/>
                <w:sz w:val="16"/>
                <w:szCs w:val="16"/>
              </w:rPr>
            </w:pPr>
            <w:r w:rsidRPr="00C33568">
              <w:rPr>
                <w:rFonts w:asciiTheme="minorHAnsi" w:hAnsiTheme="minorHAnsi"/>
                <w:sz w:val="16"/>
                <w:szCs w:val="16"/>
              </w:rPr>
              <w:t xml:space="preserve">Women reported equal acceptability to each soy protein and milk protein preparations (acceptability score </w:t>
            </w:r>
            <w:r w:rsidR="0036033F">
              <w:rPr>
                <w:rFonts w:asciiTheme="minorHAnsi" w:hAnsiTheme="minorHAnsi"/>
                <w:sz w:val="16"/>
                <w:szCs w:val="16"/>
              </w:rPr>
              <w:t>P</w:t>
            </w:r>
            <w:r w:rsidRPr="00C33568">
              <w:rPr>
                <w:rFonts w:asciiTheme="minorHAnsi" w:hAnsiTheme="minorHAnsi"/>
                <w:sz w:val="16"/>
                <w:szCs w:val="16"/>
              </w:rPr>
              <w:t>=0.540). The amount of powder instructed was difficult to follow.</w:t>
            </w:r>
          </w:p>
        </w:tc>
        <w:tc>
          <w:tcPr>
            <w:tcW w:w="6700" w:type="dxa"/>
            <w:tcMar>
              <w:top w:w="0" w:type="dxa"/>
              <w:left w:w="45" w:type="dxa"/>
              <w:bottom w:w="0" w:type="dxa"/>
              <w:right w:w="45" w:type="dxa"/>
            </w:tcMar>
            <w:vAlign w:val="center"/>
            <w:hideMark/>
          </w:tcPr>
          <w:p w14:paraId="7FA86926" w14:textId="5618CFF3" w:rsidR="00A9662F" w:rsidRPr="00C33568" w:rsidRDefault="00A9662F">
            <w:pPr>
              <w:jc w:val="center"/>
              <w:rPr>
                <w:rFonts w:asciiTheme="minorHAnsi" w:hAnsiTheme="minorHAnsi"/>
                <w:sz w:val="16"/>
                <w:szCs w:val="16"/>
              </w:rPr>
            </w:pPr>
            <w:r w:rsidRPr="00C33568">
              <w:rPr>
                <w:rFonts w:asciiTheme="minorHAnsi" w:hAnsiTheme="minorHAnsi"/>
                <w:sz w:val="16"/>
                <w:szCs w:val="16"/>
              </w:rPr>
              <w:t xml:space="preserve">2 women in the isoflavone group and 3 women in the control group withdrew from the trial due to gastrointestinal side effects and food intolerance (constipation, bloating, nausea, and vomiting). </w:t>
            </w:r>
          </w:p>
        </w:tc>
      </w:tr>
      <w:tr w:rsidR="00A9662F" w14:paraId="62DB7F04" w14:textId="77777777" w:rsidTr="00A9662F">
        <w:trPr>
          <w:trHeight w:val="331"/>
        </w:trPr>
        <w:tc>
          <w:tcPr>
            <w:tcW w:w="12914" w:type="dxa"/>
            <w:gridSpan w:val="3"/>
            <w:shd w:val="clear" w:color="auto" w:fill="E7E6E6"/>
            <w:tcMar>
              <w:top w:w="0" w:type="dxa"/>
              <w:left w:w="45" w:type="dxa"/>
              <w:bottom w:w="0" w:type="dxa"/>
              <w:right w:w="45" w:type="dxa"/>
            </w:tcMar>
            <w:vAlign w:val="center"/>
            <w:hideMark/>
          </w:tcPr>
          <w:p w14:paraId="402EEA33" w14:textId="7C7F89A1" w:rsidR="00A9662F" w:rsidRPr="00C33568" w:rsidRDefault="00A9662F">
            <w:pPr>
              <w:jc w:val="center"/>
              <w:rPr>
                <w:rFonts w:asciiTheme="minorHAnsi" w:hAnsiTheme="minorHAnsi"/>
                <w:sz w:val="16"/>
                <w:szCs w:val="16"/>
              </w:rPr>
            </w:pPr>
            <w:r w:rsidRPr="00C33568">
              <w:rPr>
                <w:rFonts w:asciiTheme="minorHAnsi" w:hAnsiTheme="minorHAnsi"/>
                <w:b/>
                <w:bCs/>
                <w:sz w:val="16"/>
                <w:szCs w:val="16"/>
              </w:rPr>
              <w:t>Isoflavone-containing beverages</w:t>
            </w:r>
          </w:p>
        </w:tc>
      </w:tr>
      <w:tr w:rsidR="00A9662F" w14:paraId="1A8BA72F" w14:textId="77777777" w:rsidTr="00A9662F">
        <w:trPr>
          <w:trHeight w:val="50"/>
        </w:trPr>
        <w:tc>
          <w:tcPr>
            <w:tcW w:w="1820" w:type="dxa"/>
            <w:tcMar>
              <w:top w:w="0" w:type="dxa"/>
              <w:left w:w="45" w:type="dxa"/>
              <w:bottom w:w="0" w:type="dxa"/>
              <w:right w:w="45" w:type="dxa"/>
            </w:tcMar>
            <w:vAlign w:val="center"/>
            <w:hideMark/>
          </w:tcPr>
          <w:p w14:paraId="1B8A1FB7" w14:textId="1AB9A3EF" w:rsidR="00A9662F" w:rsidRPr="00C33568" w:rsidRDefault="00A9662F">
            <w:pPr>
              <w:jc w:val="center"/>
              <w:rPr>
                <w:rFonts w:asciiTheme="minorHAnsi" w:hAnsiTheme="minorHAnsi"/>
                <w:b/>
                <w:bCs/>
                <w:sz w:val="16"/>
                <w:szCs w:val="16"/>
              </w:rPr>
            </w:pPr>
            <w:r w:rsidRPr="00C33568">
              <w:rPr>
                <w:rFonts w:asciiTheme="minorHAnsi" w:hAnsiTheme="minorHAnsi"/>
                <w:b/>
                <w:bCs/>
                <w:sz w:val="16"/>
                <w:szCs w:val="16"/>
              </w:rPr>
              <w:t>Knight 2001</w:t>
            </w:r>
          </w:p>
        </w:tc>
        <w:tc>
          <w:tcPr>
            <w:tcW w:w="4394" w:type="dxa"/>
            <w:tcMar>
              <w:top w:w="0" w:type="dxa"/>
              <w:left w:w="45" w:type="dxa"/>
              <w:bottom w:w="0" w:type="dxa"/>
              <w:right w:w="45" w:type="dxa"/>
            </w:tcMar>
            <w:vAlign w:val="center"/>
            <w:hideMark/>
          </w:tcPr>
          <w:p w14:paraId="1CEF6EA6" w14:textId="7F6F195C" w:rsidR="00A9662F" w:rsidRPr="00C33568" w:rsidRDefault="00A9662F">
            <w:pPr>
              <w:jc w:val="center"/>
              <w:rPr>
                <w:rFonts w:asciiTheme="minorHAnsi" w:hAnsiTheme="minorHAnsi"/>
                <w:sz w:val="16"/>
                <w:szCs w:val="16"/>
              </w:rPr>
            </w:pPr>
            <w:r w:rsidRPr="00C33568">
              <w:rPr>
                <w:rFonts w:asciiTheme="minorHAnsi" w:hAnsiTheme="minorHAnsi"/>
                <w:sz w:val="16"/>
                <w:szCs w:val="16"/>
              </w:rPr>
              <w:t>5 women in the isoflavone group and 1 in the control group reported dislike of taste (</w:t>
            </w:r>
            <w:r w:rsidR="0036033F">
              <w:rPr>
                <w:rFonts w:asciiTheme="minorHAnsi" w:hAnsiTheme="minorHAnsi"/>
                <w:sz w:val="16"/>
                <w:szCs w:val="16"/>
              </w:rPr>
              <w:t>P</w:t>
            </w:r>
            <w:r w:rsidRPr="00C33568">
              <w:rPr>
                <w:rFonts w:asciiTheme="minorHAnsi" w:hAnsiTheme="minorHAnsi"/>
                <w:sz w:val="16"/>
                <w:szCs w:val="16"/>
              </w:rPr>
              <w:t>=0.07).</w:t>
            </w:r>
          </w:p>
        </w:tc>
        <w:tc>
          <w:tcPr>
            <w:tcW w:w="6700" w:type="dxa"/>
            <w:tcMar>
              <w:top w:w="0" w:type="dxa"/>
              <w:left w:w="45" w:type="dxa"/>
              <w:bottom w:w="0" w:type="dxa"/>
              <w:right w:w="45" w:type="dxa"/>
            </w:tcMar>
            <w:vAlign w:val="center"/>
            <w:hideMark/>
          </w:tcPr>
          <w:p w14:paraId="28748E81" w14:textId="53630BDC" w:rsidR="00A9662F" w:rsidRPr="00C33568" w:rsidRDefault="00A9662F">
            <w:pPr>
              <w:jc w:val="center"/>
              <w:rPr>
                <w:rFonts w:asciiTheme="minorHAnsi" w:hAnsiTheme="minorHAnsi"/>
                <w:sz w:val="16"/>
                <w:szCs w:val="16"/>
              </w:rPr>
            </w:pPr>
            <w:r w:rsidRPr="00C33568">
              <w:rPr>
                <w:rFonts w:asciiTheme="minorHAnsi" w:hAnsiTheme="minorHAnsi"/>
                <w:sz w:val="16"/>
                <w:szCs w:val="16"/>
              </w:rPr>
              <w:t>Rates of adverse events was significantly higher in the isoflavone group compared to control group (</w:t>
            </w:r>
            <w:r w:rsidR="0036033F">
              <w:rPr>
                <w:rFonts w:asciiTheme="minorHAnsi" w:hAnsiTheme="minorHAnsi"/>
                <w:sz w:val="16"/>
                <w:szCs w:val="16"/>
              </w:rPr>
              <w:t>P</w:t>
            </w:r>
            <w:r w:rsidRPr="00C33568">
              <w:rPr>
                <w:rFonts w:asciiTheme="minorHAnsi" w:hAnsiTheme="minorHAnsi"/>
                <w:sz w:val="16"/>
                <w:szCs w:val="16"/>
              </w:rPr>
              <w:t>&lt;0.001) and included bloating (n=4), nausea (n=3), and changes in bowel function (n=2).</w:t>
            </w:r>
          </w:p>
        </w:tc>
      </w:tr>
    </w:tbl>
    <w:p w14:paraId="1EF0E7BC" w14:textId="77777777" w:rsidR="00AA38B7" w:rsidRDefault="00AA38B7" w:rsidP="00AA38B7"/>
    <w:p w14:paraId="50434BB3" w14:textId="0DCD5EE2" w:rsidR="00AA38B7" w:rsidRPr="00C16AF4" w:rsidRDefault="00AA38B7" w:rsidP="00AA38B7">
      <w:pPr>
        <w:rPr>
          <w:sz w:val="16"/>
          <w:szCs w:val="16"/>
        </w:rPr>
      </w:pPr>
      <w:r w:rsidRPr="00C16AF4">
        <w:rPr>
          <w:sz w:val="16"/>
          <w:szCs w:val="16"/>
        </w:rPr>
        <w:t>*</w:t>
      </w:r>
      <w:r>
        <w:rPr>
          <w:sz w:val="16"/>
          <w:szCs w:val="16"/>
        </w:rPr>
        <w:t>O</w:t>
      </w:r>
      <w:r w:rsidRPr="00C16AF4">
        <w:rPr>
          <w:sz w:val="16"/>
          <w:szCs w:val="16"/>
        </w:rPr>
        <w:t xml:space="preserve">f the </w:t>
      </w:r>
      <w:r>
        <w:rPr>
          <w:sz w:val="16"/>
          <w:szCs w:val="16"/>
        </w:rPr>
        <w:t>40</w:t>
      </w:r>
      <w:r w:rsidRPr="00C16AF4">
        <w:rPr>
          <w:sz w:val="16"/>
          <w:szCs w:val="16"/>
        </w:rPr>
        <w:t xml:space="preserve"> trials</w:t>
      </w:r>
      <w:r>
        <w:rPr>
          <w:sz w:val="16"/>
          <w:szCs w:val="16"/>
        </w:rPr>
        <w:t xml:space="preserve">, 5 </w:t>
      </w:r>
      <w:r w:rsidRPr="00C16AF4">
        <w:rPr>
          <w:sz w:val="16"/>
          <w:szCs w:val="16"/>
        </w:rPr>
        <w:t>reported some assessment of acceptability</w:t>
      </w:r>
      <w:r>
        <w:rPr>
          <w:sz w:val="16"/>
          <w:szCs w:val="16"/>
        </w:rPr>
        <w:t xml:space="preserve"> and 18 reported some assessment of adverse events.</w:t>
      </w:r>
      <w:r w:rsidR="00F649F2">
        <w:rPr>
          <w:sz w:val="16"/>
          <w:szCs w:val="16"/>
        </w:rPr>
        <w:t xml:space="preserve"> Trials not listed in the table did not report </w:t>
      </w:r>
      <w:r w:rsidR="00873EA4">
        <w:rPr>
          <w:sz w:val="16"/>
          <w:szCs w:val="16"/>
        </w:rPr>
        <w:t>on acceptability and adverse events.</w:t>
      </w:r>
    </w:p>
    <w:p w14:paraId="0DCD060E" w14:textId="77777777" w:rsidR="00AA38B7" w:rsidRDefault="00AA38B7" w:rsidP="00AA38B7">
      <w:pPr>
        <w:ind w:firstLine="720"/>
      </w:pPr>
    </w:p>
    <w:p w14:paraId="7D43540F" w14:textId="40BBE38D" w:rsidR="00AA38B7" w:rsidRPr="00AA38B7" w:rsidRDefault="00AA38B7" w:rsidP="00AA38B7">
      <w:pPr>
        <w:tabs>
          <w:tab w:val="left" w:pos="591"/>
        </w:tabs>
        <w:sectPr w:rsidR="00AA38B7" w:rsidRPr="00AA38B7" w:rsidSect="00041C4E">
          <w:pgSz w:w="15840" w:h="12240" w:orient="landscape"/>
          <w:pgMar w:top="1440" w:right="1440" w:bottom="1440" w:left="1440" w:header="709" w:footer="709" w:gutter="0"/>
          <w:cols w:space="708"/>
          <w:titlePg/>
          <w:docGrid w:linePitch="360"/>
        </w:sectPr>
      </w:pPr>
    </w:p>
    <w:p w14:paraId="61966DBC" w14:textId="3FC87C01" w:rsidR="004A7E55" w:rsidRDefault="000E4EDA" w:rsidP="00CB4744">
      <w:pPr>
        <w:pStyle w:val="Heading1"/>
      </w:pPr>
      <w:bookmarkStart w:id="7" w:name="_Toc152764288"/>
      <w:bookmarkStart w:id="8" w:name="_Toc153356545"/>
      <w:r w:rsidRPr="00D10D3B">
        <w:rPr>
          <w:b/>
          <w:bCs/>
        </w:rPr>
        <w:lastRenderedPageBreak/>
        <w:t>Supplementa</w:t>
      </w:r>
      <w:r w:rsidR="006C3266">
        <w:rPr>
          <w:b/>
          <w:bCs/>
        </w:rPr>
        <w:t>l</w:t>
      </w:r>
      <w:r w:rsidRPr="00D10D3B">
        <w:rPr>
          <w:b/>
          <w:bCs/>
        </w:rPr>
        <w:t xml:space="preserve"> Table </w:t>
      </w:r>
      <w:r w:rsidR="00F31633" w:rsidRPr="00D10D3B">
        <w:rPr>
          <w:b/>
          <w:bCs/>
        </w:rPr>
        <w:t>5</w:t>
      </w:r>
      <w:r w:rsidRPr="00D10D3B">
        <w:rPr>
          <w:b/>
          <w:bCs/>
        </w:rPr>
        <w:t xml:space="preserve">. </w:t>
      </w:r>
      <w:r w:rsidRPr="00D10D3B">
        <w:t>Sensitivity analyses of the use of correlation coefficients of 0.25 and 0.75 for crossover trials in the primary analysis of the effect of soy isoflavones on measures of estrogenicity</w:t>
      </w:r>
      <w:bookmarkEnd w:id="7"/>
      <w:bookmarkEnd w:id="8"/>
    </w:p>
    <w:p w14:paraId="1CAAD484" w14:textId="60A78978" w:rsidR="000E4EDA" w:rsidRDefault="000E4EDA"/>
    <w:tbl>
      <w:tblPr>
        <w:tblW w:w="9918" w:type="dxa"/>
        <w:tblCellMar>
          <w:top w:w="15" w:type="dxa"/>
          <w:left w:w="15" w:type="dxa"/>
          <w:bottom w:w="15" w:type="dxa"/>
          <w:right w:w="15" w:type="dxa"/>
        </w:tblCellMar>
        <w:tblLook w:val="04A0" w:firstRow="1" w:lastRow="0" w:firstColumn="1" w:lastColumn="0" w:noHBand="0" w:noVBand="1"/>
      </w:tblPr>
      <w:tblGrid>
        <w:gridCol w:w="2547"/>
        <w:gridCol w:w="2693"/>
        <w:gridCol w:w="2410"/>
        <w:gridCol w:w="2268"/>
      </w:tblGrid>
      <w:tr w:rsidR="000E4EDA" w:rsidRPr="000E4EDA" w14:paraId="52A0AD03" w14:textId="77777777" w:rsidTr="000E4EDA">
        <w:tc>
          <w:tcPr>
            <w:tcW w:w="2547"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C553216" w14:textId="77777777" w:rsidR="000E4EDA" w:rsidRPr="000E4EDA" w:rsidRDefault="000E4EDA" w:rsidP="000E4EDA"/>
        </w:tc>
        <w:tc>
          <w:tcPr>
            <w:tcW w:w="7371" w:type="dxa"/>
            <w:gridSpan w:val="3"/>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B6F46FD" w14:textId="77777777" w:rsidR="000E4EDA" w:rsidRPr="000E4EDA" w:rsidRDefault="000E4EDA" w:rsidP="000E4EDA">
            <w:pPr>
              <w:spacing w:before="480"/>
              <w:jc w:val="center"/>
            </w:pPr>
            <w:r w:rsidRPr="000E4EDA">
              <w:rPr>
                <w:rFonts w:ascii="Calibri" w:hAnsi="Calibri"/>
                <w:b/>
                <w:bCs/>
                <w:color w:val="2F5496"/>
                <w:sz w:val="16"/>
                <w:szCs w:val="16"/>
              </w:rPr>
              <w:t>MD (95% CI), P-value</w:t>
            </w:r>
          </w:p>
          <w:p w14:paraId="77033F4F" w14:textId="77777777" w:rsidR="000E4EDA" w:rsidRPr="000E4EDA" w:rsidRDefault="000E4EDA" w:rsidP="000E4EDA">
            <w:pPr>
              <w:spacing w:after="160"/>
              <w:jc w:val="center"/>
            </w:pPr>
            <w:r w:rsidRPr="000E4EDA">
              <w:rPr>
                <w:rFonts w:ascii="Calibri" w:hAnsi="Calibri"/>
                <w:b/>
                <w:bCs/>
                <w:color w:val="000000"/>
                <w:sz w:val="16"/>
                <w:szCs w:val="16"/>
              </w:rPr>
              <w:t>I</w:t>
            </w:r>
            <w:r w:rsidRPr="000E4EDA">
              <w:rPr>
                <w:rFonts w:ascii="Calibri" w:hAnsi="Calibri"/>
                <w:b/>
                <w:bCs/>
                <w:color w:val="000000"/>
                <w:sz w:val="10"/>
                <w:szCs w:val="10"/>
                <w:vertAlign w:val="superscript"/>
              </w:rPr>
              <w:t>2</w:t>
            </w:r>
            <w:r w:rsidRPr="000E4EDA">
              <w:rPr>
                <w:rFonts w:ascii="Calibri" w:hAnsi="Calibri"/>
                <w:b/>
                <w:bCs/>
                <w:color w:val="000000"/>
                <w:sz w:val="16"/>
                <w:szCs w:val="16"/>
              </w:rPr>
              <w:t>, P-value</w:t>
            </w:r>
          </w:p>
        </w:tc>
      </w:tr>
      <w:tr w:rsidR="000E4EDA" w:rsidRPr="000E4EDA" w14:paraId="08E81272" w14:textId="77777777" w:rsidTr="000E4EDA">
        <w:tc>
          <w:tcPr>
            <w:tcW w:w="2547" w:type="dxa"/>
            <w:vMerge/>
            <w:tcBorders>
              <w:top w:val="single" w:sz="4" w:space="0" w:color="000000"/>
              <w:left w:val="single" w:sz="4" w:space="0" w:color="000000"/>
              <w:bottom w:val="single" w:sz="4" w:space="0" w:color="000000"/>
              <w:right w:val="single" w:sz="4" w:space="0" w:color="000000"/>
            </w:tcBorders>
            <w:vAlign w:val="center"/>
            <w:hideMark/>
          </w:tcPr>
          <w:p w14:paraId="791A3AE8" w14:textId="77777777" w:rsidR="000E4EDA" w:rsidRPr="000E4EDA" w:rsidRDefault="000E4EDA" w:rsidP="000E4EDA"/>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E52C8EB" w14:textId="77777777" w:rsidR="000E4EDA" w:rsidRPr="000E4EDA" w:rsidRDefault="000E4EDA" w:rsidP="000E4EDA">
            <w:pPr>
              <w:spacing w:before="480"/>
              <w:jc w:val="center"/>
            </w:pPr>
            <w:r w:rsidRPr="000E4EDA">
              <w:rPr>
                <w:rFonts w:ascii="Calibri" w:hAnsi="Calibri"/>
                <w:b/>
                <w:bCs/>
                <w:color w:val="2F5496"/>
                <w:sz w:val="16"/>
                <w:szCs w:val="16"/>
              </w:rPr>
              <w:t>Correlation Coefficient</w:t>
            </w:r>
          </w:p>
          <w:p w14:paraId="48F2DC47" w14:textId="77777777" w:rsidR="000E4EDA" w:rsidRPr="000E4EDA" w:rsidRDefault="000E4EDA" w:rsidP="000E4EDA">
            <w:pPr>
              <w:spacing w:after="160"/>
              <w:jc w:val="center"/>
            </w:pPr>
            <w:r w:rsidRPr="000E4EDA">
              <w:rPr>
                <w:rFonts w:ascii="Calibri" w:hAnsi="Calibri"/>
                <w:b/>
                <w:bCs/>
                <w:color w:val="000000"/>
                <w:sz w:val="16"/>
                <w:szCs w:val="16"/>
              </w:rPr>
              <w:t>used in the Primary Analysis</w:t>
            </w:r>
          </w:p>
        </w:tc>
        <w:tc>
          <w:tcPr>
            <w:tcW w:w="4678"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7F961D7" w14:textId="77777777" w:rsidR="000E4EDA" w:rsidRPr="000E4EDA" w:rsidRDefault="000E4EDA" w:rsidP="000E4EDA">
            <w:pPr>
              <w:spacing w:before="480"/>
              <w:jc w:val="center"/>
            </w:pPr>
            <w:r w:rsidRPr="000E4EDA">
              <w:rPr>
                <w:rFonts w:ascii="Calibri" w:hAnsi="Calibri"/>
                <w:b/>
                <w:bCs/>
                <w:color w:val="2F5496"/>
                <w:sz w:val="16"/>
                <w:szCs w:val="16"/>
              </w:rPr>
              <w:t>Correlation Coefficient used in</w:t>
            </w:r>
          </w:p>
          <w:p w14:paraId="252B4AFA" w14:textId="77777777" w:rsidR="000E4EDA" w:rsidRPr="000E4EDA" w:rsidRDefault="000E4EDA" w:rsidP="000E4EDA">
            <w:pPr>
              <w:spacing w:after="160"/>
              <w:jc w:val="center"/>
            </w:pPr>
            <w:r w:rsidRPr="000E4EDA">
              <w:rPr>
                <w:rFonts w:ascii="Calibri" w:hAnsi="Calibri"/>
                <w:b/>
                <w:bCs/>
                <w:color w:val="000000"/>
                <w:sz w:val="16"/>
                <w:szCs w:val="16"/>
              </w:rPr>
              <w:t>Sensitivity Analyses</w:t>
            </w:r>
          </w:p>
        </w:tc>
      </w:tr>
      <w:tr w:rsidR="000E4EDA" w:rsidRPr="000E4EDA" w14:paraId="5DA095B1" w14:textId="77777777" w:rsidTr="000E4EDA">
        <w:trPr>
          <w:trHeight w:val="265"/>
        </w:trPr>
        <w:tc>
          <w:tcPr>
            <w:tcW w:w="25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A1846AD" w14:textId="40059451" w:rsidR="000E4EDA" w:rsidRPr="000E4EDA" w:rsidRDefault="000E4EDA" w:rsidP="000E4EDA">
            <w:pPr>
              <w:spacing w:after="160"/>
            </w:pPr>
            <w:r>
              <w:rPr>
                <w:rFonts w:ascii="Calibri" w:hAnsi="Calibri"/>
                <w:b/>
                <w:bCs/>
                <w:color w:val="000000"/>
                <w:sz w:val="16"/>
                <w:szCs w:val="16"/>
              </w:rPr>
              <w:t>Outcomes</w:t>
            </w:r>
            <w:r w:rsidRPr="000E4EDA">
              <w:rPr>
                <w:rFonts w:ascii="Calibri" w:hAnsi="Calibri"/>
                <w:b/>
                <w:bCs/>
                <w:color w:val="000000"/>
                <w:sz w:val="16"/>
                <w:szCs w:val="16"/>
              </w:rPr>
              <w:t xml:space="preserve"> (no. crossover trial comparisons/total)</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05C3B95" w14:textId="77777777" w:rsidR="000E4EDA" w:rsidRPr="000E4EDA" w:rsidRDefault="000E4EDA" w:rsidP="000E4EDA">
            <w:pPr>
              <w:spacing w:after="160"/>
              <w:jc w:val="center"/>
            </w:pPr>
            <w:r w:rsidRPr="000E4EDA">
              <w:rPr>
                <w:rFonts w:ascii="Calibri" w:hAnsi="Calibri"/>
                <w:b/>
                <w:bCs/>
                <w:color w:val="000000"/>
                <w:sz w:val="16"/>
                <w:szCs w:val="16"/>
              </w:rPr>
              <w:t>0.5</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D6689B7" w14:textId="77777777" w:rsidR="000E4EDA" w:rsidRPr="000E4EDA" w:rsidRDefault="000E4EDA" w:rsidP="000E4EDA">
            <w:pPr>
              <w:spacing w:after="160"/>
              <w:jc w:val="center"/>
            </w:pPr>
            <w:r w:rsidRPr="000E4EDA">
              <w:rPr>
                <w:rFonts w:ascii="Calibri" w:hAnsi="Calibri"/>
                <w:b/>
                <w:bCs/>
                <w:color w:val="000000"/>
                <w:sz w:val="16"/>
                <w:szCs w:val="16"/>
              </w:rPr>
              <w:t>0.25</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31BDE901" w14:textId="77777777" w:rsidR="000E4EDA" w:rsidRPr="000E4EDA" w:rsidRDefault="000E4EDA" w:rsidP="000E4EDA">
            <w:pPr>
              <w:spacing w:after="160"/>
              <w:jc w:val="center"/>
            </w:pPr>
            <w:r w:rsidRPr="000E4EDA">
              <w:rPr>
                <w:rFonts w:ascii="Calibri" w:hAnsi="Calibri"/>
                <w:b/>
                <w:bCs/>
                <w:color w:val="000000"/>
                <w:sz w:val="16"/>
                <w:szCs w:val="16"/>
              </w:rPr>
              <w:t>0.75</w:t>
            </w:r>
          </w:p>
        </w:tc>
      </w:tr>
      <w:tr w:rsidR="000E4EDA" w:rsidRPr="000E4EDA" w14:paraId="627FA9AE" w14:textId="77777777" w:rsidTr="00DF56F3">
        <w:trPr>
          <w:trHeight w:val="273"/>
        </w:trPr>
        <w:tc>
          <w:tcPr>
            <w:tcW w:w="25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49B8854" w14:textId="59C5C915" w:rsidR="000E4EDA" w:rsidRPr="000E4EDA" w:rsidRDefault="000E4EDA" w:rsidP="000E4EDA">
            <w:r w:rsidRPr="000E4EDA">
              <w:rPr>
                <w:rFonts w:ascii="Calibri" w:hAnsi="Calibri"/>
                <w:color w:val="000000"/>
                <w:sz w:val="16"/>
                <w:szCs w:val="16"/>
              </w:rPr>
              <w:t>Endometrial thickness (</w:t>
            </w:r>
            <w:r w:rsidR="00832071">
              <w:rPr>
                <w:rFonts w:ascii="Calibri" w:hAnsi="Calibri"/>
                <w:color w:val="000000"/>
                <w:sz w:val="16"/>
                <w:szCs w:val="16"/>
              </w:rPr>
              <w:t>1</w:t>
            </w:r>
            <w:r>
              <w:rPr>
                <w:rFonts w:ascii="Calibri" w:hAnsi="Calibri"/>
                <w:color w:val="000000"/>
                <w:sz w:val="16"/>
                <w:szCs w:val="16"/>
              </w:rPr>
              <w:t>/14</w:t>
            </w:r>
            <w:r w:rsidRPr="000E4EDA">
              <w:rPr>
                <w:rFonts w:ascii="Calibri" w:hAnsi="Calibri"/>
                <w:color w:val="000000"/>
                <w:sz w:val="16"/>
                <w:szCs w:val="16"/>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hideMark/>
          </w:tcPr>
          <w:p w14:paraId="0DCA0757" w14:textId="16D1B0C7" w:rsidR="000E4EDA" w:rsidRPr="00DF56F3" w:rsidRDefault="000E4EDA" w:rsidP="000E4EDA">
            <w:pPr>
              <w:jc w:val="center"/>
            </w:pPr>
            <w:r w:rsidRPr="00DF56F3">
              <w:rPr>
                <w:rFonts w:ascii="Calibri" w:hAnsi="Calibri"/>
                <w:color w:val="000000"/>
                <w:sz w:val="16"/>
                <w:szCs w:val="16"/>
              </w:rPr>
              <w:t>-0.</w:t>
            </w:r>
            <w:r w:rsidR="00DF56F3" w:rsidRPr="00DF56F3">
              <w:rPr>
                <w:rFonts w:ascii="Calibri" w:hAnsi="Calibri"/>
                <w:color w:val="000000"/>
                <w:sz w:val="16"/>
                <w:szCs w:val="16"/>
              </w:rPr>
              <w:t>22</w:t>
            </w:r>
            <w:r w:rsidRPr="00DF56F3">
              <w:rPr>
                <w:rFonts w:ascii="Calibri" w:hAnsi="Calibri"/>
                <w:color w:val="000000"/>
                <w:sz w:val="16"/>
                <w:szCs w:val="16"/>
              </w:rPr>
              <w:t xml:space="preserve"> [-0.</w:t>
            </w:r>
            <w:r w:rsidR="00DF56F3" w:rsidRPr="00DF56F3">
              <w:rPr>
                <w:rFonts w:ascii="Calibri" w:hAnsi="Calibri"/>
                <w:color w:val="000000"/>
                <w:sz w:val="16"/>
                <w:szCs w:val="16"/>
              </w:rPr>
              <w:t>45</w:t>
            </w:r>
            <w:r w:rsidRPr="00DF56F3">
              <w:rPr>
                <w:rFonts w:ascii="Calibri" w:hAnsi="Calibri"/>
                <w:color w:val="000000"/>
                <w:sz w:val="16"/>
                <w:szCs w:val="16"/>
              </w:rPr>
              <w:t>, 0.</w:t>
            </w:r>
            <w:r w:rsidR="00DF56F3" w:rsidRPr="00DF56F3">
              <w:rPr>
                <w:rFonts w:ascii="Calibri" w:hAnsi="Calibri"/>
                <w:color w:val="000000"/>
                <w:sz w:val="16"/>
                <w:szCs w:val="16"/>
              </w:rPr>
              <w:t>01</w:t>
            </w:r>
            <w:r w:rsidRPr="00DF56F3">
              <w:rPr>
                <w:rFonts w:ascii="Calibri" w:hAnsi="Calibri"/>
                <w:color w:val="000000"/>
                <w:sz w:val="16"/>
                <w:szCs w:val="16"/>
              </w:rPr>
              <w:t>], P</w:t>
            </w:r>
            <w:r w:rsidRPr="00DF56F3">
              <w:rPr>
                <w:rFonts w:ascii="Calibri" w:hAnsi="Calibri"/>
                <w:color w:val="000000"/>
                <w:sz w:val="10"/>
                <w:szCs w:val="10"/>
                <w:vertAlign w:val="subscript"/>
              </w:rPr>
              <w:t>MD</w:t>
            </w:r>
            <w:r w:rsidRPr="00DF56F3">
              <w:rPr>
                <w:rFonts w:ascii="Calibri" w:hAnsi="Calibri"/>
                <w:color w:val="000000"/>
                <w:sz w:val="16"/>
                <w:szCs w:val="16"/>
              </w:rPr>
              <w:t>=0.</w:t>
            </w:r>
            <w:r w:rsidR="00DF56F3" w:rsidRPr="00DF56F3">
              <w:rPr>
                <w:rFonts w:ascii="Calibri" w:hAnsi="Calibri"/>
                <w:color w:val="000000"/>
                <w:sz w:val="16"/>
                <w:szCs w:val="16"/>
              </w:rPr>
              <w:t>059</w:t>
            </w:r>
          </w:p>
          <w:p w14:paraId="1A883BCC" w14:textId="6FC35E2C" w:rsidR="000E4EDA" w:rsidRPr="00DF56F3" w:rsidRDefault="000E4EDA" w:rsidP="000E4EDA">
            <w:pPr>
              <w:jc w:val="center"/>
            </w:pPr>
            <w:r w:rsidRPr="00DF56F3">
              <w:rPr>
                <w:rFonts w:ascii="Calibri" w:hAnsi="Calibri"/>
                <w:color w:val="000000"/>
                <w:sz w:val="16"/>
                <w:szCs w:val="16"/>
              </w:rPr>
              <w:t>I</w:t>
            </w:r>
            <w:r w:rsidRPr="00DF56F3">
              <w:rPr>
                <w:rFonts w:ascii="Calibri" w:hAnsi="Calibri"/>
                <w:color w:val="000000"/>
                <w:sz w:val="10"/>
                <w:szCs w:val="10"/>
                <w:vertAlign w:val="superscript"/>
              </w:rPr>
              <w:t>2</w:t>
            </w:r>
            <w:r w:rsidRPr="00DF56F3">
              <w:rPr>
                <w:rFonts w:ascii="Calibri" w:hAnsi="Calibri"/>
                <w:color w:val="000000"/>
                <w:sz w:val="16"/>
                <w:szCs w:val="16"/>
              </w:rPr>
              <w:t>=</w:t>
            </w:r>
            <w:r w:rsidR="00956C93">
              <w:rPr>
                <w:rFonts w:ascii="Calibri" w:hAnsi="Calibri"/>
                <w:color w:val="000000"/>
                <w:sz w:val="16"/>
                <w:szCs w:val="16"/>
              </w:rPr>
              <w:t>69</w:t>
            </w:r>
            <w:r w:rsidR="00DF56F3" w:rsidRPr="00DF56F3">
              <w:rPr>
                <w:rFonts w:ascii="Calibri" w:hAnsi="Calibri"/>
                <w:color w:val="000000"/>
                <w:sz w:val="16"/>
                <w:szCs w:val="16"/>
              </w:rPr>
              <w:t>.</w:t>
            </w:r>
            <w:r w:rsidR="00956C93">
              <w:rPr>
                <w:rFonts w:ascii="Calibri" w:hAnsi="Calibri"/>
                <w:color w:val="000000"/>
                <w:sz w:val="16"/>
                <w:szCs w:val="16"/>
              </w:rPr>
              <w:t>3</w:t>
            </w:r>
            <w:r w:rsidRPr="00DF56F3">
              <w:rPr>
                <w:rFonts w:ascii="Calibri" w:hAnsi="Calibri"/>
                <w:color w:val="000000"/>
                <w:sz w:val="16"/>
                <w:szCs w:val="16"/>
              </w:rPr>
              <w:t>%, P</w:t>
            </w:r>
            <w:r w:rsidRPr="00DF56F3">
              <w:rPr>
                <w:rFonts w:ascii="Calibri" w:hAnsi="Calibri"/>
                <w:color w:val="000000"/>
                <w:sz w:val="10"/>
                <w:szCs w:val="10"/>
                <w:vertAlign w:val="subscript"/>
              </w:rPr>
              <w:t>Q</w:t>
            </w:r>
            <w:r w:rsidR="00956C93">
              <w:rPr>
                <w:rFonts w:ascii="Calibri" w:hAnsi="Calibri"/>
                <w:color w:val="000000"/>
                <w:sz w:val="16"/>
                <w:szCs w:val="16"/>
              </w:rPr>
              <w:t>&lt;0.001</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776AB482" w14:textId="77398B1F" w:rsidR="000E4EDA" w:rsidRPr="00DF56F3" w:rsidRDefault="000E4EDA" w:rsidP="000E4EDA">
            <w:pPr>
              <w:jc w:val="center"/>
            </w:pPr>
            <w:r w:rsidRPr="00DF56F3">
              <w:rPr>
                <w:rFonts w:ascii="Calibri" w:hAnsi="Calibri"/>
                <w:color w:val="000000"/>
                <w:sz w:val="16"/>
                <w:szCs w:val="16"/>
              </w:rPr>
              <w:t>-0.</w:t>
            </w:r>
            <w:r w:rsidR="00DF56F3" w:rsidRPr="00DF56F3">
              <w:rPr>
                <w:rFonts w:ascii="Calibri" w:hAnsi="Calibri"/>
                <w:color w:val="000000"/>
                <w:sz w:val="16"/>
                <w:szCs w:val="16"/>
              </w:rPr>
              <w:t>22</w:t>
            </w:r>
            <w:r w:rsidRPr="00DF56F3">
              <w:rPr>
                <w:rFonts w:ascii="Calibri" w:hAnsi="Calibri"/>
                <w:color w:val="000000"/>
                <w:sz w:val="16"/>
                <w:szCs w:val="16"/>
              </w:rPr>
              <w:t xml:space="preserve"> [-</w:t>
            </w:r>
            <w:r w:rsidR="00B15D45" w:rsidRPr="00DF56F3">
              <w:rPr>
                <w:rFonts w:ascii="Calibri" w:hAnsi="Calibri"/>
                <w:color w:val="000000"/>
                <w:sz w:val="16"/>
                <w:szCs w:val="16"/>
              </w:rPr>
              <w:t>0.45</w:t>
            </w:r>
            <w:r w:rsidRPr="00DF56F3">
              <w:rPr>
                <w:rFonts w:ascii="Calibri" w:hAnsi="Calibri"/>
                <w:color w:val="000000"/>
                <w:sz w:val="16"/>
                <w:szCs w:val="16"/>
              </w:rPr>
              <w:t>, 0.</w:t>
            </w:r>
            <w:r w:rsidR="00B15D45" w:rsidRPr="00DF56F3">
              <w:rPr>
                <w:rFonts w:ascii="Calibri" w:hAnsi="Calibri"/>
                <w:color w:val="000000"/>
                <w:sz w:val="16"/>
                <w:szCs w:val="16"/>
              </w:rPr>
              <w:t>01</w:t>
            </w:r>
            <w:r w:rsidRPr="00DF56F3">
              <w:rPr>
                <w:rFonts w:ascii="Calibri" w:hAnsi="Calibri"/>
                <w:color w:val="000000"/>
                <w:sz w:val="16"/>
                <w:szCs w:val="16"/>
              </w:rPr>
              <w:t>], P</w:t>
            </w:r>
            <w:r w:rsidRPr="00DF56F3">
              <w:rPr>
                <w:rFonts w:ascii="Calibri" w:hAnsi="Calibri"/>
                <w:color w:val="000000"/>
                <w:sz w:val="10"/>
                <w:szCs w:val="10"/>
                <w:vertAlign w:val="subscript"/>
              </w:rPr>
              <w:t>MD</w:t>
            </w:r>
            <w:r w:rsidRPr="00DF56F3">
              <w:rPr>
                <w:rFonts w:ascii="Calibri" w:hAnsi="Calibri"/>
                <w:color w:val="000000"/>
                <w:sz w:val="16"/>
                <w:szCs w:val="16"/>
              </w:rPr>
              <w:t>=0.</w:t>
            </w:r>
            <w:r w:rsidR="00B15D45" w:rsidRPr="00DF56F3">
              <w:rPr>
                <w:rFonts w:ascii="Calibri" w:hAnsi="Calibri"/>
                <w:color w:val="000000"/>
                <w:sz w:val="16"/>
                <w:szCs w:val="16"/>
              </w:rPr>
              <w:t>0</w:t>
            </w:r>
            <w:r w:rsidR="00DF56F3" w:rsidRPr="00DF56F3">
              <w:rPr>
                <w:rFonts w:ascii="Calibri" w:hAnsi="Calibri"/>
                <w:color w:val="000000"/>
                <w:sz w:val="16"/>
                <w:szCs w:val="16"/>
              </w:rPr>
              <w:t>62</w:t>
            </w:r>
          </w:p>
          <w:p w14:paraId="539BD04B" w14:textId="65A826E3" w:rsidR="000E4EDA" w:rsidRPr="00DB0058" w:rsidRDefault="000E4EDA" w:rsidP="000E4EDA">
            <w:pPr>
              <w:jc w:val="center"/>
              <w:rPr>
                <w:highlight w:val="yellow"/>
              </w:rPr>
            </w:pPr>
            <w:r w:rsidRPr="00DF56F3">
              <w:rPr>
                <w:rFonts w:ascii="Calibri" w:hAnsi="Calibri"/>
                <w:color w:val="000000"/>
                <w:sz w:val="16"/>
                <w:szCs w:val="16"/>
              </w:rPr>
              <w:t>I</w:t>
            </w:r>
            <w:r w:rsidRPr="00DF56F3">
              <w:rPr>
                <w:rFonts w:ascii="Calibri" w:hAnsi="Calibri"/>
                <w:color w:val="000000"/>
                <w:sz w:val="10"/>
                <w:szCs w:val="10"/>
                <w:vertAlign w:val="superscript"/>
              </w:rPr>
              <w:t>2</w:t>
            </w:r>
            <w:r w:rsidRPr="00DF56F3">
              <w:rPr>
                <w:rFonts w:ascii="Calibri" w:hAnsi="Calibri"/>
                <w:color w:val="000000"/>
                <w:sz w:val="16"/>
                <w:szCs w:val="16"/>
              </w:rPr>
              <w:t>=</w:t>
            </w:r>
            <w:r w:rsidR="00B15D45" w:rsidRPr="00DF56F3">
              <w:rPr>
                <w:rFonts w:ascii="Calibri" w:hAnsi="Calibri"/>
                <w:color w:val="000000"/>
                <w:sz w:val="16"/>
                <w:szCs w:val="16"/>
              </w:rPr>
              <w:t>67.3</w:t>
            </w:r>
            <w:r w:rsidRPr="00DF56F3">
              <w:rPr>
                <w:rFonts w:ascii="Calibri" w:hAnsi="Calibri"/>
                <w:color w:val="000000"/>
                <w:sz w:val="16"/>
                <w:szCs w:val="16"/>
              </w:rPr>
              <w:t>%, P</w:t>
            </w:r>
            <w:r w:rsidRPr="00DF56F3">
              <w:rPr>
                <w:rFonts w:ascii="Calibri" w:hAnsi="Calibri"/>
                <w:color w:val="000000"/>
                <w:sz w:val="10"/>
                <w:szCs w:val="10"/>
                <w:vertAlign w:val="subscript"/>
              </w:rPr>
              <w:t>Q</w:t>
            </w:r>
            <w:r w:rsidR="00956C93">
              <w:rPr>
                <w:rFonts w:ascii="Calibri" w:hAnsi="Calibri"/>
                <w:color w:val="000000"/>
                <w:sz w:val="16"/>
                <w:szCs w:val="16"/>
              </w:rPr>
              <w:t>&lt;0.001</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1B92AAD6" w14:textId="4FACB915" w:rsidR="000E4EDA" w:rsidRPr="00DF56F3" w:rsidRDefault="00DF56F3" w:rsidP="000E4EDA">
            <w:pPr>
              <w:jc w:val="center"/>
            </w:pPr>
            <w:r w:rsidRPr="00DF56F3">
              <w:rPr>
                <w:rFonts w:ascii="Calibri" w:hAnsi="Calibri"/>
                <w:color w:val="000000"/>
                <w:sz w:val="16"/>
                <w:szCs w:val="16"/>
              </w:rPr>
              <w:t xml:space="preserve">-2.23 </w:t>
            </w:r>
            <w:r w:rsidR="000E4EDA" w:rsidRPr="00DF56F3">
              <w:rPr>
                <w:rFonts w:ascii="Calibri" w:hAnsi="Calibri"/>
                <w:color w:val="000000"/>
                <w:sz w:val="16"/>
                <w:szCs w:val="16"/>
              </w:rPr>
              <w:t>[-0.</w:t>
            </w:r>
            <w:r w:rsidRPr="00DF56F3">
              <w:rPr>
                <w:rFonts w:ascii="Calibri" w:hAnsi="Calibri"/>
                <w:color w:val="000000"/>
                <w:sz w:val="16"/>
                <w:szCs w:val="16"/>
              </w:rPr>
              <w:t>47</w:t>
            </w:r>
            <w:r w:rsidR="000E4EDA" w:rsidRPr="00DF56F3">
              <w:rPr>
                <w:rFonts w:ascii="Calibri" w:hAnsi="Calibri"/>
                <w:color w:val="000000"/>
                <w:sz w:val="16"/>
                <w:szCs w:val="16"/>
              </w:rPr>
              <w:t>, 0.0</w:t>
            </w:r>
            <w:r w:rsidRPr="00DF56F3">
              <w:rPr>
                <w:rFonts w:ascii="Calibri" w:hAnsi="Calibri"/>
                <w:color w:val="000000"/>
                <w:sz w:val="16"/>
                <w:szCs w:val="16"/>
              </w:rPr>
              <w:t>1</w:t>
            </w:r>
            <w:r w:rsidR="000E4EDA" w:rsidRPr="00DF56F3">
              <w:rPr>
                <w:rFonts w:ascii="Calibri" w:hAnsi="Calibri"/>
                <w:color w:val="000000"/>
                <w:sz w:val="16"/>
                <w:szCs w:val="16"/>
              </w:rPr>
              <w:t>], P</w:t>
            </w:r>
            <w:r w:rsidR="000E4EDA" w:rsidRPr="00DF56F3">
              <w:rPr>
                <w:rFonts w:ascii="Calibri" w:hAnsi="Calibri"/>
                <w:color w:val="000000"/>
                <w:sz w:val="10"/>
                <w:szCs w:val="10"/>
                <w:vertAlign w:val="subscript"/>
              </w:rPr>
              <w:t>MD</w:t>
            </w:r>
            <w:r w:rsidR="000E4EDA" w:rsidRPr="00DF56F3">
              <w:rPr>
                <w:rFonts w:ascii="Calibri" w:hAnsi="Calibri"/>
                <w:color w:val="000000"/>
                <w:sz w:val="16"/>
                <w:szCs w:val="16"/>
              </w:rPr>
              <w:t>=0.</w:t>
            </w:r>
            <w:r w:rsidRPr="00DF56F3">
              <w:rPr>
                <w:rFonts w:ascii="Calibri" w:hAnsi="Calibri"/>
                <w:color w:val="000000"/>
                <w:sz w:val="16"/>
                <w:szCs w:val="16"/>
              </w:rPr>
              <w:t>060</w:t>
            </w:r>
          </w:p>
          <w:p w14:paraId="64B08232" w14:textId="3FD935FD" w:rsidR="000E4EDA" w:rsidRPr="00DB0058" w:rsidRDefault="000E4EDA" w:rsidP="000E4EDA">
            <w:pPr>
              <w:jc w:val="center"/>
              <w:rPr>
                <w:highlight w:val="yellow"/>
              </w:rPr>
            </w:pPr>
            <w:r w:rsidRPr="00DF56F3">
              <w:rPr>
                <w:rFonts w:ascii="Calibri" w:hAnsi="Calibri"/>
                <w:color w:val="000000"/>
                <w:sz w:val="16"/>
                <w:szCs w:val="16"/>
              </w:rPr>
              <w:t>I</w:t>
            </w:r>
            <w:r w:rsidRPr="00DF56F3">
              <w:rPr>
                <w:rFonts w:ascii="Calibri" w:hAnsi="Calibri"/>
                <w:color w:val="000000"/>
                <w:sz w:val="10"/>
                <w:szCs w:val="10"/>
                <w:vertAlign w:val="superscript"/>
              </w:rPr>
              <w:t>2</w:t>
            </w:r>
            <w:r w:rsidRPr="00DF56F3">
              <w:rPr>
                <w:rFonts w:ascii="Calibri" w:hAnsi="Calibri"/>
                <w:color w:val="000000"/>
                <w:sz w:val="16"/>
                <w:szCs w:val="16"/>
              </w:rPr>
              <w:t>=</w:t>
            </w:r>
            <w:r w:rsidR="00DF56F3" w:rsidRPr="00DF56F3">
              <w:rPr>
                <w:rFonts w:ascii="Calibri" w:hAnsi="Calibri"/>
                <w:color w:val="000000"/>
                <w:sz w:val="16"/>
                <w:szCs w:val="16"/>
              </w:rPr>
              <w:t>73.6</w:t>
            </w:r>
            <w:r w:rsidRPr="00DF56F3">
              <w:rPr>
                <w:rFonts w:ascii="Calibri" w:hAnsi="Calibri"/>
                <w:color w:val="000000"/>
                <w:sz w:val="16"/>
                <w:szCs w:val="16"/>
              </w:rPr>
              <w:t>%, P</w:t>
            </w:r>
            <w:r w:rsidRPr="00DF56F3">
              <w:rPr>
                <w:rFonts w:ascii="Calibri" w:hAnsi="Calibri"/>
                <w:color w:val="000000"/>
                <w:sz w:val="10"/>
                <w:szCs w:val="10"/>
                <w:vertAlign w:val="subscript"/>
              </w:rPr>
              <w:t>Q</w:t>
            </w:r>
            <w:r w:rsidR="00956C93">
              <w:rPr>
                <w:rFonts w:ascii="Calibri" w:hAnsi="Calibri"/>
                <w:color w:val="000000"/>
                <w:sz w:val="16"/>
                <w:szCs w:val="16"/>
              </w:rPr>
              <w:t>&lt;0.001</w:t>
            </w:r>
          </w:p>
        </w:tc>
      </w:tr>
      <w:tr w:rsidR="000E4EDA" w:rsidRPr="000E4EDA" w14:paraId="777B172A" w14:textId="77777777" w:rsidTr="00DF56F3">
        <w:tc>
          <w:tcPr>
            <w:tcW w:w="25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569D592B" w14:textId="13C00FB6" w:rsidR="000E4EDA" w:rsidRPr="000E4EDA" w:rsidRDefault="000E4EDA" w:rsidP="000E4EDA">
            <w:r w:rsidRPr="000E4EDA">
              <w:rPr>
                <w:rFonts w:ascii="Calibri" w:hAnsi="Calibri"/>
                <w:color w:val="000000"/>
                <w:sz w:val="16"/>
                <w:szCs w:val="16"/>
              </w:rPr>
              <w:t xml:space="preserve">Vaginal maturation index </w:t>
            </w:r>
            <w:r>
              <w:rPr>
                <w:rFonts w:ascii="Calibri" w:hAnsi="Calibri"/>
                <w:color w:val="000000"/>
                <w:sz w:val="16"/>
                <w:szCs w:val="16"/>
              </w:rPr>
              <w:t>(</w:t>
            </w:r>
            <w:r w:rsidR="00832071">
              <w:rPr>
                <w:rFonts w:ascii="Calibri" w:hAnsi="Calibri"/>
                <w:color w:val="000000"/>
                <w:sz w:val="16"/>
                <w:szCs w:val="16"/>
              </w:rPr>
              <w:t>2</w:t>
            </w:r>
            <w:r>
              <w:rPr>
                <w:rFonts w:ascii="Calibri" w:hAnsi="Calibri"/>
                <w:color w:val="000000"/>
                <w:sz w:val="16"/>
                <w:szCs w:val="16"/>
              </w:rPr>
              <w:t>/8</w:t>
            </w:r>
            <w:r w:rsidRPr="000E4EDA">
              <w:rPr>
                <w:rFonts w:ascii="Calibri" w:hAnsi="Calibri"/>
                <w:color w:val="000000"/>
                <w:sz w:val="16"/>
                <w:szCs w:val="16"/>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hideMark/>
          </w:tcPr>
          <w:p w14:paraId="6D72A21B" w14:textId="58E3D3FF" w:rsidR="000E4EDA" w:rsidRPr="00DF56F3" w:rsidRDefault="00DF56F3" w:rsidP="000E4EDA">
            <w:pPr>
              <w:jc w:val="center"/>
            </w:pPr>
            <w:r w:rsidRPr="00DF56F3">
              <w:rPr>
                <w:rFonts w:ascii="Calibri" w:hAnsi="Calibri"/>
                <w:color w:val="000000"/>
                <w:sz w:val="16"/>
                <w:szCs w:val="16"/>
              </w:rPr>
              <w:t>2.31</w:t>
            </w:r>
            <w:r w:rsidR="000E4EDA" w:rsidRPr="00DF56F3">
              <w:rPr>
                <w:rFonts w:ascii="Calibri" w:hAnsi="Calibri"/>
                <w:color w:val="000000"/>
                <w:sz w:val="16"/>
                <w:szCs w:val="16"/>
              </w:rPr>
              <w:t xml:space="preserve"> [-</w:t>
            </w:r>
            <w:r w:rsidRPr="00DF56F3">
              <w:rPr>
                <w:rFonts w:ascii="Calibri" w:hAnsi="Calibri"/>
                <w:color w:val="000000"/>
                <w:sz w:val="16"/>
                <w:szCs w:val="16"/>
              </w:rPr>
              <w:t>2.14</w:t>
            </w:r>
            <w:r w:rsidR="000E4EDA" w:rsidRPr="00DF56F3">
              <w:rPr>
                <w:rFonts w:ascii="Calibri" w:hAnsi="Calibri"/>
                <w:color w:val="000000"/>
                <w:sz w:val="16"/>
                <w:szCs w:val="16"/>
              </w:rPr>
              <w:t xml:space="preserve">, </w:t>
            </w:r>
            <w:r w:rsidRPr="00DF56F3">
              <w:rPr>
                <w:rFonts w:ascii="Calibri" w:hAnsi="Calibri"/>
                <w:color w:val="000000"/>
                <w:sz w:val="16"/>
                <w:szCs w:val="16"/>
              </w:rPr>
              <w:t>6.75</w:t>
            </w:r>
            <w:r w:rsidR="000E4EDA" w:rsidRPr="00DF56F3">
              <w:rPr>
                <w:rFonts w:ascii="Calibri" w:hAnsi="Calibri"/>
                <w:color w:val="000000"/>
                <w:sz w:val="16"/>
                <w:szCs w:val="16"/>
              </w:rPr>
              <w:t>], P</w:t>
            </w:r>
            <w:r w:rsidR="000E4EDA" w:rsidRPr="00DF56F3">
              <w:rPr>
                <w:rFonts w:ascii="Calibri" w:hAnsi="Calibri"/>
                <w:color w:val="000000"/>
                <w:sz w:val="10"/>
                <w:szCs w:val="10"/>
                <w:vertAlign w:val="subscript"/>
              </w:rPr>
              <w:t>MD</w:t>
            </w:r>
            <w:r w:rsidR="000E4EDA" w:rsidRPr="00DF56F3">
              <w:rPr>
                <w:rFonts w:ascii="Calibri" w:hAnsi="Calibri"/>
                <w:color w:val="000000"/>
                <w:sz w:val="16"/>
                <w:szCs w:val="16"/>
              </w:rPr>
              <w:t>=0.</w:t>
            </w:r>
            <w:r w:rsidRPr="00DF56F3">
              <w:rPr>
                <w:rFonts w:ascii="Calibri" w:hAnsi="Calibri"/>
                <w:color w:val="000000"/>
                <w:sz w:val="16"/>
                <w:szCs w:val="16"/>
              </w:rPr>
              <w:t>310</w:t>
            </w:r>
          </w:p>
          <w:p w14:paraId="61C1DDB1" w14:textId="3D0AA3E3" w:rsidR="000E4EDA" w:rsidRPr="00DF56F3" w:rsidRDefault="000E4EDA" w:rsidP="000E4EDA">
            <w:pPr>
              <w:jc w:val="center"/>
            </w:pPr>
            <w:r w:rsidRPr="00DF56F3">
              <w:rPr>
                <w:rFonts w:ascii="Calibri" w:hAnsi="Calibri"/>
                <w:color w:val="000000"/>
                <w:sz w:val="16"/>
                <w:szCs w:val="16"/>
              </w:rPr>
              <w:t>I</w:t>
            </w:r>
            <w:r w:rsidRPr="00DF56F3">
              <w:rPr>
                <w:rFonts w:ascii="Calibri" w:hAnsi="Calibri"/>
                <w:color w:val="000000"/>
                <w:sz w:val="10"/>
                <w:szCs w:val="10"/>
                <w:vertAlign w:val="superscript"/>
              </w:rPr>
              <w:t>2</w:t>
            </w:r>
            <w:r w:rsidRPr="00DF56F3">
              <w:rPr>
                <w:rFonts w:ascii="Calibri" w:hAnsi="Calibri"/>
                <w:color w:val="000000"/>
                <w:sz w:val="16"/>
                <w:szCs w:val="16"/>
              </w:rPr>
              <w:t>=</w:t>
            </w:r>
            <w:r w:rsidR="00DF56F3" w:rsidRPr="00DF56F3">
              <w:rPr>
                <w:rFonts w:ascii="Calibri" w:hAnsi="Calibri"/>
                <w:color w:val="000000"/>
                <w:sz w:val="16"/>
                <w:szCs w:val="16"/>
              </w:rPr>
              <w:t>1.3</w:t>
            </w:r>
            <w:r w:rsidRPr="00DF56F3">
              <w:rPr>
                <w:rFonts w:ascii="Calibri" w:hAnsi="Calibri"/>
                <w:color w:val="000000"/>
                <w:sz w:val="16"/>
                <w:szCs w:val="16"/>
              </w:rPr>
              <w:t>%, P</w:t>
            </w:r>
            <w:r w:rsidRPr="00DF56F3">
              <w:rPr>
                <w:rFonts w:ascii="Calibri" w:hAnsi="Calibri"/>
                <w:color w:val="000000"/>
                <w:sz w:val="10"/>
                <w:szCs w:val="10"/>
                <w:vertAlign w:val="subscript"/>
              </w:rPr>
              <w:t>Q</w:t>
            </w:r>
            <w:r w:rsidRPr="00DF56F3">
              <w:rPr>
                <w:rFonts w:ascii="Calibri" w:hAnsi="Calibri"/>
                <w:color w:val="000000"/>
                <w:sz w:val="16"/>
                <w:szCs w:val="16"/>
              </w:rPr>
              <w:t>=0.</w:t>
            </w:r>
            <w:r w:rsidR="00DF56F3" w:rsidRPr="00DF56F3">
              <w:rPr>
                <w:rFonts w:ascii="Calibri" w:hAnsi="Calibri"/>
                <w:color w:val="000000"/>
                <w:sz w:val="16"/>
                <w:szCs w:val="16"/>
              </w:rPr>
              <w:t>420</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562C11D" w14:textId="2D14F56B" w:rsidR="000E4EDA" w:rsidRPr="00DF56F3" w:rsidRDefault="00DF56F3" w:rsidP="000E4EDA">
            <w:pPr>
              <w:jc w:val="center"/>
            </w:pPr>
            <w:r w:rsidRPr="00DF56F3">
              <w:rPr>
                <w:rFonts w:ascii="Calibri" w:hAnsi="Calibri"/>
                <w:color w:val="000000"/>
                <w:sz w:val="16"/>
                <w:szCs w:val="16"/>
              </w:rPr>
              <w:t>2.96</w:t>
            </w:r>
            <w:r w:rsidR="000E4EDA" w:rsidRPr="00DF56F3">
              <w:rPr>
                <w:rFonts w:ascii="Calibri" w:hAnsi="Calibri"/>
                <w:color w:val="000000"/>
                <w:sz w:val="16"/>
                <w:szCs w:val="16"/>
              </w:rPr>
              <w:t xml:space="preserve"> [-</w:t>
            </w:r>
            <w:r w:rsidRPr="00DF56F3">
              <w:rPr>
                <w:rFonts w:ascii="Calibri" w:hAnsi="Calibri"/>
                <w:color w:val="000000"/>
                <w:sz w:val="16"/>
                <w:szCs w:val="16"/>
              </w:rPr>
              <w:t>1.62</w:t>
            </w:r>
            <w:r w:rsidR="000E4EDA" w:rsidRPr="00DF56F3">
              <w:rPr>
                <w:rFonts w:ascii="Calibri" w:hAnsi="Calibri"/>
                <w:color w:val="000000"/>
                <w:sz w:val="16"/>
                <w:szCs w:val="16"/>
              </w:rPr>
              <w:t xml:space="preserve">, </w:t>
            </w:r>
            <w:r w:rsidRPr="00DF56F3">
              <w:rPr>
                <w:rFonts w:ascii="Calibri" w:hAnsi="Calibri"/>
                <w:color w:val="000000"/>
                <w:sz w:val="16"/>
                <w:szCs w:val="16"/>
              </w:rPr>
              <w:t>7.55</w:t>
            </w:r>
            <w:r w:rsidR="000E4EDA" w:rsidRPr="00DF56F3">
              <w:rPr>
                <w:rFonts w:ascii="Calibri" w:hAnsi="Calibri"/>
                <w:color w:val="000000"/>
                <w:sz w:val="16"/>
                <w:szCs w:val="16"/>
              </w:rPr>
              <w:t>], P</w:t>
            </w:r>
            <w:r w:rsidR="000E4EDA" w:rsidRPr="00DF56F3">
              <w:rPr>
                <w:rFonts w:ascii="Calibri" w:hAnsi="Calibri"/>
                <w:color w:val="000000"/>
                <w:sz w:val="10"/>
                <w:szCs w:val="10"/>
                <w:vertAlign w:val="subscript"/>
              </w:rPr>
              <w:t>MD</w:t>
            </w:r>
            <w:r w:rsidR="000E4EDA" w:rsidRPr="00DF56F3">
              <w:rPr>
                <w:rFonts w:ascii="Calibri" w:hAnsi="Calibri"/>
                <w:color w:val="000000"/>
                <w:sz w:val="16"/>
                <w:szCs w:val="16"/>
              </w:rPr>
              <w:t>=</w:t>
            </w:r>
            <w:r w:rsidRPr="00DF56F3">
              <w:rPr>
                <w:rFonts w:ascii="Calibri" w:hAnsi="Calibri"/>
                <w:color w:val="000000"/>
                <w:sz w:val="16"/>
                <w:szCs w:val="16"/>
              </w:rPr>
              <w:t>0.205</w:t>
            </w:r>
          </w:p>
          <w:p w14:paraId="1897725E" w14:textId="6C204A44" w:rsidR="000E4EDA" w:rsidRPr="00DB0058" w:rsidRDefault="000E4EDA" w:rsidP="000E4EDA">
            <w:pPr>
              <w:jc w:val="center"/>
              <w:rPr>
                <w:highlight w:val="yellow"/>
              </w:rPr>
            </w:pPr>
            <w:r w:rsidRPr="00DF56F3">
              <w:rPr>
                <w:rFonts w:ascii="Calibri" w:hAnsi="Calibri"/>
                <w:color w:val="000000"/>
                <w:sz w:val="16"/>
                <w:szCs w:val="16"/>
              </w:rPr>
              <w:t>I</w:t>
            </w:r>
            <w:r w:rsidRPr="00DF56F3">
              <w:rPr>
                <w:rFonts w:ascii="Calibri" w:hAnsi="Calibri"/>
                <w:color w:val="000000"/>
                <w:sz w:val="10"/>
                <w:szCs w:val="10"/>
                <w:vertAlign w:val="superscript"/>
              </w:rPr>
              <w:t>2</w:t>
            </w:r>
            <w:r w:rsidRPr="00DF56F3">
              <w:rPr>
                <w:rFonts w:ascii="Calibri" w:hAnsi="Calibri"/>
                <w:color w:val="000000"/>
                <w:sz w:val="16"/>
                <w:szCs w:val="16"/>
              </w:rPr>
              <w:t>=0.0%, P</w:t>
            </w:r>
            <w:r w:rsidRPr="00DF56F3">
              <w:rPr>
                <w:rFonts w:ascii="Calibri" w:hAnsi="Calibri"/>
                <w:color w:val="000000"/>
                <w:sz w:val="10"/>
                <w:szCs w:val="10"/>
                <w:vertAlign w:val="subscript"/>
              </w:rPr>
              <w:t>Q</w:t>
            </w:r>
            <w:r w:rsidRPr="00DF56F3">
              <w:rPr>
                <w:rFonts w:ascii="Calibri" w:hAnsi="Calibri"/>
                <w:color w:val="000000"/>
                <w:sz w:val="16"/>
                <w:szCs w:val="16"/>
              </w:rPr>
              <w:t>=0.</w:t>
            </w:r>
            <w:r w:rsidR="00DF56F3" w:rsidRPr="00DF56F3">
              <w:rPr>
                <w:rFonts w:ascii="Calibri" w:hAnsi="Calibri"/>
                <w:color w:val="000000"/>
                <w:sz w:val="16"/>
                <w:szCs w:val="16"/>
              </w:rPr>
              <w:t>534</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50B4B28" w14:textId="57A832B6" w:rsidR="000E4EDA" w:rsidRPr="00DF56F3" w:rsidRDefault="00DF56F3" w:rsidP="000E4EDA">
            <w:pPr>
              <w:jc w:val="center"/>
            </w:pPr>
            <w:r w:rsidRPr="00DF56F3">
              <w:rPr>
                <w:rFonts w:ascii="Calibri" w:hAnsi="Calibri"/>
                <w:color w:val="000000"/>
                <w:sz w:val="16"/>
                <w:szCs w:val="16"/>
              </w:rPr>
              <w:t>1.24</w:t>
            </w:r>
            <w:r w:rsidR="000E4EDA" w:rsidRPr="00DF56F3">
              <w:rPr>
                <w:rFonts w:ascii="Calibri" w:hAnsi="Calibri"/>
                <w:color w:val="000000"/>
                <w:sz w:val="16"/>
                <w:szCs w:val="16"/>
              </w:rPr>
              <w:t xml:space="preserve"> [-</w:t>
            </w:r>
            <w:r w:rsidRPr="00DF56F3">
              <w:rPr>
                <w:rFonts w:ascii="Calibri" w:hAnsi="Calibri"/>
                <w:color w:val="000000"/>
                <w:sz w:val="16"/>
                <w:szCs w:val="16"/>
              </w:rPr>
              <w:t>3.58</w:t>
            </w:r>
            <w:r w:rsidR="000E4EDA" w:rsidRPr="00DF56F3">
              <w:rPr>
                <w:rFonts w:ascii="Calibri" w:hAnsi="Calibri"/>
                <w:color w:val="000000"/>
                <w:sz w:val="16"/>
                <w:szCs w:val="16"/>
              </w:rPr>
              <w:t xml:space="preserve">, </w:t>
            </w:r>
            <w:r w:rsidRPr="00DF56F3">
              <w:rPr>
                <w:rFonts w:ascii="Calibri" w:hAnsi="Calibri"/>
                <w:color w:val="000000"/>
                <w:sz w:val="16"/>
                <w:szCs w:val="16"/>
              </w:rPr>
              <w:t>6.07</w:t>
            </w:r>
            <w:r w:rsidR="000E4EDA" w:rsidRPr="00DF56F3">
              <w:rPr>
                <w:rFonts w:ascii="Calibri" w:hAnsi="Calibri"/>
                <w:color w:val="000000"/>
                <w:sz w:val="16"/>
                <w:szCs w:val="16"/>
              </w:rPr>
              <w:t>], P</w:t>
            </w:r>
            <w:r w:rsidR="000E4EDA" w:rsidRPr="00DF56F3">
              <w:rPr>
                <w:rFonts w:ascii="Calibri" w:hAnsi="Calibri"/>
                <w:color w:val="000000"/>
                <w:sz w:val="10"/>
                <w:szCs w:val="10"/>
                <w:vertAlign w:val="subscript"/>
              </w:rPr>
              <w:t>MD</w:t>
            </w:r>
            <w:r w:rsidR="000E4EDA" w:rsidRPr="00DF56F3">
              <w:rPr>
                <w:rFonts w:ascii="Calibri" w:hAnsi="Calibri"/>
                <w:color w:val="000000"/>
                <w:sz w:val="16"/>
                <w:szCs w:val="16"/>
              </w:rPr>
              <w:t>=0</w:t>
            </w:r>
            <w:r w:rsidRPr="00DF56F3">
              <w:rPr>
                <w:rFonts w:ascii="Calibri" w:hAnsi="Calibri"/>
                <w:color w:val="000000"/>
                <w:sz w:val="16"/>
                <w:szCs w:val="16"/>
              </w:rPr>
              <w:t>.614</w:t>
            </w:r>
          </w:p>
          <w:p w14:paraId="1D4EEA31" w14:textId="5A7423B3" w:rsidR="000E4EDA" w:rsidRPr="00DB0058" w:rsidRDefault="000E4EDA" w:rsidP="000E4EDA">
            <w:pPr>
              <w:jc w:val="center"/>
              <w:rPr>
                <w:highlight w:val="yellow"/>
              </w:rPr>
            </w:pPr>
            <w:r w:rsidRPr="00DF56F3">
              <w:rPr>
                <w:rFonts w:ascii="Calibri" w:hAnsi="Calibri"/>
                <w:color w:val="000000"/>
                <w:sz w:val="16"/>
                <w:szCs w:val="16"/>
              </w:rPr>
              <w:t>I</w:t>
            </w:r>
            <w:r w:rsidRPr="00DF56F3">
              <w:rPr>
                <w:rFonts w:ascii="Calibri" w:hAnsi="Calibri"/>
                <w:color w:val="000000"/>
                <w:sz w:val="10"/>
                <w:szCs w:val="10"/>
                <w:vertAlign w:val="superscript"/>
              </w:rPr>
              <w:t>2</w:t>
            </w:r>
            <w:r w:rsidRPr="00DF56F3">
              <w:rPr>
                <w:rFonts w:ascii="Calibri" w:hAnsi="Calibri"/>
                <w:color w:val="000000"/>
                <w:sz w:val="16"/>
                <w:szCs w:val="16"/>
              </w:rPr>
              <w:t>=</w:t>
            </w:r>
            <w:r w:rsidR="00DF56F3" w:rsidRPr="00DF56F3">
              <w:rPr>
                <w:rFonts w:ascii="Calibri" w:hAnsi="Calibri"/>
                <w:color w:val="000000"/>
                <w:sz w:val="16"/>
                <w:szCs w:val="16"/>
              </w:rPr>
              <w:t>25.8</w:t>
            </w:r>
            <w:r w:rsidRPr="00DF56F3">
              <w:rPr>
                <w:rFonts w:ascii="Calibri" w:hAnsi="Calibri"/>
                <w:color w:val="000000"/>
                <w:sz w:val="16"/>
                <w:szCs w:val="16"/>
              </w:rPr>
              <w:t>%, P</w:t>
            </w:r>
            <w:r w:rsidRPr="00DF56F3">
              <w:rPr>
                <w:rFonts w:ascii="Calibri" w:hAnsi="Calibri"/>
                <w:color w:val="000000"/>
                <w:sz w:val="10"/>
                <w:szCs w:val="10"/>
                <w:vertAlign w:val="subscript"/>
              </w:rPr>
              <w:t>Q</w:t>
            </w:r>
            <w:r w:rsidRPr="00DF56F3">
              <w:rPr>
                <w:rFonts w:ascii="Calibri" w:hAnsi="Calibri"/>
                <w:color w:val="000000"/>
                <w:sz w:val="16"/>
                <w:szCs w:val="16"/>
              </w:rPr>
              <w:t>=0.</w:t>
            </w:r>
            <w:r w:rsidR="00DF56F3" w:rsidRPr="00DF56F3">
              <w:rPr>
                <w:rFonts w:ascii="Calibri" w:hAnsi="Calibri"/>
                <w:color w:val="000000"/>
                <w:sz w:val="16"/>
                <w:szCs w:val="16"/>
              </w:rPr>
              <w:t>223</w:t>
            </w:r>
          </w:p>
        </w:tc>
      </w:tr>
      <w:tr w:rsidR="000E4EDA" w:rsidRPr="000E4EDA" w14:paraId="4F78C74E" w14:textId="77777777" w:rsidTr="000E4EDA">
        <w:tc>
          <w:tcPr>
            <w:tcW w:w="25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48349D65" w14:textId="65AEB2B1" w:rsidR="000E4EDA" w:rsidRPr="000E4EDA" w:rsidRDefault="000E4EDA" w:rsidP="000E4EDA">
            <w:r w:rsidRPr="000E4EDA">
              <w:rPr>
                <w:rFonts w:ascii="Calibri" w:hAnsi="Calibri"/>
                <w:color w:val="000000"/>
                <w:sz w:val="16"/>
                <w:szCs w:val="16"/>
              </w:rPr>
              <w:t>Follicle-stimulating hormone (</w:t>
            </w:r>
            <w:r w:rsidR="00832071">
              <w:rPr>
                <w:rFonts w:ascii="Calibri" w:hAnsi="Calibri"/>
                <w:color w:val="000000"/>
                <w:sz w:val="16"/>
                <w:szCs w:val="16"/>
              </w:rPr>
              <w:t>4</w:t>
            </w:r>
            <w:r w:rsidRPr="000E4EDA">
              <w:rPr>
                <w:rFonts w:ascii="Calibri" w:hAnsi="Calibri"/>
                <w:color w:val="000000"/>
                <w:sz w:val="16"/>
                <w:szCs w:val="16"/>
              </w:rPr>
              <w:t>/3</w:t>
            </w:r>
            <w:r>
              <w:rPr>
                <w:rFonts w:ascii="Calibri" w:hAnsi="Calibri"/>
                <w:color w:val="000000"/>
                <w:sz w:val="16"/>
                <w:szCs w:val="16"/>
              </w:rPr>
              <w:t>1</w:t>
            </w:r>
            <w:r w:rsidRPr="000E4EDA">
              <w:rPr>
                <w:rFonts w:ascii="Calibri" w:hAnsi="Calibri"/>
                <w:color w:val="000000"/>
                <w:sz w:val="16"/>
                <w:szCs w:val="16"/>
              </w:rPr>
              <w:t>)</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586FE57" w14:textId="1F7386CB" w:rsidR="000E4EDA" w:rsidRPr="002860A3" w:rsidRDefault="00DF56F3" w:rsidP="000E4EDA">
            <w:pPr>
              <w:jc w:val="center"/>
            </w:pPr>
            <w:r w:rsidRPr="002860A3">
              <w:rPr>
                <w:rFonts w:ascii="Calibri" w:hAnsi="Calibri"/>
                <w:color w:val="000000"/>
                <w:sz w:val="16"/>
                <w:szCs w:val="16"/>
              </w:rPr>
              <w:t>-0.02</w:t>
            </w:r>
            <w:r w:rsidR="000E4EDA" w:rsidRPr="002860A3">
              <w:rPr>
                <w:rFonts w:ascii="Calibri" w:hAnsi="Calibri"/>
                <w:color w:val="000000"/>
                <w:sz w:val="16"/>
                <w:szCs w:val="16"/>
              </w:rPr>
              <w:t xml:space="preserve"> [-</w:t>
            </w:r>
            <w:r w:rsidRPr="002860A3">
              <w:rPr>
                <w:rFonts w:ascii="Calibri" w:hAnsi="Calibri"/>
                <w:color w:val="000000"/>
                <w:sz w:val="16"/>
                <w:szCs w:val="16"/>
              </w:rPr>
              <w:t>2.39</w:t>
            </w:r>
            <w:r w:rsidR="000E4EDA" w:rsidRPr="002860A3">
              <w:rPr>
                <w:rFonts w:ascii="Calibri" w:hAnsi="Calibri"/>
                <w:color w:val="000000"/>
                <w:sz w:val="16"/>
                <w:szCs w:val="16"/>
              </w:rPr>
              <w:t xml:space="preserve">, </w:t>
            </w:r>
            <w:r w:rsidRPr="002860A3">
              <w:rPr>
                <w:rFonts w:ascii="Calibri" w:hAnsi="Calibri"/>
                <w:color w:val="000000"/>
                <w:sz w:val="16"/>
                <w:szCs w:val="16"/>
              </w:rPr>
              <w:t>2.35</w:t>
            </w:r>
            <w:r w:rsidR="000E4EDA" w:rsidRPr="002860A3">
              <w:rPr>
                <w:rFonts w:ascii="Calibri" w:hAnsi="Calibri"/>
                <w:color w:val="000000"/>
                <w:sz w:val="16"/>
                <w:szCs w:val="16"/>
              </w:rPr>
              <w:t>], P</w:t>
            </w:r>
            <w:r w:rsidR="000E4EDA" w:rsidRPr="002860A3">
              <w:rPr>
                <w:rFonts w:ascii="Calibri" w:hAnsi="Calibri"/>
                <w:color w:val="000000"/>
                <w:sz w:val="10"/>
                <w:szCs w:val="10"/>
                <w:vertAlign w:val="subscript"/>
              </w:rPr>
              <w:t>MD</w:t>
            </w:r>
            <w:r w:rsidR="000E4EDA" w:rsidRPr="002860A3">
              <w:rPr>
                <w:rFonts w:ascii="Calibri" w:hAnsi="Calibri"/>
                <w:color w:val="000000"/>
                <w:sz w:val="16"/>
                <w:szCs w:val="16"/>
              </w:rPr>
              <w:t>=0.</w:t>
            </w:r>
            <w:r w:rsidRPr="002860A3">
              <w:rPr>
                <w:rFonts w:ascii="Calibri" w:hAnsi="Calibri"/>
                <w:color w:val="000000"/>
                <w:sz w:val="16"/>
                <w:szCs w:val="16"/>
              </w:rPr>
              <w:t>987</w:t>
            </w:r>
          </w:p>
          <w:p w14:paraId="46D8107E" w14:textId="32AF78A4" w:rsidR="000E4EDA" w:rsidRPr="00DB0058" w:rsidRDefault="000E4EDA" w:rsidP="000E4EDA">
            <w:pPr>
              <w:jc w:val="center"/>
              <w:rPr>
                <w:highlight w:val="yellow"/>
              </w:rPr>
            </w:pPr>
            <w:r w:rsidRPr="002860A3">
              <w:rPr>
                <w:rFonts w:ascii="Calibri" w:hAnsi="Calibri"/>
                <w:color w:val="000000"/>
                <w:sz w:val="16"/>
                <w:szCs w:val="16"/>
              </w:rPr>
              <w:t>I</w:t>
            </w:r>
            <w:r w:rsidRPr="002860A3">
              <w:rPr>
                <w:rFonts w:ascii="Calibri" w:hAnsi="Calibri"/>
                <w:color w:val="000000"/>
                <w:sz w:val="10"/>
                <w:szCs w:val="10"/>
                <w:vertAlign w:val="superscript"/>
              </w:rPr>
              <w:t>2</w:t>
            </w:r>
            <w:r w:rsidRPr="002860A3">
              <w:rPr>
                <w:rFonts w:ascii="Calibri" w:hAnsi="Calibri"/>
                <w:color w:val="000000"/>
                <w:sz w:val="16"/>
                <w:szCs w:val="16"/>
              </w:rPr>
              <w:t>=</w:t>
            </w:r>
            <w:r w:rsidR="002860A3" w:rsidRPr="002860A3">
              <w:rPr>
                <w:rFonts w:ascii="Calibri" w:hAnsi="Calibri"/>
                <w:color w:val="000000"/>
                <w:sz w:val="16"/>
                <w:szCs w:val="16"/>
              </w:rPr>
              <w:t>51.9</w:t>
            </w:r>
            <w:r w:rsidRPr="002860A3">
              <w:rPr>
                <w:rFonts w:ascii="Calibri" w:hAnsi="Calibri"/>
                <w:color w:val="000000"/>
                <w:sz w:val="16"/>
                <w:szCs w:val="16"/>
              </w:rPr>
              <w:t>%, P</w:t>
            </w:r>
            <w:r w:rsidRPr="002860A3">
              <w:rPr>
                <w:rFonts w:ascii="Calibri" w:hAnsi="Calibri"/>
                <w:color w:val="000000"/>
                <w:sz w:val="10"/>
                <w:szCs w:val="10"/>
                <w:vertAlign w:val="subscript"/>
              </w:rPr>
              <w:t>Q</w:t>
            </w:r>
            <w:r w:rsidR="00956C93">
              <w:rPr>
                <w:rFonts w:ascii="Calibri" w:hAnsi="Calibri"/>
                <w:color w:val="000000"/>
                <w:sz w:val="16"/>
                <w:szCs w:val="16"/>
              </w:rPr>
              <w:t>&lt;0.001</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089B0F73" w14:textId="49951315" w:rsidR="00DB0058" w:rsidRPr="00DB0058" w:rsidRDefault="00DB0058" w:rsidP="00DB0058">
            <w:pPr>
              <w:jc w:val="center"/>
            </w:pPr>
            <w:r w:rsidRPr="00DB0058">
              <w:rPr>
                <w:rFonts w:ascii="Calibri" w:hAnsi="Calibri"/>
                <w:color w:val="000000"/>
                <w:sz w:val="16"/>
                <w:szCs w:val="16"/>
              </w:rPr>
              <w:t>-0.03 [-2.51, 2.46], P</w:t>
            </w:r>
            <w:r w:rsidRPr="00DB0058">
              <w:rPr>
                <w:rFonts w:ascii="Calibri" w:hAnsi="Calibri"/>
                <w:color w:val="000000"/>
                <w:sz w:val="10"/>
                <w:szCs w:val="10"/>
                <w:vertAlign w:val="subscript"/>
              </w:rPr>
              <w:t>MD</w:t>
            </w:r>
            <w:r w:rsidRPr="00DB0058">
              <w:rPr>
                <w:rFonts w:ascii="Calibri" w:hAnsi="Calibri"/>
                <w:color w:val="000000"/>
                <w:sz w:val="16"/>
                <w:szCs w:val="16"/>
              </w:rPr>
              <w:t>=0.984</w:t>
            </w:r>
          </w:p>
          <w:p w14:paraId="69FD9726" w14:textId="73FC7DA2" w:rsidR="000E4EDA" w:rsidRPr="00DB0058" w:rsidRDefault="00DB0058" w:rsidP="00DB0058">
            <w:pPr>
              <w:jc w:val="center"/>
              <w:rPr>
                <w:highlight w:val="yellow"/>
              </w:rPr>
            </w:pPr>
            <w:r w:rsidRPr="00DB0058">
              <w:rPr>
                <w:rFonts w:ascii="Calibri" w:hAnsi="Calibri"/>
                <w:color w:val="000000"/>
                <w:sz w:val="16"/>
                <w:szCs w:val="16"/>
              </w:rPr>
              <w:t>I</w:t>
            </w:r>
            <w:r w:rsidRPr="00DB0058">
              <w:rPr>
                <w:rFonts w:ascii="Calibri" w:hAnsi="Calibri"/>
                <w:color w:val="000000"/>
                <w:sz w:val="10"/>
                <w:szCs w:val="10"/>
                <w:vertAlign w:val="superscript"/>
              </w:rPr>
              <w:t>2</w:t>
            </w:r>
            <w:r w:rsidRPr="00DB0058">
              <w:rPr>
                <w:rFonts w:ascii="Calibri" w:hAnsi="Calibri"/>
                <w:color w:val="000000"/>
                <w:sz w:val="16"/>
                <w:szCs w:val="16"/>
              </w:rPr>
              <w:t>=51.6%, P</w:t>
            </w:r>
            <w:r w:rsidRPr="00DB0058">
              <w:rPr>
                <w:rFonts w:ascii="Calibri" w:hAnsi="Calibri"/>
                <w:color w:val="000000"/>
                <w:sz w:val="10"/>
                <w:szCs w:val="10"/>
                <w:vertAlign w:val="subscript"/>
              </w:rPr>
              <w:t>Q</w:t>
            </w:r>
            <w:r w:rsidRPr="00DB0058">
              <w:rPr>
                <w:rFonts w:ascii="Calibri" w:hAnsi="Calibri"/>
                <w:color w:val="000000"/>
                <w:sz w:val="16"/>
                <w:szCs w:val="16"/>
              </w:rPr>
              <w:t>=0.001</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195990F" w14:textId="47EA9636" w:rsidR="00DB0058" w:rsidRPr="00DB0058" w:rsidRDefault="00DB0058" w:rsidP="00DB0058">
            <w:pPr>
              <w:jc w:val="center"/>
            </w:pPr>
            <w:r w:rsidRPr="00DB0058">
              <w:rPr>
                <w:rFonts w:ascii="Calibri" w:hAnsi="Calibri"/>
                <w:color w:val="000000"/>
                <w:sz w:val="16"/>
                <w:szCs w:val="16"/>
              </w:rPr>
              <w:t>-0.0</w:t>
            </w:r>
            <w:r>
              <w:rPr>
                <w:rFonts w:ascii="Calibri" w:hAnsi="Calibri"/>
                <w:color w:val="000000"/>
                <w:sz w:val="16"/>
                <w:szCs w:val="16"/>
              </w:rPr>
              <w:t>0</w:t>
            </w:r>
            <w:r w:rsidRPr="00DB0058">
              <w:rPr>
                <w:rFonts w:ascii="Calibri" w:hAnsi="Calibri"/>
                <w:color w:val="000000"/>
                <w:sz w:val="16"/>
                <w:szCs w:val="16"/>
              </w:rPr>
              <w:t xml:space="preserve"> [-</w:t>
            </w:r>
            <w:r>
              <w:rPr>
                <w:rFonts w:ascii="Calibri" w:hAnsi="Calibri"/>
                <w:color w:val="000000"/>
                <w:sz w:val="16"/>
                <w:szCs w:val="16"/>
              </w:rPr>
              <w:t>2.15</w:t>
            </w:r>
            <w:r w:rsidRPr="00DB0058">
              <w:rPr>
                <w:rFonts w:ascii="Calibri" w:hAnsi="Calibri"/>
                <w:color w:val="000000"/>
                <w:sz w:val="16"/>
                <w:szCs w:val="16"/>
              </w:rPr>
              <w:t xml:space="preserve">, </w:t>
            </w:r>
            <w:r>
              <w:rPr>
                <w:rFonts w:ascii="Calibri" w:hAnsi="Calibri"/>
                <w:color w:val="000000"/>
                <w:sz w:val="16"/>
                <w:szCs w:val="16"/>
              </w:rPr>
              <w:t>2.15</w:t>
            </w:r>
            <w:r w:rsidRPr="00DB0058">
              <w:rPr>
                <w:rFonts w:ascii="Calibri" w:hAnsi="Calibri"/>
                <w:color w:val="000000"/>
                <w:sz w:val="16"/>
                <w:szCs w:val="16"/>
              </w:rPr>
              <w:t>], P</w:t>
            </w:r>
            <w:r w:rsidRPr="00DB0058">
              <w:rPr>
                <w:rFonts w:ascii="Calibri" w:hAnsi="Calibri"/>
                <w:color w:val="000000"/>
                <w:sz w:val="10"/>
                <w:szCs w:val="10"/>
                <w:vertAlign w:val="subscript"/>
              </w:rPr>
              <w:t>MD</w:t>
            </w:r>
            <w:r w:rsidRPr="00DB0058">
              <w:rPr>
                <w:rFonts w:ascii="Calibri" w:hAnsi="Calibri"/>
                <w:color w:val="000000"/>
                <w:sz w:val="16"/>
                <w:szCs w:val="16"/>
              </w:rPr>
              <w:t>=0.</w:t>
            </w:r>
            <w:r>
              <w:rPr>
                <w:rFonts w:ascii="Calibri" w:hAnsi="Calibri"/>
                <w:color w:val="000000"/>
                <w:sz w:val="16"/>
                <w:szCs w:val="16"/>
              </w:rPr>
              <w:t>999</w:t>
            </w:r>
          </w:p>
          <w:p w14:paraId="409C83CB" w14:textId="75508541" w:rsidR="000E4EDA" w:rsidRPr="00DB0058" w:rsidRDefault="00DB0058" w:rsidP="00DB0058">
            <w:pPr>
              <w:jc w:val="center"/>
              <w:rPr>
                <w:highlight w:val="yellow"/>
              </w:rPr>
            </w:pPr>
            <w:r w:rsidRPr="00DB0058">
              <w:rPr>
                <w:rFonts w:ascii="Calibri" w:hAnsi="Calibri"/>
                <w:color w:val="000000"/>
                <w:sz w:val="16"/>
                <w:szCs w:val="16"/>
              </w:rPr>
              <w:t>I</w:t>
            </w:r>
            <w:r w:rsidRPr="00DB0058">
              <w:rPr>
                <w:rFonts w:ascii="Calibri" w:hAnsi="Calibri"/>
                <w:color w:val="000000"/>
                <w:sz w:val="10"/>
                <w:szCs w:val="10"/>
                <w:vertAlign w:val="superscript"/>
              </w:rPr>
              <w:t>2</w:t>
            </w:r>
            <w:r w:rsidRPr="00DB0058">
              <w:rPr>
                <w:rFonts w:ascii="Calibri" w:hAnsi="Calibri"/>
                <w:color w:val="000000"/>
                <w:sz w:val="16"/>
                <w:szCs w:val="16"/>
              </w:rPr>
              <w:t>=</w:t>
            </w:r>
            <w:r>
              <w:rPr>
                <w:rFonts w:ascii="Calibri" w:hAnsi="Calibri"/>
                <w:color w:val="000000"/>
                <w:sz w:val="16"/>
                <w:szCs w:val="16"/>
              </w:rPr>
              <w:t>52.6</w:t>
            </w:r>
            <w:r w:rsidRPr="00DB0058">
              <w:rPr>
                <w:rFonts w:ascii="Calibri" w:hAnsi="Calibri"/>
                <w:color w:val="000000"/>
                <w:sz w:val="16"/>
                <w:szCs w:val="16"/>
              </w:rPr>
              <w:t>%, P</w:t>
            </w:r>
            <w:r w:rsidRPr="00DB0058">
              <w:rPr>
                <w:rFonts w:ascii="Calibri" w:hAnsi="Calibri"/>
                <w:color w:val="000000"/>
                <w:sz w:val="10"/>
                <w:szCs w:val="10"/>
                <w:vertAlign w:val="subscript"/>
              </w:rPr>
              <w:t>Q</w:t>
            </w:r>
            <w:r w:rsidR="00956C93">
              <w:rPr>
                <w:rFonts w:ascii="Calibri" w:hAnsi="Calibri"/>
                <w:color w:val="000000"/>
                <w:sz w:val="16"/>
                <w:szCs w:val="16"/>
              </w:rPr>
              <w:t>&lt;0.001</w:t>
            </w:r>
          </w:p>
        </w:tc>
      </w:tr>
      <w:tr w:rsidR="000E4EDA" w:rsidRPr="000E4EDA" w14:paraId="38C626E6" w14:textId="77777777" w:rsidTr="000E4EDA">
        <w:tc>
          <w:tcPr>
            <w:tcW w:w="254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782DCE4" w14:textId="67D1270F" w:rsidR="000E4EDA" w:rsidRPr="000E4EDA" w:rsidRDefault="000E4EDA" w:rsidP="000E4EDA">
            <w:r w:rsidRPr="000E4EDA">
              <w:rPr>
                <w:rFonts w:ascii="Calibri" w:hAnsi="Calibri"/>
                <w:color w:val="000000"/>
                <w:sz w:val="16"/>
                <w:szCs w:val="16"/>
              </w:rPr>
              <w:t>Estradiol (4/</w:t>
            </w:r>
            <w:r>
              <w:rPr>
                <w:rFonts w:ascii="Calibri" w:hAnsi="Calibri"/>
                <w:color w:val="000000"/>
                <w:sz w:val="16"/>
                <w:szCs w:val="16"/>
              </w:rPr>
              <w:t>31</w:t>
            </w:r>
            <w:r w:rsidRPr="000E4EDA">
              <w:rPr>
                <w:rFonts w:ascii="Calibri" w:hAnsi="Calibri"/>
                <w:color w:val="000000"/>
                <w:sz w:val="16"/>
                <w:szCs w:val="16"/>
              </w:rPr>
              <w:t>)</w:t>
            </w:r>
          </w:p>
        </w:tc>
        <w:tc>
          <w:tcPr>
            <w:tcW w:w="26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26103B3" w14:textId="60C3E035" w:rsidR="000E4EDA" w:rsidRPr="002860A3" w:rsidRDefault="002860A3" w:rsidP="000E4EDA">
            <w:pPr>
              <w:jc w:val="center"/>
            </w:pPr>
            <w:r w:rsidRPr="002860A3">
              <w:rPr>
                <w:rFonts w:ascii="Calibri" w:hAnsi="Calibri"/>
                <w:color w:val="000000"/>
                <w:sz w:val="16"/>
                <w:szCs w:val="16"/>
              </w:rPr>
              <w:t>1.61</w:t>
            </w:r>
            <w:r w:rsidR="000E4EDA" w:rsidRPr="002860A3">
              <w:rPr>
                <w:rFonts w:ascii="Calibri" w:hAnsi="Calibri"/>
                <w:color w:val="000000"/>
                <w:sz w:val="16"/>
                <w:szCs w:val="16"/>
              </w:rPr>
              <w:t xml:space="preserve"> [-</w:t>
            </w:r>
            <w:r w:rsidRPr="002860A3">
              <w:rPr>
                <w:rFonts w:ascii="Calibri" w:hAnsi="Calibri"/>
                <w:color w:val="000000"/>
                <w:sz w:val="16"/>
                <w:szCs w:val="16"/>
              </w:rPr>
              <w:t>1.17</w:t>
            </w:r>
            <w:r w:rsidR="000E4EDA" w:rsidRPr="002860A3">
              <w:rPr>
                <w:rFonts w:ascii="Calibri" w:hAnsi="Calibri"/>
                <w:color w:val="000000"/>
                <w:sz w:val="16"/>
                <w:szCs w:val="16"/>
              </w:rPr>
              <w:t xml:space="preserve">, </w:t>
            </w:r>
            <w:r w:rsidRPr="002860A3">
              <w:rPr>
                <w:rFonts w:ascii="Calibri" w:hAnsi="Calibri"/>
                <w:color w:val="000000"/>
                <w:sz w:val="16"/>
                <w:szCs w:val="16"/>
              </w:rPr>
              <w:t>4.38</w:t>
            </w:r>
            <w:r w:rsidR="000E4EDA" w:rsidRPr="002860A3">
              <w:rPr>
                <w:rFonts w:ascii="Calibri" w:hAnsi="Calibri"/>
                <w:color w:val="000000"/>
                <w:sz w:val="16"/>
                <w:szCs w:val="16"/>
              </w:rPr>
              <w:t>], P</w:t>
            </w:r>
            <w:r w:rsidR="000E4EDA" w:rsidRPr="002860A3">
              <w:rPr>
                <w:rFonts w:ascii="Calibri" w:hAnsi="Calibri"/>
                <w:color w:val="000000"/>
                <w:sz w:val="10"/>
                <w:szCs w:val="10"/>
                <w:vertAlign w:val="subscript"/>
              </w:rPr>
              <w:t>MD</w:t>
            </w:r>
            <w:r w:rsidR="000E4EDA" w:rsidRPr="002860A3">
              <w:rPr>
                <w:rFonts w:ascii="Calibri" w:hAnsi="Calibri"/>
                <w:color w:val="000000"/>
                <w:sz w:val="16"/>
                <w:szCs w:val="16"/>
              </w:rPr>
              <w:t>=0.</w:t>
            </w:r>
            <w:r w:rsidRPr="002860A3">
              <w:rPr>
                <w:rFonts w:ascii="Calibri" w:hAnsi="Calibri"/>
                <w:color w:val="000000"/>
                <w:sz w:val="16"/>
                <w:szCs w:val="16"/>
              </w:rPr>
              <w:t>256</w:t>
            </w:r>
          </w:p>
          <w:p w14:paraId="7ED7C0F1" w14:textId="7739CB19" w:rsidR="000E4EDA" w:rsidRPr="00DB0058" w:rsidRDefault="000E4EDA" w:rsidP="000E4EDA">
            <w:pPr>
              <w:jc w:val="center"/>
              <w:rPr>
                <w:highlight w:val="yellow"/>
              </w:rPr>
            </w:pPr>
            <w:r w:rsidRPr="002860A3">
              <w:rPr>
                <w:rFonts w:ascii="Calibri" w:hAnsi="Calibri"/>
                <w:color w:val="000000"/>
                <w:sz w:val="16"/>
                <w:szCs w:val="16"/>
              </w:rPr>
              <w:t>I</w:t>
            </w:r>
            <w:r w:rsidRPr="002860A3">
              <w:rPr>
                <w:rFonts w:ascii="Calibri" w:hAnsi="Calibri"/>
                <w:color w:val="000000"/>
                <w:sz w:val="10"/>
                <w:szCs w:val="10"/>
                <w:vertAlign w:val="superscript"/>
              </w:rPr>
              <w:t>2</w:t>
            </w:r>
            <w:r w:rsidRPr="002860A3">
              <w:rPr>
                <w:rFonts w:ascii="Calibri" w:hAnsi="Calibri"/>
                <w:color w:val="000000"/>
                <w:sz w:val="16"/>
                <w:szCs w:val="16"/>
              </w:rPr>
              <w:t>=</w:t>
            </w:r>
            <w:r w:rsidR="002860A3" w:rsidRPr="002860A3">
              <w:rPr>
                <w:rFonts w:ascii="Calibri" w:hAnsi="Calibri"/>
                <w:color w:val="000000"/>
                <w:sz w:val="16"/>
                <w:szCs w:val="16"/>
              </w:rPr>
              <w:t>23.5%</w:t>
            </w:r>
            <w:r w:rsidRPr="002860A3">
              <w:rPr>
                <w:rFonts w:ascii="Calibri" w:hAnsi="Calibri"/>
                <w:color w:val="000000"/>
                <w:sz w:val="16"/>
                <w:szCs w:val="16"/>
              </w:rPr>
              <w:t>, P</w:t>
            </w:r>
            <w:r w:rsidRPr="002860A3">
              <w:rPr>
                <w:rFonts w:ascii="Calibri" w:hAnsi="Calibri"/>
                <w:color w:val="000000"/>
                <w:sz w:val="10"/>
                <w:szCs w:val="10"/>
                <w:vertAlign w:val="subscript"/>
              </w:rPr>
              <w:t>Q</w:t>
            </w:r>
            <w:r w:rsidRPr="002860A3">
              <w:rPr>
                <w:rFonts w:ascii="Calibri" w:hAnsi="Calibri"/>
                <w:color w:val="000000"/>
                <w:sz w:val="16"/>
                <w:szCs w:val="16"/>
              </w:rPr>
              <w:t>=</w:t>
            </w:r>
            <w:r w:rsidR="002860A3" w:rsidRPr="002860A3">
              <w:rPr>
                <w:rFonts w:ascii="Calibri" w:hAnsi="Calibri"/>
                <w:color w:val="000000"/>
                <w:sz w:val="16"/>
                <w:szCs w:val="16"/>
              </w:rPr>
              <w:t>0.121</w:t>
            </w:r>
            <w:r w:rsidRPr="002860A3">
              <w:rPr>
                <w:rFonts w:ascii="Calibri" w:hAnsi="Calibri"/>
                <w:color w:val="000000"/>
                <w:sz w:val="16"/>
                <w:szCs w:val="16"/>
              </w:rPr>
              <w:t> </w:t>
            </w:r>
          </w:p>
        </w:tc>
        <w:tc>
          <w:tcPr>
            <w:tcW w:w="241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2D7ED488" w14:textId="1A64C703" w:rsidR="00DB0058" w:rsidRPr="000E4EDA" w:rsidRDefault="00DB0058" w:rsidP="00DB0058">
            <w:pPr>
              <w:jc w:val="center"/>
            </w:pPr>
            <w:r>
              <w:rPr>
                <w:rFonts w:ascii="Calibri" w:hAnsi="Calibri"/>
                <w:color w:val="000000"/>
                <w:sz w:val="16"/>
                <w:szCs w:val="16"/>
              </w:rPr>
              <w:t>1.65</w:t>
            </w:r>
            <w:r w:rsidRPr="000E4EDA">
              <w:rPr>
                <w:rFonts w:ascii="Calibri" w:hAnsi="Calibri"/>
                <w:color w:val="000000"/>
                <w:sz w:val="16"/>
                <w:szCs w:val="16"/>
              </w:rPr>
              <w:t xml:space="preserve"> [-</w:t>
            </w:r>
            <w:r>
              <w:rPr>
                <w:rFonts w:ascii="Calibri" w:hAnsi="Calibri"/>
                <w:color w:val="000000"/>
                <w:sz w:val="16"/>
                <w:szCs w:val="16"/>
              </w:rPr>
              <w:t>1.14</w:t>
            </w:r>
            <w:r w:rsidRPr="000E4EDA">
              <w:rPr>
                <w:rFonts w:ascii="Calibri" w:hAnsi="Calibri"/>
                <w:color w:val="000000"/>
                <w:sz w:val="16"/>
                <w:szCs w:val="16"/>
              </w:rPr>
              <w:t xml:space="preserve">, </w:t>
            </w:r>
            <w:r>
              <w:rPr>
                <w:rFonts w:ascii="Calibri" w:hAnsi="Calibri"/>
                <w:color w:val="000000"/>
                <w:sz w:val="16"/>
                <w:szCs w:val="16"/>
              </w:rPr>
              <w:t>4.43</w:t>
            </w:r>
            <w:r w:rsidRPr="000E4EDA">
              <w:rPr>
                <w:rFonts w:ascii="Calibri" w:hAnsi="Calibri"/>
                <w:color w:val="000000"/>
                <w:sz w:val="16"/>
                <w:szCs w:val="16"/>
              </w:rPr>
              <w:t>], P</w:t>
            </w:r>
            <w:r w:rsidRPr="000E4EDA">
              <w:rPr>
                <w:rFonts w:ascii="Calibri" w:hAnsi="Calibri"/>
                <w:color w:val="000000"/>
                <w:sz w:val="10"/>
                <w:szCs w:val="10"/>
                <w:vertAlign w:val="subscript"/>
              </w:rPr>
              <w:t>MD</w:t>
            </w:r>
            <w:r w:rsidRPr="000E4EDA">
              <w:rPr>
                <w:rFonts w:ascii="Calibri" w:hAnsi="Calibri"/>
                <w:color w:val="000000"/>
                <w:sz w:val="16"/>
                <w:szCs w:val="16"/>
              </w:rPr>
              <w:t>=0.</w:t>
            </w:r>
            <w:r>
              <w:rPr>
                <w:rFonts w:ascii="Calibri" w:hAnsi="Calibri"/>
                <w:color w:val="000000"/>
                <w:sz w:val="16"/>
                <w:szCs w:val="16"/>
              </w:rPr>
              <w:t>246</w:t>
            </w:r>
          </w:p>
          <w:p w14:paraId="3611D25D" w14:textId="3C916A1D" w:rsidR="000E4EDA" w:rsidRPr="000E4EDA" w:rsidRDefault="00DB0058" w:rsidP="00DB0058">
            <w:pPr>
              <w:jc w:val="center"/>
            </w:pPr>
            <w:r w:rsidRPr="000E4EDA">
              <w:rPr>
                <w:rFonts w:ascii="Calibri" w:hAnsi="Calibri"/>
                <w:color w:val="000000"/>
                <w:sz w:val="16"/>
                <w:szCs w:val="16"/>
              </w:rPr>
              <w:t>I</w:t>
            </w:r>
            <w:r w:rsidRPr="000E4EDA">
              <w:rPr>
                <w:rFonts w:ascii="Calibri" w:hAnsi="Calibri"/>
                <w:color w:val="000000"/>
                <w:sz w:val="10"/>
                <w:szCs w:val="10"/>
                <w:vertAlign w:val="superscript"/>
              </w:rPr>
              <w:t>2</w:t>
            </w:r>
            <w:r w:rsidRPr="000E4EDA">
              <w:rPr>
                <w:rFonts w:ascii="Calibri" w:hAnsi="Calibri"/>
                <w:color w:val="000000"/>
                <w:sz w:val="16"/>
                <w:szCs w:val="16"/>
              </w:rPr>
              <w:t>=</w:t>
            </w:r>
            <w:r>
              <w:rPr>
                <w:rFonts w:ascii="Calibri" w:hAnsi="Calibri"/>
                <w:color w:val="000000"/>
                <w:sz w:val="16"/>
                <w:szCs w:val="16"/>
              </w:rPr>
              <w:t>20.7</w:t>
            </w:r>
            <w:r w:rsidRPr="000E4EDA">
              <w:rPr>
                <w:rFonts w:ascii="Calibri" w:hAnsi="Calibri"/>
                <w:color w:val="000000"/>
                <w:sz w:val="16"/>
                <w:szCs w:val="16"/>
              </w:rPr>
              <w:t>, P</w:t>
            </w:r>
            <w:r w:rsidRPr="000E4EDA">
              <w:rPr>
                <w:rFonts w:ascii="Calibri" w:hAnsi="Calibri"/>
                <w:color w:val="000000"/>
                <w:sz w:val="10"/>
                <w:szCs w:val="10"/>
                <w:vertAlign w:val="subscript"/>
              </w:rPr>
              <w:t>Q</w:t>
            </w:r>
            <w:r w:rsidRPr="000E4EDA">
              <w:rPr>
                <w:rFonts w:ascii="Calibri" w:hAnsi="Calibri"/>
                <w:color w:val="000000"/>
                <w:sz w:val="16"/>
                <w:szCs w:val="16"/>
              </w:rPr>
              <w:t>=</w:t>
            </w:r>
            <w:r>
              <w:rPr>
                <w:rFonts w:ascii="Calibri" w:hAnsi="Calibri"/>
                <w:color w:val="000000"/>
                <w:sz w:val="16"/>
                <w:szCs w:val="16"/>
              </w:rPr>
              <w:t>0.154</w:t>
            </w:r>
            <w:r w:rsidRPr="000E4EDA">
              <w:rPr>
                <w:rFonts w:ascii="Calibri" w:hAnsi="Calibri"/>
                <w:color w:val="000000"/>
                <w:sz w:val="16"/>
                <w:szCs w:val="16"/>
              </w:rPr>
              <w:t> </w:t>
            </w:r>
          </w:p>
        </w:tc>
        <w:tc>
          <w:tcPr>
            <w:tcW w:w="22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14:paraId="6C66F0BF" w14:textId="01A1D176" w:rsidR="00DB0058" w:rsidRPr="000E4EDA" w:rsidRDefault="00DB0058" w:rsidP="00DB0058">
            <w:pPr>
              <w:jc w:val="center"/>
            </w:pPr>
            <w:r>
              <w:rPr>
                <w:rFonts w:ascii="Calibri" w:hAnsi="Calibri"/>
                <w:color w:val="000000"/>
                <w:sz w:val="16"/>
                <w:szCs w:val="16"/>
              </w:rPr>
              <w:t>1.54</w:t>
            </w:r>
            <w:r w:rsidRPr="000E4EDA">
              <w:rPr>
                <w:rFonts w:ascii="Calibri" w:hAnsi="Calibri"/>
                <w:color w:val="000000"/>
                <w:sz w:val="16"/>
                <w:szCs w:val="16"/>
              </w:rPr>
              <w:t xml:space="preserve"> [-</w:t>
            </w:r>
            <w:r>
              <w:rPr>
                <w:rFonts w:ascii="Calibri" w:hAnsi="Calibri"/>
                <w:color w:val="000000"/>
                <w:sz w:val="16"/>
                <w:szCs w:val="16"/>
              </w:rPr>
              <w:t>1.23</w:t>
            </w:r>
            <w:r w:rsidRPr="000E4EDA">
              <w:rPr>
                <w:rFonts w:ascii="Calibri" w:hAnsi="Calibri"/>
                <w:color w:val="000000"/>
                <w:sz w:val="16"/>
                <w:szCs w:val="16"/>
              </w:rPr>
              <w:t xml:space="preserve">, </w:t>
            </w:r>
            <w:r>
              <w:rPr>
                <w:rFonts w:ascii="Calibri" w:hAnsi="Calibri"/>
                <w:color w:val="000000"/>
                <w:sz w:val="16"/>
                <w:szCs w:val="16"/>
              </w:rPr>
              <w:t>4.31</w:t>
            </w:r>
            <w:r w:rsidRPr="000E4EDA">
              <w:rPr>
                <w:rFonts w:ascii="Calibri" w:hAnsi="Calibri"/>
                <w:color w:val="000000"/>
                <w:sz w:val="16"/>
                <w:szCs w:val="16"/>
              </w:rPr>
              <w:t>], P</w:t>
            </w:r>
            <w:r w:rsidRPr="000E4EDA">
              <w:rPr>
                <w:rFonts w:ascii="Calibri" w:hAnsi="Calibri"/>
                <w:color w:val="000000"/>
                <w:sz w:val="10"/>
                <w:szCs w:val="10"/>
                <w:vertAlign w:val="subscript"/>
              </w:rPr>
              <w:t>MD</w:t>
            </w:r>
            <w:r w:rsidRPr="000E4EDA">
              <w:rPr>
                <w:rFonts w:ascii="Calibri" w:hAnsi="Calibri"/>
                <w:color w:val="000000"/>
                <w:sz w:val="16"/>
                <w:szCs w:val="16"/>
              </w:rPr>
              <w:t>=0.</w:t>
            </w:r>
            <w:r>
              <w:rPr>
                <w:rFonts w:ascii="Calibri" w:hAnsi="Calibri"/>
                <w:color w:val="000000"/>
                <w:sz w:val="16"/>
                <w:szCs w:val="16"/>
              </w:rPr>
              <w:t>276</w:t>
            </w:r>
          </w:p>
          <w:p w14:paraId="64C01A84" w14:textId="4AF9EE8B" w:rsidR="000E4EDA" w:rsidRPr="00DB0058" w:rsidRDefault="00DB0058" w:rsidP="00DB0058">
            <w:pPr>
              <w:jc w:val="center"/>
              <w:rPr>
                <w:highlight w:val="yellow"/>
              </w:rPr>
            </w:pPr>
            <w:r w:rsidRPr="000E4EDA">
              <w:rPr>
                <w:rFonts w:ascii="Calibri" w:hAnsi="Calibri"/>
                <w:color w:val="000000"/>
                <w:sz w:val="16"/>
                <w:szCs w:val="16"/>
              </w:rPr>
              <w:t>I</w:t>
            </w:r>
            <w:r w:rsidRPr="000E4EDA">
              <w:rPr>
                <w:rFonts w:ascii="Calibri" w:hAnsi="Calibri"/>
                <w:color w:val="000000"/>
                <w:sz w:val="10"/>
                <w:szCs w:val="10"/>
                <w:vertAlign w:val="superscript"/>
              </w:rPr>
              <w:t>2</w:t>
            </w:r>
            <w:r w:rsidRPr="000E4EDA">
              <w:rPr>
                <w:rFonts w:ascii="Calibri" w:hAnsi="Calibri"/>
                <w:color w:val="000000"/>
                <w:sz w:val="16"/>
                <w:szCs w:val="16"/>
              </w:rPr>
              <w:t>=</w:t>
            </w:r>
            <w:r>
              <w:rPr>
                <w:rFonts w:ascii="Calibri" w:hAnsi="Calibri"/>
                <w:color w:val="000000"/>
                <w:sz w:val="16"/>
                <w:szCs w:val="16"/>
              </w:rPr>
              <w:t>29.9</w:t>
            </w:r>
            <w:r w:rsidRPr="000E4EDA">
              <w:rPr>
                <w:rFonts w:ascii="Calibri" w:hAnsi="Calibri"/>
                <w:color w:val="000000"/>
                <w:sz w:val="16"/>
                <w:szCs w:val="16"/>
              </w:rPr>
              <w:t>, P</w:t>
            </w:r>
            <w:r w:rsidRPr="000E4EDA">
              <w:rPr>
                <w:rFonts w:ascii="Calibri" w:hAnsi="Calibri"/>
                <w:color w:val="000000"/>
                <w:sz w:val="10"/>
                <w:szCs w:val="10"/>
                <w:vertAlign w:val="subscript"/>
              </w:rPr>
              <w:t>Q</w:t>
            </w:r>
            <w:r w:rsidRPr="000E4EDA">
              <w:rPr>
                <w:rFonts w:ascii="Calibri" w:hAnsi="Calibri"/>
                <w:color w:val="000000"/>
                <w:sz w:val="16"/>
                <w:szCs w:val="16"/>
              </w:rPr>
              <w:t>=</w:t>
            </w:r>
            <w:r>
              <w:rPr>
                <w:rFonts w:ascii="Calibri" w:hAnsi="Calibri"/>
                <w:color w:val="000000"/>
                <w:sz w:val="16"/>
                <w:szCs w:val="16"/>
              </w:rPr>
              <w:t>0.061</w:t>
            </w:r>
            <w:r w:rsidRPr="000E4EDA">
              <w:rPr>
                <w:rFonts w:ascii="Calibri" w:hAnsi="Calibri"/>
                <w:color w:val="000000"/>
                <w:sz w:val="16"/>
                <w:szCs w:val="16"/>
              </w:rPr>
              <w:t> </w:t>
            </w:r>
          </w:p>
        </w:tc>
      </w:tr>
    </w:tbl>
    <w:p w14:paraId="3150AE6F" w14:textId="77777777" w:rsidR="00D10D3B" w:rsidRDefault="00D10D3B">
      <w:pPr>
        <w:rPr>
          <w:b/>
          <w:bCs/>
        </w:rPr>
      </w:pPr>
    </w:p>
    <w:p w14:paraId="16374DBE" w14:textId="32F23EA9" w:rsidR="00897A88" w:rsidRDefault="00D10D3B">
      <w:pPr>
        <w:rPr>
          <w:sz w:val="16"/>
          <w:szCs w:val="16"/>
        </w:rPr>
      </w:pPr>
      <w:r>
        <w:rPr>
          <w:sz w:val="16"/>
          <w:szCs w:val="16"/>
        </w:rPr>
        <w:t>CI, confidence interval</w:t>
      </w:r>
      <w:r w:rsidR="001E732F">
        <w:rPr>
          <w:sz w:val="16"/>
          <w:szCs w:val="16"/>
        </w:rPr>
        <w:t>; MD, mean difference</w:t>
      </w:r>
    </w:p>
    <w:p w14:paraId="125AAF7E" w14:textId="77777777" w:rsidR="00897A88" w:rsidRDefault="00897A88">
      <w:pPr>
        <w:rPr>
          <w:sz w:val="16"/>
          <w:szCs w:val="16"/>
        </w:rPr>
      </w:pPr>
      <w:r>
        <w:rPr>
          <w:sz w:val="16"/>
          <w:szCs w:val="16"/>
        </w:rPr>
        <w:br w:type="page"/>
      </w:r>
    </w:p>
    <w:p w14:paraId="10C29ACB" w14:textId="77777777" w:rsidR="00897A88" w:rsidRDefault="00897A88">
      <w:pPr>
        <w:rPr>
          <w:b/>
          <w:bCs/>
        </w:rPr>
        <w:sectPr w:rsidR="00897A88" w:rsidSect="00041C4E">
          <w:pgSz w:w="12240" w:h="15840"/>
          <w:pgMar w:top="1440" w:right="1440" w:bottom="1440" w:left="1440" w:header="708" w:footer="708" w:gutter="0"/>
          <w:cols w:space="708"/>
          <w:titlePg/>
          <w:docGrid w:linePitch="360"/>
        </w:sectPr>
      </w:pPr>
    </w:p>
    <w:p w14:paraId="33CF4E0E" w14:textId="0949FDBF" w:rsidR="00897A88" w:rsidRDefault="00897A88" w:rsidP="00CB4744">
      <w:pPr>
        <w:pStyle w:val="Heading1"/>
      </w:pPr>
      <w:bookmarkStart w:id="9" w:name="_Toc152764289"/>
      <w:bookmarkStart w:id="10" w:name="_Toc153356546"/>
      <w:r w:rsidRPr="00A9662F">
        <w:rPr>
          <w:b/>
          <w:bCs/>
        </w:rPr>
        <w:lastRenderedPageBreak/>
        <w:t>Supplementa</w:t>
      </w:r>
      <w:r w:rsidR="006C3266">
        <w:rPr>
          <w:b/>
          <w:bCs/>
        </w:rPr>
        <w:t>l</w:t>
      </w:r>
      <w:r w:rsidRPr="00A9662F">
        <w:rPr>
          <w:b/>
          <w:bCs/>
        </w:rPr>
        <w:t xml:space="preserve"> Table 6.</w:t>
      </w:r>
      <w:r>
        <w:t xml:space="preserve"> </w:t>
      </w:r>
      <w:r w:rsidRPr="00897A88">
        <w:t>GRADE assessment of study quality</w:t>
      </w:r>
      <w:bookmarkEnd w:id="9"/>
      <w:bookmarkEnd w:id="10"/>
      <w:r w:rsidRPr="00897A88">
        <w:t xml:space="preserve"> </w:t>
      </w:r>
    </w:p>
    <w:p w14:paraId="748D5566" w14:textId="77777777" w:rsidR="00897A88" w:rsidRDefault="00897A88">
      <w:pPr>
        <w:rPr>
          <w:b/>
          <w:bCs/>
        </w:rPr>
      </w:pPr>
    </w:p>
    <w:p w14:paraId="0F682ABA" w14:textId="77777777" w:rsidR="00897A88" w:rsidRDefault="00897A88">
      <w:pPr>
        <w:rPr>
          <w:b/>
          <w:bCs/>
        </w:rPr>
      </w:pPr>
    </w:p>
    <w:tbl>
      <w:tblPr>
        <w:tblW w:w="13745" w:type="dxa"/>
        <w:tblCellMar>
          <w:top w:w="15" w:type="dxa"/>
          <w:left w:w="15" w:type="dxa"/>
          <w:bottom w:w="15" w:type="dxa"/>
          <w:right w:w="15" w:type="dxa"/>
        </w:tblCellMar>
        <w:tblLook w:val="04A0" w:firstRow="1" w:lastRow="0" w:firstColumn="1" w:lastColumn="0" w:noHBand="0" w:noVBand="1"/>
      </w:tblPr>
      <w:tblGrid>
        <w:gridCol w:w="1118"/>
        <w:gridCol w:w="1072"/>
        <w:gridCol w:w="710"/>
        <w:gridCol w:w="1155"/>
        <w:gridCol w:w="1077"/>
        <w:gridCol w:w="1048"/>
        <w:gridCol w:w="1042"/>
        <w:gridCol w:w="236"/>
        <w:gridCol w:w="916"/>
        <w:gridCol w:w="390"/>
        <w:gridCol w:w="2146"/>
        <w:gridCol w:w="1559"/>
        <w:gridCol w:w="1276"/>
      </w:tblGrid>
      <w:tr w:rsidR="00897A88" w14:paraId="09132A9D" w14:textId="77777777" w:rsidTr="000C02BC">
        <w:trPr>
          <w:trHeight w:val="289"/>
        </w:trPr>
        <w:tc>
          <w:tcPr>
            <w:tcW w:w="0" w:type="auto"/>
            <w:vMerge w:val="restart"/>
            <w:tcBorders>
              <w:top w:val="single" w:sz="4" w:space="0" w:color="000000"/>
              <w:left w:val="single" w:sz="4" w:space="0" w:color="000000"/>
              <w:bottom w:val="single" w:sz="4" w:space="0" w:color="000000"/>
            </w:tcBorders>
            <w:tcMar>
              <w:top w:w="0" w:type="dxa"/>
              <w:left w:w="115" w:type="dxa"/>
              <w:bottom w:w="0" w:type="dxa"/>
              <w:right w:w="115" w:type="dxa"/>
            </w:tcMar>
            <w:vAlign w:val="bottom"/>
            <w:hideMark/>
          </w:tcPr>
          <w:p w14:paraId="4F599821" w14:textId="77777777" w:rsidR="00897A88" w:rsidRDefault="00897A88">
            <w:pPr>
              <w:pStyle w:val="NormalWeb"/>
              <w:spacing w:before="0" w:beforeAutospacing="0" w:after="0" w:afterAutospacing="0"/>
            </w:pPr>
            <w:r>
              <w:rPr>
                <w:b/>
                <w:bCs/>
                <w:color w:val="000000"/>
                <w:sz w:val="16"/>
                <w:szCs w:val="16"/>
              </w:rPr>
              <w:t>Outcome and trial (N)</w:t>
            </w:r>
          </w:p>
          <w:p w14:paraId="3B2DF6A4" w14:textId="77777777" w:rsidR="00897A88" w:rsidRDefault="00897A88">
            <w:pPr>
              <w:spacing w:after="240"/>
            </w:pPr>
          </w:p>
        </w:tc>
        <w:tc>
          <w:tcPr>
            <w:tcW w:w="0" w:type="auto"/>
            <w:vMerge w:val="restart"/>
            <w:tcBorders>
              <w:top w:val="single" w:sz="4" w:space="0" w:color="000000"/>
              <w:bottom w:val="single" w:sz="4" w:space="0" w:color="000000"/>
            </w:tcBorders>
            <w:tcMar>
              <w:top w:w="0" w:type="dxa"/>
              <w:left w:w="115" w:type="dxa"/>
              <w:bottom w:w="0" w:type="dxa"/>
              <w:right w:w="115" w:type="dxa"/>
            </w:tcMar>
            <w:vAlign w:val="bottom"/>
            <w:hideMark/>
          </w:tcPr>
          <w:p w14:paraId="6D5BC472" w14:textId="77777777" w:rsidR="00897A88" w:rsidRDefault="00897A88">
            <w:pPr>
              <w:pStyle w:val="NormalWeb"/>
              <w:spacing w:before="0" w:beforeAutospacing="0" w:after="0" w:afterAutospacing="0"/>
            </w:pPr>
            <w:r>
              <w:rPr>
                <w:b/>
                <w:bCs/>
                <w:color w:val="000000"/>
                <w:sz w:val="16"/>
                <w:szCs w:val="16"/>
              </w:rPr>
              <w:t>Design</w:t>
            </w:r>
          </w:p>
          <w:p w14:paraId="748C4591" w14:textId="77777777" w:rsidR="00897A88" w:rsidRDefault="00897A88"/>
        </w:tc>
        <w:tc>
          <w:tcPr>
            <w:tcW w:w="0" w:type="auto"/>
            <w:tcBorders>
              <w:top w:val="single" w:sz="4" w:space="0" w:color="000000"/>
              <w:bottom w:val="single" w:sz="4" w:space="0" w:color="000000"/>
            </w:tcBorders>
            <w:tcMar>
              <w:top w:w="0" w:type="dxa"/>
              <w:left w:w="115" w:type="dxa"/>
              <w:bottom w:w="0" w:type="dxa"/>
              <w:right w:w="115" w:type="dxa"/>
            </w:tcMar>
            <w:hideMark/>
          </w:tcPr>
          <w:p w14:paraId="4455CB21" w14:textId="77777777" w:rsidR="00897A88" w:rsidRDefault="00897A88"/>
        </w:tc>
        <w:tc>
          <w:tcPr>
            <w:tcW w:w="0" w:type="auto"/>
            <w:gridSpan w:val="6"/>
            <w:tcBorders>
              <w:top w:val="single" w:sz="4" w:space="0" w:color="000000"/>
              <w:bottom w:val="single" w:sz="4" w:space="0" w:color="000000"/>
            </w:tcBorders>
            <w:tcMar>
              <w:top w:w="0" w:type="dxa"/>
              <w:left w:w="115" w:type="dxa"/>
              <w:bottom w:w="0" w:type="dxa"/>
              <w:right w:w="115" w:type="dxa"/>
            </w:tcMar>
            <w:vAlign w:val="center"/>
            <w:hideMark/>
          </w:tcPr>
          <w:p w14:paraId="2A5E89C8" w14:textId="77777777" w:rsidR="00897A88" w:rsidRDefault="00897A88">
            <w:pPr>
              <w:pStyle w:val="NormalWeb"/>
              <w:spacing w:before="0" w:beforeAutospacing="0" w:after="0" w:afterAutospacing="0"/>
              <w:jc w:val="center"/>
            </w:pPr>
            <w:r>
              <w:rPr>
                <w:b/>
                <w:bCs/>
                <w:color w:val="000000"/>
              </w:rPr>
              <w:t>GRADE assessment</w:t>
            </w:r>
          </w:p>
        </w:tc>
        <w:tc>
          <w:tcPr>
            <w:tcW w:w="2536" w:type="dxa"/>
            <w:gridSpan w:val="2"/>
            <w:tcBorders>
              <w:top w:val="single" w:sz="4" w:space="0" w:color="000000"/>
            </w:tcBorders>
            <w:tcMar>
              <w:top w:w="0" w:type="dxa"/>
              <w:left w:w="115" w:type="dxa"/>
              <w:bottom w:w="0" w:type="dxa"/>
              <w:right w:w="115" w:type="dxa"/>
            </w:tcMar>
            <w:vAlign w:val="center"/>
            <w:hideMark/>
          </w:tcPr>
          <w:p w14:paraId="07D87A80" w14:textId="77777777" w:rsidR="00897A88" w:rsidRDefault="00897A88"/>
        </w:tc>
        <w:tc>
          <w:tcPr>
            <w:tcW w:w="1559" w:type="dxa"/>
            <w:tcBorders>
              <w:top w:val="single" w:sz="4" w:space="0" w:color="000000"/>
            </w:tcBorders>
            <w:tcMar>
              <w:top w:w="0" w:type="dxa"/>
              <w:left w:w="115" w:type="dxa"/>
              <w:bottom w:w="0" w:type="dxa"/>
              <w:right w:w="115" w:type="dxa"/>
            </w:tcMar>
            <w:vAlign w:val="center"/>
            <w:hideMark/>
          </w:tcPr>
          <w:p w14:paraId="16E046DC" w14:textId="77777777" w:rsidR="00897A88" w:rsidRDefault="00897A88"/>
        </w:tc>
        <w:tc>
          <w:tcPr>
            <w:tcW w:w="1276" w:type="dxa"/>
            <w:tcBorders>
              <w:top w:val="single" w:sz="4" w:space="0" w:color="000000"/>
              <w:right w:val="single" w:sz="4" w:space="0" w:color="000000"/>
            </w:tcBorders>
            <w:tcMar>
              <w:top w:w="0" w:type="dxa"/>
              <w:left w:w="115" w:type="dxa"/>
              <w:bottom w:w="0" w:type="dxa"/>
              <w:right w:w="115" w:type="dxa"/>
            </w:tcMar>
            <w:hideMark/>
          </w:tcPr>
          <w:p w14:paraId="350B2EE7" w14:textId="77777777" w:rsidR="00897A88" w:rsidRDefault="00897A88"/>
        </w:tc>
      </w:tr>
      <w:tr w:rsidR="00897A88" w14:paraId="2FD276A8" w14:textId="77777777" w:rsidTr="000C02BC">
        <w:trPr>
          <w:trHeight w:val="267"/>
        </w:trPr>
        <w:tc>
          <w:tcPr>
            <w:tcW w:w="0" w:type="auto"/>
            <w:vMerge/>
            <w:tcBorders>
              <w:top w:val="single" w:sz="4" w:space="0" w:color="000000"/>
              <w:left w:val="single" w:sz="4" w:space="0" w:color="000000"/>
              <w:bottom w:val="single" w:sz="4" w:space="0" w:color="000000"/>
            </w:tcBorders>
            <w:vAlign w:val="center"/>
            <w:hideMark/>
          </w:tcPr>
          <w:p w14:paraId="3F568295" w14:textId="77777777" w:rsidR="00897A88" w:rsidRDefault="00897A88"/>
        </w:tc>
        <w:tc>
          <w:tcPr>
            <w:tcW w:w="0" w:type="auto"/>
            <w:vMerge/>
            <w:tcBorders>
              <w:top w:val="single" w:sz="4" w:space="0" w:color="000000"/>
              <w:bottom w:val="single" w:sz="4" w:space="0" w:color="000000"/>
            </w:tcBorders>
            <w:vAlign w:val="center"/>
            <w:hideMark/>
          </w:tcPr>
          <w:p w14:paraId="74DC54C9" w14:textId="77777777" w:rsidR="00897A88" w:rsidRDefault="00897A88"/>
        </w:tc>
        <w:tc>
          <w:tcPr>
            <w:tcW w:w="0" w:type="auto"/>
            <w:gridSpan w:val="5"/>
            <w:tcBorders>
              <w:top w:val="single" w:sz="4" w:space="0" w:color="000000"/>
              <w:bottom w:val="single" w:sz="4" w:space="0" w:color="000000"/>
            </w:tcBorders>
            <w:tcMar>
              <w:top w:w="0" w:type="dxa"/>
              <w:left w:w="115" w:type="dxa"/>
              <w:bottom w:w="0" w:type="dxa"/>
              <w:right w:w="115" w:type="dxa"/>
            </w:tcMar>
            <w:vAlign w:val="center"/>
            <w:hideMark/>
          </w:tcPr>
          <w:p w14:paraId="43AD87E0" w14:textId="77777777" w:rsidR="00897A88" w:rsidRDefault="00897A88">
            <w:pPr>
              <w:pStyle w:val="NormalWeb"/>
              <w:spacing w:before="0" w:beforeAutospacing="0" w:after="0" w:afterAutospacing="0"/>
              <w:jc w:val="center"/>
            </w:pPr>
            <w:r>
              <w:rPr>
                <w:b/>
                <w:bCs/>
                <w:color w:val="000000"/>
                <w:sz w:val="16"/>
                <w:szCs w:val="16"/>
              </w:rPr>
              <w:t>Downgrades</w:t>
            </w:r>
          </w:p>
        </w:tc>
        <w:tc>
          <w:tcPr>
            <w:tcW w:w="0" w:type="auto"/>
            <w:tcBorders>
              <w:top w:val="single" w:sz="4" w:space="0" w:color="000000"/>
            </w:tcBorders>
            <w:tcMar>
              <w:top w:w="0" w:type="dxa"/>
              <w:left w:w="115" w:type="dxa"/>
              <w:bottom w:w="0" w:type="dxa"/>
              <w:right w:w="115" w:type="dxa"/>
            </w:tcMar>
            <w:hideMark/>
          </w:tcPr>
          <w:p w14:paraId="734262BB" w14:textId="77777777" w:rsidR="00897A88" w:rsidRDefault="00897A88"/>
        </w:tc>
        <w:tc>
          <w:tcPr>
            <w:tcW w:w="0" w:type="auto"/>
            <w:tcBorders>
              <w:top w:val="single" w:sz="4" w:space="0" w:color="000000"/>
              <w:bottom w:val="single" w:sz="4" w:space="0" w:color="000000"/>
            </w:tcBorders>
            <w:tcMar>
              <w:top w:w="0" w:type="dxa"/>
              <w:left w:w="115" w:type="dxa"/>
              <w:bottom w:w="0" w:type="dxa"/>
              <w:right w:w="115" w:type="dxa"/>
            </w:tcMar>
            <w:vAlign w:val="center"/>
            <w:hideMark/>
          </w:tcPr>
          <w:p w14:paraId="54D28F47" w14:textId="77777777" w:rsidR="00897A88" w:rsidRDefault="00897A88">
            <w:pPr>
              <w:pStyle w:val="NormalWeb"/>
              <w:spacing w:before="0" w:beforeAutospacing="0" w:after="0" w:afterAutospacing="0"/>
              <w:jc w:val="center"/>
            </w:pPr>
            <w:r>
              <w:rPr>
                <w:b/>
                <w:bCs/>
                <w:color w:val="000000"/>
                <w:sz w:val="16"/>
                <w:szCs w:val="16"/>
              </w:rPr>
              <w:t>Upgrades</w:t>
            </w:r>
          </w:p>
        </w:tc>
        <w:tc>
          <w:tcPr>
            <w:tcW w:w="2536" w:type="dxa"/>
            <w:gridSpan w:val="2"/>
            <w:tcMar>
              <w:top w:w="0" w:type="dxa"/>
              <w:left w:w="115" w:type="dxa"/>
              <w:bottom w:w="0" w:type="dxa"/>
              <w:right w:w="115" w:type="dxa"/>
            </w:tcMar>
            <w:vAlign w:val="center"/>
            <w:hideMark/>
          </w:tcPr>
          <w:p w14:paraId="2CCF6DA3" w14:textId="77777777" w:rsidR="00897A88" w:rsidRDefault="00897A88"/>
        </w:tc>
        <w:tc>
          <w:tcPr>
            <w:tcW w:w="1559" w:type="dxa"/>
            <w:tcMar>
              <w:top w:w="0" w:type="dxa"/>
              <w:left w:w="115" w:type="dxa"/>
              <w:bottom w:w="0" w:type="dxa"/>
              <w:right w:w="115" w:type="dxa"/>
            </w:tcMar>
            <w:vAlign w:val="center"/>
            <w:hideMark/>
          </w:tcPr>
          <w:p w14:paraId="2CADCDB3" w14:textId="77777777" w:rsidR="00897A88" w:rsidRDefault="00897A88"/>
        </w:tc>
        <w:tc>
          <w:tcPr>
            <w:tcW w:w="1276" w:type="dxa"/>
            <w:tcBorders>
              <w:right w:val="single" w:sz="4" w:space="0" w:color="000000"/>
            </w:tcBorders>
            <w:tcMar>
              <w:top w:w="0" w:type="dxa"/>
              <w:left w:w="115" w:type="dxa"/>
              <w:bottom w:w="0" w:type="dxa"/>
              <w:right w:w="115" w:type="dxa"/>
            </w:tcMar>
            <w:hideMark/>
          </w:tcPr>
          <w:p w14:paraId="22B90A72" w14:textId="77777777" w:rsidR="00897A88" w:rsidRDefault="00897A88"/>
        </w:tc>
      </w:tr>
      <w:tr w:rsidR="000C02BC" w14:paraId="0E402BA9" w14:textId="77777777" w:rsidTr="000C02BC">
        <w:trPr>
          <w:trHeight w:val="326"/>
        </w:trPr>
        <w:tc>
          <w:tcPr>
            <w:tcW w:w="0" w:type="auto"/>
            <w:vMerge/>
            <w:tcBorders>
              <w:top w:val="single" w:sz="4" w:space="0" w:color="000000"/>
              <w:left w:val="single" w:sz="4" w:space="0" w:color="000000"/>
              <w:bottom w:val="single" w:sz="4" w:space="0" w:color="000000"/>
            </w:tcBorders>
            <w:vAlign w:val="center"/>
            <w:hideMark/>
          </w:tcPr>
          <w:p w14:paraId="381ECA32" w14:textId="77777777" w:rsidR="00897A88" w:rsidRDefault="00897A88"/>
        </w:tc>
        <w:tc>
          <w:tcPr>
            <w:tcW w:w="0" w:type="auto"/>
            <w:vMerge/>
            <w:tcBorders>
              <w:top w:val="single" w:sz="4" w:space="0" w:color="000000"/>
              <w:bottom w:val="single" w:sz="4" w:space="0" w:color="000000"/>
            </w:tcBorders>
            <w:vAlign w:val="center"/>
            <w:hideMark/>
          </w:tcPr>
          <w:p w14:paraId="103FBEBA" w14:textId="77777777" w:rsidR="00897A88" w:rsidRDefault="00897A88"/>
        </w:tc>
        <w:tc>
          <w:tcPr>
            <w:tcW w:w="0" w:type="auto"/>
            <w:tcBorders>
              <w:top w:val="single" w:sz="4" w:space="0" w:color="000000"/>
              <w:bottom w:val="single" w:sz="4" w:space="0" w:color="000000"/>
            </w:tcBorders>
            <w:tcMar>
              <w:top w:w="0" w:type="dxa"/>
              <w:left w:w="115" w:type="dxa"/>
              <w:bottom w:w="0" w:type="dxa"/>
              <w:right w:w="115" w:type="dxa"/>
            </w:tcMar>
            <w:vAlign w:val="center"/>
            <w:hideMark/>
          </w:tcPr>
          <w:p w14:paraId="7884A1E2" w14:textId="77777777" w:rsidR="00897A88" w:rsidRDefault="00897A88">
            <w:pPr>
              <w:pStyle w:val="NormalWeb"/>
              <w:spacing w:before="0" w:beforeAutospacing="0" w:after="0" w:afterAutospacing="0"/>
            </w:pPr>
            <w:r>
              <w:rPr>
                <w:b/>
                <w:bCs/>
                <w:color w:val="000000"/>
                <w:sz w:val="16"/>
                <w:szCs w:val="16"/>
              </w:rPr>
              <w:t>ROB</w:t>
            </w:r>
          </w:p>
        </w:tc>
        <w:tc>
          <w:tcPr>
            <w:tcW w:w="0" w:type="auto"/>
            <w:tcBorders>
              <w:top w:val="single" w:sz="4" w:space="0" w:color="000000"/>
              <w:bottom w:val="single" w:sz="4" w:space="0" w:color="000000"/>
            </w:tcBorders>
            <w:tcMar>
              <w:top w:w="0" w:type="dxa"/>
              <w:left w:w="115" w:type="dxa"/>
              <w:bottom w:w="0" w:type="dxa"/>
              <w:right w:w="115" w:type="dxa"/>
            </w:tcMar>
            <w:vAlign w:val="center"/>
            <w:hideMark/>
          </w:tcPr>
          <w:p w14:paraId="134363C6" w14:textId="77777777" w:rsidR="00897A88" w:rsidRDefault="00897A88">
            <w:pPr>
              <w:pStyle w:val="NormalWeb"/>
              <w:spacing w:before="0" w:beforeAutospacing="0" w:after="0" w:afterAutospacing="0"/>
            </w:pPr>
            <w:r>
              <w:rPr>
                <w:b/>
                <w:bCs/>
                <w:color w:val="000000"/>
                <w:sz w:val="16"/>
                <w:szCs w:val="16"/>
              </w:rPr>
              <w:t>Inconsistency</w:t>
            </w:r>
          </w:p>
        </w:tc>
        <w:tc>
          <w:tcPr>
            <w:tcW w:w="0" w:type="auto"/>
            <w:tcBorders>
              <w:top w:val="single" w:sz="4" w:space="0" w:color="000000"/>
              <w:bottom w:val="single" w:sz="4" w:space="0" w:color="000000"/>
            </w:tcBorders>
            <w:tcMar>
              <w:top w:w="0" w:type="dxa"/>
              <w:left w:w="115" w:type="dxa"/>
              <w:bottom w:w="0" w:type="dxa"/>
              <w:right w:w="115" w:type="dxa"/>
            </w:tcMar>
            <w:vAlign w:val="center"/>
            <w:hideMark/>
          </w:tcPr>
          <w:p w14:paraId="1B576266" w14:textId="77777777" w:rsidR="00897A88" w:rsidRDefault="00897A88">
            <w:pPr>
              <w:pStyle w:val="NormalWeb"/>
              <w:spacing w:before="0" w:beforeAutospacing="0" w:after="0" w:afterAutospacing="0"/>
            </w:pPr>
            <w:r>
              <w:rPr>
                <w:b/>
                <w:bCs/>
                <w:color w:val="000000"/>
                <w:sz w:val="16"/>
                <w:szCs w:val="16"/>
              </w:rPr>
              <w:t>Indirectness</w:t>
            </w:r>
          </w:p>
        </w:tc>
        <w:tc>
          <w:tcPr>
            <w:tcW w:w="0" w:type="auto"/>
            <w:tcBorders>
              <w:top w:val="single" w:sz="4" w:space="0" w:color="000000"/>
              <w:bottom w:val="single" w:sz="4" w:space="0" w:color="000000"/>
            </w:tcBorders>
            <w:tcMar>
              <w:top w:w="0" w:type="dxa"/>
              <w:left w:w="115" w:type="dxa"/>
              <w:bottom w:w="0" w:type="dxa"/>
              <w:right w:w="115" w:type="dxa"/>
            </w:tcMar>
            <w:vAlign w:val="center"/>
            <w:hideMark/>
          </w:tcPr>
          <w:p w14:paraId="026690C4" w14:textId="77777777" w:rsidR="00897A88" w:rsidRDefault="00897A88">
            <w:pPr>
              <w:pStyle w:val="NormalWeb"/>
              <w:spacing w:before="0" w:beforeAutospacing="0" w:after="0" w:afterAutospacing="0"/>
            </w:pPr>
            <w:r>
              <w:rPr>
                <w:b/>
                <w:bCs/>
                <w:color w:val="000000"/>
                <w:sz w:val="16"/>
                <w:szCs w:val="16"/>
              </w:rPr>
              <w:t>Imprecision</w:t>
            </w:r>
          </w:p>
        </w:tc>
        <w:tc>
          <w:tcPr>
            <w:tcW w:w="0" w:type="auto"/>
            <w:tcBorders>
              <w:top w:val="single" w:sz="4" w:space="0" w:color="000000"/>
              <w:bottom w:val="single" w:sz="4" w:space="0" w:color="000000"/>
            </w:tcBorders>
            <w:tcMar>
              <w:top w:w="0" w:type="dxa"/>
              <w:left w:w="115" w:type="dxa"/>
              <w:bottom w:w="0" w:type="dxa"/>
              <w:right w:w="115" w:type="dxa"/>
            </w:tcMar>
            <w:vAlign w:val="center"/>
            <w:hideMark/>
          </w:tcPr>
          <w:p w14:paraId="33CC5B0A" w14:textId="77777777" w:rsidR="00897A88" w:rsidRDefault="00897A88">
            <w:pPr>
              <w:pStyle w:val="NormalWeb"/>
              <w:spacing w:before="0" w:beforeAutospacing="0" w:after="0" w:afterAutospacing="0"/>
            </w:pPr>
            <w:r>
              <w:rPr>
                <w:b/>
                <w:bCs/>
                <w:color w:val="000000"/>
                <w:sz w:val="16"/>
                <w:szCs w:val="16"/>
              </w:rPr>
              <w:t>Publication bias</w:t>
            </w:r>
          </w:p>
        </w:tc>
        <w:tc>
          <w:tcPr>
            <w:tcW w:w="0" w:type="auto"/>
            <w:tcBorders>
              <w:bottom w:val="single" w:sz="4" w:space="0" w:color="000000"/>
            </w:tcBorders>
            <w:tcMar>
              <w:top w:w="0" w:type="dxa"/>
              <w:left w:w="115" w:type="dxa"/>
              <w:bottom w:w="0" w:type="dxa"/>
              <w:right w:w="115" w:type="dxa"/>
            </w:tcMar>
            <w:hideMark/>
          </w:tcPr>
          <w:p w14:paraId="41CD4C14" w14:textId="77777777" w:rsidR="00897A88" w:rsidRDefault="00897A88"/>
        </w:tc>
        <w:tc>
          <w:tcPr>
            <w:tcW w:w="0" w:type="auto"/>
            <w:tcBorders>
              <w:top w:val="single" w:sz="4" w:space="0" w:color="000000"/>
              <w:bottom w:val="single" w:sz="4" w:space="0" w:color="000000"/>
            </w:tcBorders>
            <w:tcMar>
              <w:top w:w="0" w:type="dxa"/>
              <w:left w:w="115" w:type="dxa"/>
              <w:bottom w:w="0" w:type="dxa"/>
              <w:right w:w="115" w:type="dxa"/>
            </w:tcMar>
            <w:vAlign w:val="center"/>
            <w:hideMark/>
          </w:tcPr>
          <w:p w14:paraId="7BEC63A5" w14:textId="77777777" w:rsidR="00897A88" w:rsidRDefault="00897A88">
            <w:pPr>
              <w:pStyle w:val="NormalWeb"/>
              <w:spacing w:before="0" w:beforeAutospacing="0" w:after="0" w:afterAutospacing="0"/>
            </w:pPr>
            <w:r>
              <w:rPr>
                <w:b/>
                <w:bCs/>
                <w:color w:val="000000"/>
                <w:sz w:val="16"/>
                <w:szCs w:val="16"/>
              </w:rPr>
              <w:t>Dose response</w:t>
            </w:r>
          </w:p>
        </w:tc>
        <w:tc>
          <w:tcPr>
            <w:tcW w:w="2536" w:type="dxa"/>
            <w:gridSpan w:val="2"/>
            <w:tcBorders>
              <w:bottom w:val="single" w:sz="4" w:space="0" w:color="000000"/>
            </w:tcBorders>
            <w:tcMar>
              <w:top w:w="0" w:type="dxa"/>
              <w:left w:w="115" w:type="dxa"/>
              <w:bottom w:w="0" w:type="dxa"/>
              <w:right w:w="115" w:type="dxa"/>
            </w:tcMar>
            <w:vAlign w:val="center"/>
            <w:hideMark/>
          </w:tcPr>
          <w:p w14:paraId="36B79C9D" w14:textId="77777777" w:rsidR="00897A88" w:rsidRDefault="00897A88">
            <w:pPr>
              <w:pStyle w:val="NormalWeb"/>
              <w:spacing w:before="0" w:beforeAutospacing="0" w:after="0" w:afterAutospacing="0"/>
              <w:jc w:val="center"/>
            </w:pPr>
            <w:r>
              <w:rPr>
                <w:b/>
                <w:bCs/>
                <w:color w:val="000000"/>
                <w:sz w:val="16"/>
                <w:szCs w:val="16"/>
              </w:rPr>
              <w:t>Effect (MD [95% CI], P</w:t>
            </w:r>
            <w:r w:rsidRPr="0098183B">
              <w:rPr>
                <w:b/>
                <w:bCs/>
                <w:color w:val="000000"/>
                <w:sz w:val="16"/>
                <w:szCs w:val="16"/>
                <w:vertAlign w:val="subscript"/>
              </w:rPr>
              <w:t>MD</w:t>
            </w:r>
            <w:r>
              <w:rPr>
                <w:b/>
                <w:bCs/>
                <w:color w:val="000000"/>
                <w:sz w:val="16"/>
                <w:szCs w:val="16"/>
              </w:rPr>
              <w:t>)</w:t>
            </w:r>
          </w:p>
        </w:tc>
        <w:tc>
          <w:tcPr>
            <w:tcW w:w="1559" w:type="dxa"/>
            <w:tcBorders>
              <w:bottom w:val="single" w:sz="4" w:space="0" w:color="000000"/>
            </w:tcBorders>
            <w:tcMar>
              <w:top w:w="0" w:type="dxa"/>
              <w:left w:w="115" w:type="dxa"/>
              <w:bottom w:w="0" w:type="dxa"/>
              <w:right w:w="115" w:type="dxa"/>
            </w:tcMar>
            <w:vAlign w:val="center"/>
            <w:hideMark/>
          </w:tcPr>
          <w:p w14:paraId="3D000DA0" w14:textId="77777777" w:rsidR="00897A88" w:rsidRDefault="00897A88">
            <w:pPr>
              <w:pStyle w:val="NormalWeb"/>
              <w:spacing w:before="0" w:beforeAutospacing="0" w:after="0" w:afterAutospacing="0"/>
            </w:pPr>
            <w:r>
              <w:rPr>
                <w:b/>
                <w:bCs/>
                <w:color w:val="000000"/>
                <w:sz w:val="16"/>
                <w:szCs w:val="16"/>
              </w:rPr>
              <w:t>Certainty of Evidence</w:t>
            </w:r>
            <w:r w:rsidRPr="000C02BC">
              <w:rPr>
                <w:b/>
                <w:bCs/>
                <w:color w:val="000000"/>
                <w:sz w:val="16"/>
                <w:szCs w:val="16"/>
                <w:vertAlign w:val="superscript"/>
              </w:rPr>
              <w:t>a</w:t>
            </w:r>
          </w:p>
        </w:tc>
        <w:tc>
          <w:tcPr>
            <w:tcW w:w="1276" w:type="dxa"/>
            <w:tcBorders>
              <w:bottom w:val="single" w:sz="4" w:space="0" w:color="000000"/>
              <w:right w:val="single" w:sz="4" w:space="0" w:color="000000"/>
            </w:tcBorders>
            <w:tcMar>
              <w:top w:w="0" w:type="dxa"/>
              <w:left w:w="115" w:type="dxa"/>
              <w:bottom w:w="0" w:type="dxa"/>
              <w:right w:w="115" w:type="dxa"/>
            </w:tcMar>
            <w:vAlign w:val="center"/>
            <w:hideMark/>
          </w:tcPr>
          <w:p w14:paraId="46177DC1" w14:textId="77777777" w:rsidR="00897A88" w:rsidRDefault="00897A88">
            <w:pPr>
              <w:pStyle w:val="NormalWeb"/>
              <w:spacing w:before="0" w:beforeAutospacing="0" w:after="0" w:afterAutospacing="0"/>
              <w:jc w:val="center"/>
            </w:pPr>
            <w:r>
              <w:rPr>
                <w:b/>
                <w:bCs/>
                <w:color w:val="000000"/>
                <w:sz w:val="16"/>
                <w:szCs w:val="16"/>
              </w:rPr>
              <w:t>Interpretation of magnitude of effect</w:t>
            </w:r>
            <w:r w:rsidRPr="000C02BC">
              <w:rPr>
                <w:b/>
                <w:bCs/>
                <w:color w:val="000000"/>
                <w:sz w:val="16"/>
                <w:szCs w:val="16"/>
                <w:vertAlign w:val="superscript"/>
              </w:rPr>
              <w:t>b</w:t>
            </w:r>
          </w:p>
        </w:tc>
      </w:tr>
      <w:tr w:rsidR="000C02BC" w14:paraId="5D7F3A99" w14:textId="77777777" w:rsidTr="000C02BC">
        <w:trPr>
          <w:trHeight w:val="612"/>
        </w:trPr>
        <w:tc>
          <w:tcPr>
            <w:tcW w:w="0" w:type="auto"/>
            <w:tcBorders>
              <w:top w:val="single" w:sz="4" w:space="0" w:color="000000"/>
              <w:left w:val="single" w:sz="4" w:space="0" w:color="000000"/>
              <w:bottom w:val="single" w:sz="4" w:space="0" w:color="000000"/>
            </w:tcBorders>
            <w:tcMar>
              <w:top w:w="0" w:type="dxa"/>
              <w:left w:w="115" w:type="dxa"/>
              <w:bottom w:w="0" w:type="dxa"/>
              <w:right w:w="115" w:type="dxa"/>
            </w:tcMar>
            <w:hideMark/>
          </w:tcPr>
          <w:p w14:paraId="4ED79E01" w14:textId="77777777" w:rsidR="00897A88" w:rsidRDefault="00897A88">
            <w:pPr>
              <w:pStyle w:val="NormalWeb"/>
              <w:spacing w:before="0" w:beforeAutospacing="0" w:after="0" w:afterAutospacing="0"/>
            </w:pPr>
            <w:r>
              <w:rPr>
                <w:color w:val="000000"/>
                <w:sz w:val="16"/>
                <w:szCs w:val="16"/>
              </w:rPr>
              <w:t>Endometrial thickness (14) </w:t>
            </w:r>
          </w:p>
          <w:p w14:paraId="40D55B43" w14:textId="77777777" w:rsidR="00897A88" w:rsidRDefault="00897A88"/>
        </w:tc>
        <w:tc>
          <w:tcPr>
            <w:tcW w:w="0" w:type="auto"/>
            <w:tcBorders>
              <w:top w:val="single" w:sz="4" w:space="0" w:color="000000"/>
              <w:bottom w:val="single" w:sz="4" w:space="0" w:color="000000"/>
            </w:tcBorders>
            <w:tcMar>
              <w:top w:w="0" w:type="dxa"/>
              <w:left w:w="115" w:type="dxa"/>
              <w:bottom w:w="0" w:type="dxa"/>
              <w:right w:w="115" w:type="dxa"/>
            </w:tcMar>
            <w:hideMark/>
          </w:tcPr>
          <w:p w14:paraId="541AFD71" w14:textId="77777777" w:rsidR="00897A88" w:rsidRDefault="00897A88">
            <w:pPr>
              <w:pStyle w:val="NormalWeb"/>
              <w:spacing w:before="0" w:beforeAutospacing="0" w:after="0" w:afterAutospacing="0"/>
            </w:pPr>
            <w:r>
              <w:rPr>
                <w:color w:val="000000"/>
                <w:sz w:val="16"/>
                <w:szCs w:val="16"/>
              </w:rPr>
              <w:t>Randomized trials</w:t>
            </w:r>
          </w:p>
        </w:tc>
        <w:tc>
          <w:tcPr>
            <w:tcW w:w="0" w:type="auto"/>
            <w:tcBorders>
              <w:top w:val="single" w:sz="4" w:space="0" w:color="000000"/>
              <w:bottom w:val="single" w:sz="4" w:space="0" w:color="000000"/>
            </w:tcBorders>
            <w:tcMar>
              <w:top w:w="0" w:type="dxa"/>
              <w:left w:w="115" w:type="dxa"/>
              <w:bottom w:w="0" w:type="dxa"/>
              <w:right w:w="115" w:type="dxa"/>
            </w:tcMar>
            <w:hideMark/>
          </w:tcPr>
          <w:p w14:paraId="2A79CBAB" w14:textId="77777777" w:rsidR="00897A88" w:rsidRDefault="00897A88">
            <w:pPr>
              <w:pStyle w:val="NormalWeb"/>
              <w:spacing w:before="0" w:beforeAutospacing="0" w:after="0" w:afterAutospacing="0"/>
            </w:pPr>
            <w:r>
              <w:rPr>
                <w:color w:val="000000"/>
                <w:sz w:val="16"/>
                <w:szCs w:val="16"/>
              </w:rPr>
              <w:t>Not serious</w:t>
            </w:r>
          </w:p>
        </w:tc>
        <w:tc>
          <w:tcPr>
            <w:tcW w:w="0" w:type="auto"/>
            <w:tcBorders>
              <w:top w:val="single" w:sz="4" w:space="0" w:color="000000"/>
              <w:bottom w:val="single" w:sz="4" w:space="0" w:color="000000"/>
            </w:tcBorders>
            <w:tcMar>
              <w:top w:w="0" w:type="dxa"/>
              <w:left w:w="115" w:type="dxa"/>
              <w:bottom w:w="0" w:type="dxa"/>
              <w:right w:w="115" w:type="dxa"/>
            </w:tcMar>
            <w:hideMark/>
          </w:tcPr>
          <w:p w14:paraId="1D871D04" w14:textId="77777777" w:rsidR="00897A88" w:rsidRPr="000C02BC" w:rsidRDefault="00897A88">
            <w:pPr>
              <w:pStyle w:val="NormalWeb"/>
              <w:spacing w:before="0" w:beforeAutospacing="0" w:after="0" w:afterAutospacing="0"/>
              <w:rPr>
                <w:sz w:val="16"/>
                <w:szCs w:val="16"/>
              </w:rPr>
            </w:pPr>
            <w:r w:rsidRPr="000C02BC">
              <w:rPr>
                <w:color w:val="000000"/>
                <w:sz w:val="16"/>
                <w:szCs w:val="16"/>
              </w:rPr>
              <w:t>Serious</w:t>
            </w:r>
            <w:r w:rsidRPr="000C02BC">
              <w:rPr>
                <w:color w:val="000000"/>
                <w:sz w:val="16"/>
                <w:szCs w:val="16"/>
                <w:vertAlign w:val="superscript"/>
              </w:rPr>
              <w:t>1</w:t>
            </w:r>
          </w:p>
        </w:tc>
        <w:tc>
          <w:tcPr>
            <w:tcW w:w="0" w:type="auto"/>
            <w:tcBorders>
              <w:top w:val="single" w:sz="4" w:space="0" w:color="000000"/>
              <w:bottom w:val="single" w:sz="4" w:space="0" w:color="000000"/>
            </w:tcBorders>
            <w:tcMar>
              <w:top w:w="0" w:type="dxa"/>
              <w:left w:w="115" w:type="dxa"/>
              <w:bottom w:w="0" w:type="dxa"/>
              <w:right w:w="115" w:type="dxa"/>
            </w:tcMar>
            <w:hideMark/>
          </w:tcPr>
          <w:p w14:paraId="6370D747" w14:textId="77777777" w:rsidR="00897A88" w:rsidRPr="000C02BC" w:rsidRDefault="00897A88">
            <w:pPr>
              <w:pStyle w:val="NormalWeb"/>
              <w:spacing w:before="0" w:beforeAutospacing="0" w:after="0" w:afterAutospacing="0"/>
              <w:ind w:right="223"/>
              <w:rPr>
                <w:sz w:val="16"/>
                <w:szCs w:val="16"/>
              </w:rPr>
            </w:pPr>
            <w:r w:rsidRPr="000C02BC">
              <w:rPr>
                <w:color w:val="000000"/>
                <w:sz w:val="16"/>
                <w:szCs w:val="16"/>
              </w:rPr>
              <w:t>Not serious</w:t>
            </w:r>
          </w:p>
        </w:tc>
        <w:tc>
          <w:tcPr>
            <w:tcW w:w="0" w:type="auto"/>
            <w:tcBorders>
              <w:top w:val="single" w:sz="4" w:space="0" w:color="000000"/>
              <w:bottom w:val="single" w:sz="4" w:space="0" w:color="000000"/>
            </w:tcBorders>
            <w:tcMar>
              <w:top w:w="0" w:type="dxa"/>
              <w:left w:w="115" w:type="dxa"/>
              <w:bottom w:w="0" w:type="dxa"/>
              <w:right w:w="115" w:type="dxa"/>
            </w:tcMar>
            <w:hideMark/>
          </w:tcPr>
          <w:p w14:paraId="7AFF9ACD" w14:textId="77777777" w:rsidR="00897A88" w:rsidRPr="000C02BC" w:rsidRDefault="00897A88">
            <w:pPr>
              <w:pStyle w:val="NormalWeb"/>
              <w:spacing w:before="0" w:beforeAutospacing="0" w:after="0" w:afterAutospacing="0"/>
              <w:rPr>
                <w:sz w:val="16"/>
                <w:szCs w:val="16"/>
              </w:rPr>
            </w:pPr>
            <w:r w:rsidRPr="000C02BC">
              <w:rPr>
                <w:color w:val="000000"/>
                <w:sz w:val="16"/>
                <w:szCs w:val="16"/>
              </w:rPr>
              <w:t>Not serious</w:t>
            </w:r>
            <w:r w:rsidRPr="000C02BC">
              <w:rPr>
                <w:color w:val="000000"/>
                <w:sz w:val="16"/>
                <w:szCs w:val="16"/>
                <w:vertAlign w:val="superscript"/>
              </w:rPr>
              <w:t>2</w:t>
            </w:r>
          </w:p>
        </w:tc>
        <w:tc>
          <w:tcPr>
            <w:tcW w:w="0" w:type="auto"/>
            <w:tcBorders>
              <w:top w:val="single" w:sz="4" w:space="0" w:color="000000"/>
              <w:bottom w:val="single" w:sz="4" w:space="0" w:color="000000"/>
            </w:tcBorders>
            <w:tcMar>
              <w:top w:w="0" w:type="dxa"/>
              <w:left w:w="115" w:type="dxa"/>
              <w:bottom w:w="0" w:type="dxa"/>
              <w:right w:w="115" w:type="dxa"/>
            </w:tcMar>
            <w:hideMark/>
          </w:tcPr>
          <w:p w14:paraId="3AE2ACC6" w14:textId="77777777" w:rsidR="00897A88" w:rsidRPr="000C02BC" w:rsidRDefault="00897A88">
            <w:pPr>
              <w:pStyle w:val="NormalWeb"/>
              <w:spacing w:before="0" w:beforeAutospacing="0" w:after="0" w:afterAutospacing="0"/>
              <w:rPr>
                <w:sz w:val="16"/>
                <w:szCs w:val="16"/>
              </w:rPr>
            </w:pPr>
            <w:r w:rsidRPr="000C02BC">
              <w:rPr>
                <w:color w:val="000000"/>
                <w:sz w:val="16"/>
                <w:szCs w:val="16"/>
              </w:rPr>
              <w:t>None</w:t>
            </w:r>
          </w:p>
        </w:tc>
        <w:tc>
          <w:tcPr>
            <w:tcW w:w="0" w:type="auto"/>
            <w:tcBorders>
              <w:top w:val="single" w:sz="4" w:space="0" w:color="000000"/>
              <w:bottom w:val="single" w:sz="4" w:space="0" w:color="000000"/>
            </w:tcBorders>
            <w:tcMar>
              <w:top w:w="0" w:type="dxa"/>
              <w:left w:w="115" w:type="dxa"/>
              <w:bottom w:w="0" w:type="dxa"/>
              <w:right w:w="115" w:type="dxa"/>
            </w:tcMar>
            <w:hideMark/>
          </w:tcPr>
          <w:p w14:paraId="250AFCFA" w14:textId="77777777" w:rsidR="00897A88" w:rsidRDefault="00897A88"/>
        </w:tc>
        <w:tc>
          <w:tcPr>
            <w:tcW w:w="0" w:type="auto"/>
            <w:tcBorders>
              <w:top w:val="single" w:sz="4" w:space="0" w:color="000000"/>
              <w:bottom w:val="single" w:sz="4" w:space="0" w:color="000000"/>
            </w:tcBorders>
            <w:tcMar>
              <w:top w:w="0" w:type="dxa"/>
              <w:left w:w="115" w:type="dxa"/>
              <w:bottom w:w="0" w:type="dxa"/>
              <w:right w:w="115" w:type="dxa"/>
            </w:tcMar>
            <w:hideMark/>
          </w:tcPr>
          <w:p w14:paraId="3197BC84" w14:textId="77777777" w:rsidR="00897A88" w:rsidRDefault="00897A88">
            <w:pPr>
              <w:pStyle w:val="NormalWeb"/>
              <w:spacing w:before="0" w:beforeAutospacing="0" w:after="0" w:afterAutospacing="0"/>
            </w:pPr>
            <w:r>
              <w:rPr>
                <w:color w:val="000000"/>
                <w:sz w:val="16"/>
                <w:szCs w:val="16"/>
              </w:rPr>
              <w:t>None</w:t>
            </w:r>
          </w:p>
        </w:tc>
        <w:tc>
          <w:tcPr>
            <w:tcW w:w="0" w:type="auto"/>
            <w:tcBorders>
              <w:top w:val="single" w:sz="4" w:space="0" w:color="000000"/>
              <w:bottom w:val="single" w:sz="4" w:space="0" w:color="000000"/>
            </w:tcBorders>
            <w:tcMar>
              <w:top w:w="0" w:type="dxa"/>
              <w:left w:w="115" w:type="dxa"/>
              <w:bottom w:w="0" w:type="dxa"/>
              <w:right w:w="115" w:type="dxa"/>
            </w:tcMar>
            <w:hideMark/>
          </w:tcPr>
          <w:p w14:paraId="2527E88D" w14:textId="77777777" w:rsidR="00897A88" w:rsidRDefault="00897A88">
            <w:pPr>
              <w:pStyle w:val="NormalWeb"/>
              <w:spacing w:before="0" w:beforeAutospacing="0" w:after="0" w:afterAutospacing="0"/>
            </w:pPr>
            <w:r>
              <w:rPr>
                <w:color w:val="000000"/>
                <w:sz w:val="16"/>
                <w:szCs w:val="16"/>
              </w:rPr>
              <w:t>↔</w:t>
            </w:r>
          </w:p>
        </w:tc>
        <w:tc>
          <w:tcPr>
            <w:tcW w:w="2146" w:type="dxa"/>
            <w:tcBorders>
              <w:top w:val="single" w:sz="4" w:space="0" w:color="000000"/>
              <w:bottom w:val="single" w:sz="4" w:space="0" w:color="000000"/>
            </w:tcBorders>
            <w:tcMar>
              <w:top w:w="0" w:type="dxa"/>
              <w:left w:w="115" w:type="dxa"/>
              <w:bottom w:w="0" w:type="dxa"/>
              <w:right w:w="115" w:type="dxa"/>
            </w:tcMar>
            <w:hideMark/>
          </w:tcPr>
          <w:p w14:paraId="07111F79" w14:textId="77777777" w:rsidR="00897A88" w:rsidRDefault="00897A88">
            <w:pPr>
              <w:pStyle w:val="NormalWeb"/>
              <w:spacing w:before="0" w:beforeAutospacing="0" w:after="0" w:afterAutospacing="0"/>
            </w:pPr>
            <w:r>
              <w:rPr>
                <w:color w:val="000000"/>
                <w:sz w:val="16"/>
                <w:szCs w:val="16"/>
              </w:rPr>
              <w:t>-0.22 mm [-0.45 to 0.01], P=0.059</w:t>
            </w:r>
          </w:p>
        </w:tc>
        <w:tc>
          <w:tcPr>
            <w:tcW w:w="1559" w:type="dxa"/>
            <w:tcBorders>
              <w:top w:val="single" w:sz="4" w:space="0" w:color="000000"/>
              <w:bottom w:val="single" w:sz="4" w:space="0" w:color="000000"/>
            </w:tcBorders>
            <w:tcMar>
              <w:top w:w="0" w:type="dxa"/>
              <w:left w:w="115" w:type="dxa"/>
              <w:bottom w:w="0" w:type="dxa"/>
              <w:right w:w="115" w:type="dxa"/>
            </w:tcMar>
            <w:hideMark/>
          </w:tcPr>
          <w:p w14:paraId="36F12BEA" w14:textId="77777777" w:rsidR="00897A88" w:rsidRDefault="00897A88">
            <w:pPr>
              <w:pStyle w:val="NormalWeb"/>
              <w:spacing w:before="0" w:beforeAutospacing="0" w:after="0" w:afterAutospacing="0"/>
            </w:pPr>
            <w:r>
              <w:rPr>
                <w:rFonts w:ascii="Cambria Math" w:hAnsi="Cambria Math"/>
                <w:color w:val="000000"/>
                <w:sz w:val="18"/>
                <w:szCs w:val="18"/>
              </w:rPr>
              <w:t>⨁⨁⨁</w:t>
            </w:r>
            <w:r>
              <w:rPr>
                <w:rFonts w:ascii="Segoe UI Symbol" w:hAnsi="Segoe UI Symbol" w:cs="Segoe UI Symbol"/>
                <w:color w:val="000000"/>
                <w:sz w:val="15"/>
                <w:szCs w:val="15"/>
              </w:rPr>
              <w:t>◯</w:t>
            </w:r>
            <w:r>
              <w:rPr>
                <w:color w:val="000000"/>
                <w:sz w:val="16"/>
                <w:szCs w:val="16"/>
              </w:rPr>
              <w:t xml:space="preserve"> Moderate</w:t>
            </w:r>
          </w:p>
        </w:tc>
        <w:tc>
          <w:tcPr>
            <w:tcW w:w="1276" w:type="dxa"/>
            <w:tcBorders>
              <w:top w:val="single" w:sz="4" w:space="0" w:color="000000"/>
              <w:bottom w:val="single" w:sz="4" w:space="0" w:color="000000"/>
              <w:right w:val="single" w:sz="4" w:space="0" w:color="000000"/>
            </w:tcBorders>
            <w:tcMar>
              <w:top w:w="0" w:type="dxa"/>
              <w:left w:w="115" w:type="dxa"/>
              <w:bottom w:w="0" w:type="dxa"/>
              <w:right w:w="115" w:type="dxa"/>
            </w:tcMar>
            <w:hideMark/>
          </w:tcPr>
          <w:p w14:paraId="5D2E8A5F" w14:textId="77777777" w:rsidR="00897A88" w:rsidRDefault="00897A88" w:rsidP="000C02BC">
            <w:pPr>
              <w:pStyle w:val="NormalWeb"/>
              <w:spacing w:before="0" w:beforeAutospacing="0" w:after="0" w:afterAutospacing="0"/>
              <w:jc w:val="center"/>
            </w:pPr>
            <w:r>
              <w:rPr>
                <w:color w:val="000000"/>
                <w:sz w:val="16"/>
                <w:szCs w:val="16"/>
              </w:rPr>
              <w:t>No effect</w:t>
            </w:r>
          </w:p>
        </w:tc>
      </w:tr>
      <w:tr w:rsidR="000C02BC" w14:paraId="3D6C0A87" w14:textId="77777777" w:rsidTr="000C02BC">
        <w:trPr>
          <w:trHeight w:val="679"/>
        </w:trPr>
        <w:tc>
          <w:tcPr>
            <w:tcW w:w="0" w:type="auto"/>
            <w:tcBorders>
              <w:top w:val="single" w:sz="4" w:space="0" w:color="000000"/>
              <w:left w:val="single" w:sz="4" w:space="0" w:color="000000"/>
              <w:bottom w:val="single" w:sz="4" w:space="0" w:color="000000"/>
            </w:tcBorders>
            <w:tcMar>
              <w:top w:w="0" w:type="dxa"/>
              <w:left w:w="115" w:type="dxa"/>
              <w:bottom w:w="0" w:type="dxa"/>
              <w:right w:w="115" w:type="dxa"/>
            </w:tcMar>
            <w:hideMark/>
          </w:tcPr>
          <w:p w14:paraId="74F7E27C" w14:textId="77777777" w:rsidR="00897A88" w:rsidRDefault="00897A88">
            <w:pPr>
              <w:pStyle w:val="NormalWeb"/>
              <w:spacing w:before="0" w:beforeAutospacing="0" w:after="0" w:afterAutospacing="0"/>
            </w:pPr>
            <w:r>
              <w:rPr>
                <w:color w:val="000000"/>
                <w:sz w:val="16"/>
                <w:szCs w:val="16"/>
              </w:rPr>
              <w:t>Vaginal maturation index (8)</w:t>
            </w:r>
          </w:p>
        </w:tc>
        <w:tc>
          <w:tcPr>
            <w:tcW w:w="0" w:type="auto"/>
            <w:tcBorders>
              <w:top w:val="single" w:sz="4" w:space="0" w:color="000000"/>
              <w:bottom w:val="single" w:sz="4" w:space="0" w:color="000000"/>
            </w:tcBorders>
            <w:tcMar>
              <w:top w:w="0" w:type="dxa"/>
              <w:left w:w="115" w:type="dxa"/>
              <w:bottom w:w="0" w:type="dxa"/>
              <w:right w:w="115" w:type="dxa"/>
            </w:tcMar>
            <w:hideMark/>
          </w:tcPr>
          <w:p w14:paraId="64B8A642" w14:textId="77777777" w:rsidR="00897A88" w:rsidRDefault="00897A88">
            <w:pPr>
              <w:pStyle w:val="NormalWeb"/>
              <w:spacing w:before="0" w:beforeAutospacing="0" w:after="0" w:afterAutospacing="0"/>
            </w:pPr>
            <w:r>
              <w:rPr>
                <w:color w:val="000000"/>
                <w:sz w:val="16"/>
                <w:szCs w:val="16"/>
              </w:rPr>
              <w:t>Randomized trials</w:t>
            </w:r>
          </w:p>
        </w:tc>
        <w:tc>
          <w:tcPr>
            <w:tcW w:w="0" w:type="auto"/>
            <w:tcBorders>
              <w:top w:val="single" w:sz="4" w:space="0" w:color="000000"/>
              <w:bottom w:val="single" w:sz="4" w:space="0" w:color="000000"/>
            </w:tcBorders>
            <w:tcMar>
              <w:top w:w="0" w:type="dxa"/>
              <w:left w:w="115" w:type="dxa"/>
              <w:bottom w:w="0" w:type="dxa"/>
              <w:right w:w="115" w:type="dxa"/>
            </w:tcMar>
            <w:hideMark/>
          </w:tcPr>
          <w:p w14:paraId="1ACF0B85" w14:textId="77777777" w:rsidR="00897A88" w:rsidRDefault="00897A88">
            <w:pPr>
              <w:pStyle w:val="NormalWeb"/>
              <w:spacing w:before="0" w:beforeAutospacing="0" w:after="0" w:afterAutospacing="0"/>
            </w:pPr>
            <w:r>
              <w:rPr>
                <w:color w:val="000000"/>
                <w:sz w:val="16"/>
                <w:szCs w:val="16"/>
              </w:rPr>
              <w:t>Not serious</w:t>
            </w:r>
          </w:p>
        </w:tc>
        <w:tc>
          <w:tcPr>
            <w:tcW w:w="0" w:type="auto"/>
            <w:tcBorders>
              <w:top w:val="single" w:sz="4" w:space="0" w:color="000000"/>
              <w:bottom w:val="single" w:sz="4" w:space="0" w:color="000000"/>
            </w:tcBorders>
            <w:tcMar>
              <w:top w:w="0" w:type="dxa"/>
              <w:left w:w="115" w:type="dxa"/>
              <w:bottom w:w="0" w:type="dxa"/>
              <w:right w:w="115" w:type="dxa"/>
            </w:tcMar>
            <w:hideMark/>
          </w:tcPr>
          <w:p w14:paraId="13F9A31E" w14:textId="77777777" w:rsidR="00897A88" w:rsidRPr="000C02BC" w:rsidRDefault="00897A88">
            <w:pPr>
              <w:pStyle w:val="NormalWeb"/>
              <w:spacing w:before="0" w:beforeAutospacing="0" w:after="0" w:afterAutospacing="0"/>
              <w:rPr>
                <w:sz w:val="16"/>
                <w:szCs w:val="16"/>
              </w:rPr>
            </w:pPr>
            <w:r w:rsidRPr="000C02BC">
              <w:rPr>
                <w:color w:val="000000"/>
                <w:sz w:val="16"/>
                <w:szCs w:val="16"/>
              </w:rPr>
              <w:t>Not serious</w:t>
            </w:r>
          </w:p>
        </w:tc>
        <w:tc>
          <w:tcPr>
            <w:tcW w:w="0" w:type="auto"/>
            <w:tcBorders>
              <w:top w:val="single" w:sz="4" w:space="0" w:color="000000"/>
              <w:bottom w:val="single" w:sz="4" w:space="0" w:color="000000"/>
            </w:tcBorders>
            <w:tcMar>
              <w:top w:w="0" w:type="dxa"/>
              <w:left w:w="115" w:type="dxa"/>
              <w:bottom w:w="0" w:type="dxa"/>
              <w:right w:w="115" w:type="dxa"/>
            </w:tcMar>
            <w:hideMark/>
          </w:tcPr>
          <w:p w14:paraId="6AF37968" w14:textId="77777777" w:rsidR="00897A88" w:rsidRPr="000C02BC" w:rsidRDefault="00897A88">
            <w:pPr>
              <w:pStyle w:val="NormalWeb"/>
              <w:spacing w:before="0" w:beforeAutospacing="0" w:after="0" w:afterAutospacing="0"/>
              <w:rPr>
                <w:sz w:val="16"/>
                <w:szCs w:val="16"/>
              </w:rPr>
            </w:pPr>
            <w:r w:rsidRPr="000C02BC">
              <w:rPr>
                <w:color w:val="000000"/>
                <w:sz w:val="16"/>
                <w:szCs w:val="16"/>
              </w:rPr>
              <w:t>Not serious</w:t>
            </w:r>
          </w:p>
        </w:tc>
        <w:tc>
          <w:tcPr>
            <w:tcW w:w="0" w:type="auto"/>
            <w:tcBorders>
              <w:top w:val="single" w:sz="4" w:space="0" w:color="000000"/>
              <w:bottom w:val="single" w:sz="4" w:space="0" w:color="000000"/>
            </w:tcBorders>
            <w:tcMar>
              <w:top w:w="0" w:type="dxa"/>
              <w:left w:w="115" w:type="dxa"/>
              <w:bottom w:w="0" w:type="dxa"/>
              <w:right w:w="115" w:type="dxa"/>
            </w:tcMar>
            <w:hideMark/>
          </w:tcPr>
          <w:p w14:paraId="19857DE0" w14:textId="77777777" w:rsidR="00897A88" w:rsidRPr="000C02BC" w:rsidRDefault="00897A88">
            <w:pPr>
              <w:pStyle w:val="NormalWeb"/>
              <w:spacing w:before="0" w:beforeAutospacing="0" w:after="0" w:afterAutospacing="0"/>
              <w:rPr>
                <w:sz w:val="16"/>
                <w:szCs w:val="16"/>
              </w:rPr>
            </w:pPr>
            <w:r w:rsidRPr="000C02BC">
              <w:rPr>
                <w:color w:val="000000"/>
                <w:sz w:val="16"/>
                <w:szCs w:val="16"/>
              </w:rPr>
              <w:t>Serious</w:t>
            </w:r>
            <w:r w:rsidRPr="000C02BC">
              <w:rPr>
                <w:color w:val="000000"/>
                <w:sz w:val="16"/>
                <w:szCs w:val="16"/>
                <w:vertAlign w:val="superscript"/>
              </w:rPr>
              <w:t>3</w:t>
            </w:r>
          </w:p>
        </w:tc>
        <w:tc>
          <w:tcPr>
            <w:tcW w:w="0" w:type="auto"/>
            <w:tcBorders>
              <w:top w:val="single" w:sz="4" w:space="0" w:color="000000"/>
              <w:bottom w:val="single" w:sz="4" w:space="0" w:color="000000"/>
            </w:tcBorders>
            <w:tcMar>
              <w:top w:w="0" w:type="dxa"/>
              <w:left w:w="115" w:type="dxa"/>
              <w:bottom w:w="0" w:type="dxa"/>
              <w:right w:w="115" w:type="dxa"/>
            </w:tcMar>
            <w:hideMark/>
          </w:tcPr>
          <w:p w14:paraId="313AADDA" w14:textId="77777777" w:rsidR="00897A88" w:rsidRPr="000C02BC" w:rsidRDefault="00897A88">
            <w:pPr>
              <w:pStyle w:val="NormalWeb"/>
              <w:spacing w:before="0" w:beforeAutospacing="0" w:after="0" w:afterAutospacing="0"/>
              <w:rPr>
                <w:sz w:val="16"/>
                <w:szCs w:val="16"/>
              </w:rPr>
            </w:pPr>
            <w:r w:rsidRPr="000C02BC">
              <w:rPr>
                <w:color w:val="000000"/>
                <w:sz w:val="16"/>
                <w:szCs w:val="16"/>
              </w:rPr>
              <w:t>None</w:t>
            </w:r>
            <w:r w:rsidRPr="000C02BC">
              <w:rPr>
                <w:color w:val="000000"/>
                <w:sz w:val="16"/>
                <w:szCs w:val="16"/>
                <w:vertAlign w:val="superscript"/>
              </w:rPr>
              <w:t>4</w:t>
            </w:r>
          </w:p>
        </w:tc>
        <w:tc>
          <w:tcPr>
            <w:tcW w:w="0" w:type="auto"/>
            <w:tcBorders>
              <w:top w:val="single" w:sz="4" w:space="0" w:color="000000"/>
              <w:bottom w:val="single" w:sz="4" w:space="0" w:color="000000"/>
            </w:tcBorders>
            <w:tcMar>
              <w:top w:w="0" w:type="dxa"/>
              <w:left w:w="115" w:type="dxa"/>
              <w:bottom w:w="0" w:type="dxa"/>
              <w:right w:w="115" w:type="dxa"/>
            </w:tcMar>
            <w:hideMark/>
          </w:tcPr>
          <w:p w14:paraId="332C55DE" w14:textId="77777777" w:rsidR="00897A88" w:rsidRDefault="00897A88"/>
        </w:tc>
        <w:tc>
          <w:tcPr>
            <w:tcW w:w="0" w:type="auto"/>
            <w:tcBorders>
              <w:top w:val="single" w:sz="4" w:space="0" w:color="000000"/>
              <w:bottom w:val="single" w:sz="4" w:space="0" w:color="000000"/>
            </w:tcBorders>
            <w:tcMar>
              <w:top w:w="0" w:type="dxa"/>
              <w:left w:w="115" w:type="dxa"/>
              <w:bottom w:w="0" w:type="dxa"/>
              <w:right w:w="115" w:type="dxa"/>
            </w:tcMar>
            <w:hideMark/>
          </w:tcPr>
          <w:p w14:paraId="46E6FF0A" w14:textId="77777777" w:rsidR="00897A88" w:rsidRDefault="00897A88">
            <w:pPr>
              <w:pStyle w:val="NormalWeb"/>
              <w:spacing w:before="0" w:beforeAutospacing="0" w:after="0" w:afterAutospacing="0"/>
            </w:pPr>
            <w:r>
              <w:rPr>
                <w:color w:val="000000"/>
                <w:sz w:val="16"/>
                <w:szCs w:val="16"/>
              </w:rPr>
              <w:t>None</w:t>
            </w:r>
          </w:p>
        </w:tc>
        <w:tc>
          <w:tcPr>
            <w:tcW w:w="0" w:type="auto"/>
            <w:tcBorders>
              <w:top w:val="single" w:sz="4" w:space="0" w:color="000000"/>
              <w:bottom w:val="single" w:sz="4" w:space="0" w:color="000000"/>
            </w:tcBorders>
            <w:tcMar>
              <w:top w:w="0" w:type="dxa"/>
              <w:left w:w="115" w:type="dxa"/>
              <w:bottom w:w="0" w:type="dxa"/>
              <w:right w:w="115" w:type="dxa"/>
            </w:tcMar>
            <w:hideMark/>
          </w:tcPr>
          <w:p w14:paraId="26D2F0DC" w14:textId="77777777" w:rsidR="00897A88" w:rsidRDefault="00897A88">
            <w:pPr>
              <w:pStyle w:val="NormalWeb"/>
              <w:spacing w:before="0" w:beforeAutospacing="0" w:after="0" w:afterAutospacing="0"/>
            </w:pPr>
            <w:r>
              <w:rPr>
                <w:color w:val="000000"/>
                <w:sz w:val="16"/>
                <w:szCs w:val="16"/>
              </w:rPr>
              <w:t>↔</w:t>
            </w:r>
          </w:p>
        </w:tc>
        <w:tc>
          <w:tcPr>
            <w:tcW w:w="2146" w:type="dxa"/>
            <w:tcBorders>
              <w:top w:val="single" w:sz="4" w:space="0" w:color="000000"/>
              <w:bottom w:val="single" w:sz="4" w:space="0" w:color="000000"/>
            </w:tcBorders>
            <w:tcMar>
              <w:top w:w="0" w:type="dxa"/>
              <w:left w:w="115" w:type="dxa"/>
              <w:bottom w:w="0" w:type="dxa"/>
              <w:right w:w="115" w:type="dxa"/>
            </w:tcMar>
            <w:hideMark/>
          </w:tcPr>
          <w:p w14:paraId="056EF3AE" w14:textId="77777777" w:rsidR="00897A88" w:rsidRDefault="00897A88">
            <w:pPr>
              <w:pStyle w:val="NormalWeb"/>
              <w:spacing w:before="0" w:beforeAutospacing="0" w:after="0" w:afterAutospacing="0"/>
            </w:pPr>
            <w:r>
              <w:rPr>
                <w:color w:val="000000"/>
                <w:sz w:val="16"/>
                <w:szCs w:val="16"/>
              </w:rPr>
              <w:t>2.31 [-2.14 to 6.75], </w:t>
            </w:r>
          </w:p>
          <w:p w14:paraId="0C86FFD4" w14:textId="77777777" w:rsidR="00897A88" w:rsidRDefault="00897A88">
            <w:pPr>
              <w:pStyle w:val="NormalWeb"/>
              <w:spacing w:before="0" w:beforeAutospacing="0" w:after="0" w:afterAutospacing="0"/>
            </w:pPr>
            <w:r>
              <w:rPr>
                <w:color w:val="000000"/>
                <w:sz w:val="16"/>
                <w:szCs w:val="16"/>
              </w:rPr>
              <w:t>P=0.310</w:t>
            </w:r>
          </w:p>
        </w:tc>
        <w:tc>
          <w:tcPr>
            <w:tcW w:w="1559" w:type="dxa"/>
            <w:tcBorders>
              <w:top w:val="single" w:sz="4" w:space="0" w:color="000000"/>
              <w:bottom w:val="single" w:sz="4" w:space="0" w:color="000000"/>
            </w:tcBorders>
            <w:tcMar>
              <w:top w:w="0" w:type="dxa"/>
              <w:left w:w="115" w:type="dxa"/>
              <w:bottom w:w="0" w:type="dxa"/>
              <w:right w:w="115" w:type="dxa"/>
            </w:tcMar>
            <w:hideMark/>
          </w:tcPr>
          <w:p w14:paraId="32112289" w14:textId="77777777" w:rsidR="00897A88" w:rsidRDefault="00897A88">
            <w:pPr>
              <w:pStyle w:val="NormalWeb"/>
              <w:spacing w:before="0" w:beforeAutospacing="0" w:after="0" w:afterAutospacing="0"/>
            </w:pPr>
            <w:r>
              <w:rPr>
                <w:rFonts w:ascii="Cambria Math" w:hAnsi="Cambria Math"/>
                <w:color w:val="000000"/>
                <w:sz w:val="18"/>
                <w:szCs w:val="18"/>
              </w:rPr>
              <w:t>⨁⨁⨁</w:t>
            </w:r>
            <w:r>
              <w:rPr>
                <w:rFonts w:ascii="Segoe UI Symbol" w:hAnsi="Segoe UI Symbol" w:cs="Segoe UI Symbol"/>
                <w:color w:val="000000"/>
                <w:sz w:val="15"/>
                <w:szCs w:val="15"/>
              </w:rPr>
              <w:t>◯</w:t>
            </w:r>
            <w:r>
              <w:rPr>
                <w:color w:val="000000"/>
                <w:sz w:val="16"/>
                <w:szCs w:val="16"/>
              </w:rPr>
              <w:t xml:space="preserve"> Moderate</w:t>
            </w:r>
          </w:p>
        </w:tc>
        <w:tc>
          <w:tcPr>
            <w:tcW w:w="1276" w:type="dxa"/>
            <w:tcBorders>
              <w:top w:val="single" w:sz="4" w:space="0" w:color="000000"/>
              <w:bottom w:val="single" w:sz="4" w:space="0" w:color="000000"/>
              <w:right w:val="single" w:sz="4" w:space="0" w:color="000000"/>
            </w:tcBorders>
            <w:tcMar>
              <w:top w:w="0" w:type="dxa"/>
              <w:left w:w="115" w:type="dxa"/>
              <w:bottom w:w="0" w:type="dxa"/>
              <w:right w:w="115" w:type="dxa"/>
            </w:tcMar>
            <w:hideMark/>
          </w:tcPr>
          <w:p w14:paraId="5666B64A" w14:textId="77777777" w:rsidR="00897A88" w:rsidRDefault="00897A88" w:rsidP="000C02BC">
            <w:pPr>
              <w:pStyle w:val="NormalWeb"/>
              <w:spacing w:before="0" w:beforeAutospacing="0" w:after="0" w:afterAutospacing="0"/>
              <w:jc w:val="center"/>
            </w:pPr>
            <w:r>
              <w:rPr>
                <w:color w:val="000000"/>
                <w:sz w:val="16"/>
                <w:szCs w:val="16"/>
              </w:rPr>
              <w:t>No effect</w:t>
            </w:r>
          </w:p>
        </w:tc>
      </w:tr>
      <w:tr w:rsidR="000C02BC" w14:paraId="328D5EA0" w14:textId="77777777" w:rsidTr="000C02BC">
        <w:trPr>
          <w:trHeight w:val="612"/>
        </w:trPr>
        <w:tc>
          <w:tcPr>
            <w:tcW w:w="0" w:type="auto"/>
            <w:tcBorders>
              <w:top w:val="single" w:sz="4" w:space="0" w:color="000000"/>
              <w:left w:val="single" w:sz="4" w:space="0" w:color="000000"/>
              <w:bottom w:val="single" w:sz="4" w:space="0" w:color="000000"/>
            </w:tcBorders>
            <w:tcMar>
              <w:top w:w="0" w:type="dxa"/>
              <w:left w:w="115" w:type="dxa"/>
              <w:bottom w:w="0" w:type="dxa"/>
              <w:right w:w="115" w:type="dxa"/>
            </w:tcMar>
            <w:hideMark/>
          </w:tcPr>
          <w:p w14:paraId="74DCA81E" w14:textId="77777777" w:rsidR="00897A88" w:rsidRDefault="00897A88">
            <w:pPr>
              <w:pStyle w:val="NormalWeb"/>
              <w:spacing w:before="0" w:beforeAutospacing="0" w:after="0" w:afterAutospacing="0"/>
            </w:pPr>
            <w:r>
              <w:rPr>
                <w:color w:val="000000"/>
                <w:sz w:val="16"/>
                <w:szCs w:val="16"/>
              </w:rPr>
              <w:t>Follicle-</w:t>
            </w:r>
          </w:p>
          <w:p w14:paraId="502A8740" w14:textId="77777777" w:rsidR="00897A88" w:rsidRDefault="00897A88">
            <w:pPr>
              <w:pStyle w:val="NormalWeb"/>
              <w:spacing w:before="0" w:beforeAutospacing="0" w:after="0" w:afterAutospacing="0"/>
            </w:pPr>
            <w:r>
              <w:rPr>
                <w:color w:val="000000"/>
                <w:sz w:val="16"/>
                <w:szCs w:val="16"/>
              </w:rPr>
              <w:t>stimulating hormone (31)</w:t>
            </w:r>
          </w:p>
        </w:tc>
        <w:tc>
          <w:tcPr>
            <w:tcW w:w="0" w:type="auto"/>
            <w:tcBorders>
              <w:top w:val="single" w:sz="4" w:space="0" w:color="000000"/>
              <w:bottom w:val="single" w:sz="4" w:space="0" w:color="000000"/>
            </w:tcBorders>
            <w:tcMar>
              <w:top w:w="0" w:type="dxa"/>
              <w:left w:w="115" w:type="dxa"/>
              <w:bottom w:w="0" w:type="dxa"/>
              <w:right w:w="115" w:type="dxa"/>
            </w:tcMar>
            <w:hideMark/>
          </w:tcPr>
          <w:p w14:paraId="0A9381F0" w14:textId="77777777" w:rsidR="00897A88" w:rsidRDefault="00897A88">
            <w:pPr>
              <w:pStyle w:val="NormalWeb"/>
              <w:spacing w:before="0" w:beforeAutospacing="0" w:after="0" w:afterAutospacing="0"/>
            </w:pPr>
            <w:r>
              <w:rPr>
                <w:color w:val="000000"/>
                <w:sz w:val="16"/>
                <w:szCs w:val="16"/>
              </w:rPr>
              <w:t>Randomized trials</w:t>
            </w:r>
          </w:p>
        </w:tc>
        <w:tc>
          <w:tcPr>
            <w:tcW w:w="0" w:type="auto"/>
            <w:tcBorders>
              <w:top w:val="single" w:sz="4" w:space="0" w:color="000000"/>
              <w:bottom w:val="single" w:sz="4" w:space="0" w:color="000000"/>
            </w:tcBorders>
            <w:tcMar>
              <w:top w:w="0" w:type="dxa"/>
              <w:left w:w="115" w:type="dxa"/>
              <w:bottom w:w="0" w:type="dxa"/>
              <w:right w:w="115" w:type="dxa"/>
            </w:tcMar>
            <w:hideMark/>
          </w:tcPr>
          <w:p w14:paraId="57EC85F0" w14:textId="77777777" w:rsidR="00897A88" w:rsidRDefault="00897A88">
            <w:pPr>
              <w:pStyle w:val="NormalWeb"/>
              <w:spacing w:before="0" w:beforeAutospacing="0" w:after="0" w:afterAutospacing="0"/>
            </w:pPr>
            <w:r>
              <w:rPr>
                <w:color w:val="000000"/>
                <w:sz w:val="16"/>
                <w:szCs w:val="16"/>
              </w:rPr>
              <w:t>Not serious</w:t>
            </w:r>
          </w:p>
        </w:tc>
        <w:tc>
          <w:tcPr>
            <w:tcW w:w="0" w:type="auto"/>
            <w:tcBorders>
              <w:top w:val="single" w:sz="4" w:space="0" w:color="000000"/>
              <w:bottom w:val="single" w:sz="4" w:space="0" w:color="000000"/>
            </w:tcBorders>
            <w:tcMar>
              <w:top w:w="0" w:type="dxa"/>
              <w:left w:w="115" w:type="dxa"/>
              <w:bottom w:w="0" w:type="dxa"/>
              <w:right w:w="115" w:type="dxa"/>
            </w:tcMar>
            <w:hideMark/>
          </w:tcPr>
          <w:p w14:paraId="27DB3968" w14:textId="77777777" w:rsidR="00897A88" w:rsidRPr="000C02BC" w:rsidRDefault="00897A88">
            <w:pPr>
              <w:pStyle w:val="NormalWeb"/>
              <w:spacing w:before="0" w:beforeAutospacing="0" w:after="0" w:afterAutospacing="0"/>
              <w:rPr>
                <w:sz w:val="16"/>
                <w:szCs w:val="16"/>
              </w:rPr>
            </w:pPr>
            <w:r w:rsidRPr="000C02BC">
              <w:rPr>
                <w:color w:val="000000"/>
                <w:sz w:val="16"/>
                <w:szCs w:val="16"/>
              </w:rPr>
              <w:t>Not serious</w:t>
            </w:r>
            <w:r w:rsidRPr="000C02BC">
              <w:rPr>
                <w:color w:val="000000"/>
                <w:sz w:val="16"/>
                <w:szCs w:val="16"/>
                <w:vertAlign w:val="superscript"/>
              </w:rPr>
              <w:t>5</w:t>
            </w:r>
          </w:p>
        </w:tc>
        <w:tc>
          <w:tcPr>
            <w:tcW w:w="0" w:type="auto"/>
            <w:tcBorders>
              <w:top w:val="single" w:sz="4" w:space="0" w:color="000000"/>
              <w:bottom w:val="single" w:sz="4" w:space="0" w:color="000000"/>
            </w:tcBorders>
            <w:tcMar>
              <w:top w:w="0" w:type="dxa"/>
              <w:left w:w="115" w:type="dxa"/>
              <w:bottom w:w="0" w:type="dxa"/>
              <w:right w:w="115" w:type="dxa"/>
            </w:tcMar>
            <w:hideMark/>
          </w:tcPr>
          <w:p w14:paraId="20360FDE" w14:textId="77777777" w:rsidR="00897A88" w:rsidRPr="000C02BC" w:rsidRDefault="00897A88">
            <w:pPr>
              <w:pStyle w:val="NormalWeb"/>
              <w:spacing w:before="0" w:beforeAutospacing="0" w:after="0" w:afterAutospacing="0"/>
              <w:rPr>
                <w:sz w:val="16"/>
                <w:szCs w:val="16"/>
              </w:rPr>
            </w:pPr>
            <w:r w:rsidRPr="000C02BC">
              <w:rPr>
                <w:color w:val="000000"/>
                <w:sz w:val="16"/>
                <w:szCs w:val="16"/>
              </w:rPr>
              <w:t>Not serious</w:t>
            </w:r>
          </w:p>
        </w:tc>
        <w:tc>
          <w:tcPr>
            <w:tcW w:w="0" w:type="auto"/>
            <w:tcBorders>
              <w:top w:val="single" w:sz="4" w:space="0" w:color="000000"/>
              <w:bottom w:val="single" w:sz="4" w:space="0" w:color="000000"/>
            </w:tcBorders>
            <w:tcMar>
              <w:top w:w="0" w:type="dxa"/>
              <w:left w:w="115" w:type="dxa"/>
              <w:bottom w:w="0" w:type="dxa"/>
              <w:right w:w="115" w:type="dxa"/>
            </w:tcMar>
            <w:hideMark/>
          </w:tcPr>
          <w:p w14:paraId="550B7D42" w14:textId="77777777" w:rsidR="00897A88" w:rsidRPr="000C02BC" w:rsidRDefault="00897A88">
            <w:pPr>
              <w:pStyle w:val="NormalWeb"/>
              <w:spacing w:before="0" w:beforeAutospacing="0" w:after="0" w:afterAutospacing="0"/>
              <w:rPr>
                <w:sz w:val="16"/>
                <w:szCs w:val="16"/>
              </w:rPr>
            </w:pPr>
            <w:r w:rsidRPr="000C02BC">
              <w:rPr>
                <w:color w:val="000000"/>
                <w:sz w:val="16"/>
                <w:szCs w:val="16"/>
              </w:rPr>
              <w:t>Not serious</w:t>
            </w:r>
          </w:p>
        </w:tc>
        <w:tc>
          <w:tcPr>
            <w:tcW w:w="0" w:type="auto"/>
            <w:tcBorders>
              <w:top w:val="single" w:sz="4" w:space="0" w:color="000000"/>
              <w:bottom w:val="single" w:sz="4" w:space="0" w:color="000000"/>
            </w:tcBorders>
            <w:tcMar>
              <w:top w:w="0" w:type="dxa"/>
              <w:left w:w="115" w:type="dxa"/>
              <w:bottom w:w="0" w:type="dxa"/>
              <w:right w:w="115" w:type="dxa"/>
            </w:tcMar>
            <w:hideMark/>
          </w:tcPr>
          <w:p w14:paraId="34D11D00" w14:textId="77777777" w:rsidR="00897A88" w:rsidRPr="000C02BC" w:rsidRDefault="00897A88">
            <w:pPr>
              <w:pStyle w:val="NormalWeb"/>
              <w:spacing w:before="0" w:beforeAutospacing="0" w:after="0" w:afterAutospacing="0"/>
              <w:rPr>
                <w:sz w:val="16"/>
                <w:szCs w:val="16"/>
              </w:rPr>
            </w:pPr>
            <w:r w:rsidRPr="000C02BC">
              <w:rPr>
                <w:color w:val="000000"/>
                <w:sz w:val="16"/>
                <w:szCs w:val="16"/>
              </w:rPr>
              <w:t>None</w:t>
            </w:r>
          </w:p>
        </w:tc>
        <w:tc>
          <w:tcPr>
            <w:tcW w:w="0" w:type="auto"/>
            <w:tcBorders>
              <w:top w:val="single" w:sz="4" w:space="0" w:color="000000"/>
              <w:bottom w:val="single" w:sz="4" w:space="0" w:color="000000"/>
            </w:tcBorders>
            <w:tcMar>
              <w:top w:w="0" w:type="dxa"/>
              <w:left w:w="115" w:type="dxa"/>
              <w:bottom w:w="0" w:type="dxa"/>
              <w:right w:w="115" w:type="dxa"/>
            </w:tcMar>
            <w:hideMark/>
          </w:tcPr>
          <w:p w14:paraId="5552628A" w14:textId="77777777" w:rsidR="00897A88" w:rsidRDefault="00897A88"/>
        </w:tc>
        <w:tc>
          <w:tcPr>
            <w:tcW w:w="0" w:type="auto"/>
            <w:tcBorders>
              <w:top w:val="single" w:sz="4" w:space="0" w:color="000000"/>
              <w:bottom w:val="single" w:sz="4" w:space="0" w:color="000000"/>
            </w:tcBorders>
            <w:tcMar>
              <w:top w:w="0" w:type="dxa"/>
              <w:left w:w="115" w:type="dxa"/>
              <w:bottom w:w="0" w:type="dxa"/>
              <w:right w:w="115" w:type="dxa"/>
            </w:tcMar>
            <w:hideMark/>
          </w:tcPr>
          <w:p w14:paraId="549B244B" w14:textId="77777777" w:rsidR="00897A88" w:rsidRDefault="00897A88">
            <w:pPr>
              <w:pStyle w:val="NormalWeb"/>
              <w:spacing w:before="0" w:beforeAutospacing="0" w:after="0" w:afterAutospacing="0"/>
            </w:pPr>
            <w:r>
              <w:rPr>
                <w:color w:val="000000"/>
                <w:sz w:val="16"/>
                <w:szCs w:val="16"/>
              </w:rPr>
              <w:t>None</w:t>
            </w:r>
          </w:p>
        </w:tc>
        <w:tc>
          <w:tcPr>
            <w:tcW w:w="0" w:type="auto"/>
            <w:tcBorders>
              <w:top w:val="single" w:sz="4" w:space="0" w:color="000000"/>
              <w:bottom w:val="single" w:sz="4" w:space="0" w:color="000000"/>
            </w:tcBorders>
            <w:tcMar>
              <w:top w:w="0" w:type="dxa"/>
              <w:left w:w="115" w:type="dxa"/>
              <w:bottom w:w="0" w:type="dxa"/>
              <w:right w:w="115" w:type="dxa"/>
            </w:tcMar>
            <w:hideMark/>
          </w:tcPr>
          <w:p w14:paraId="5ECC3B1E" w14:textId="77777777" w:rsidR="00897A88" w:rsidRDefault="00897A88">
            <w:pPr>
              <w:pStyle w:val="NormalWeb"/>
              <w:spacing w:before="0" w:beforeAutospacing="0" w:after="0" w:afterAutospacing="0"/>
            </w:pPr>
            <w:r>
              <w:rPr>
                <w:color w:val="000000"/>
                <w:sz w:val="16"/>
                <w:szCs w:val="16"/>
              </w:rPr>
              <w:t>↔</w:t>
            </w:r>
          </w:p>
        </w:tc>
        <w:tc>
          <w:tcPr>
            <w:tcW w:w="2146" w:type="dxa"/>
            <w:tcBorders>
              <w:top w:val="single" w:sz="4" w:space="0" w:color="000000"/>
              <w:bottom w:val="single" w:sz="4" w:space="0" w:color="000000"/>
            </w:tcBorders>
            <w:tcMar>
              <w:top w:w="0" w:type="dxa"/>
              <w:left w:w="115" w:type="dxa"/>
              <w:bottom w:w="0" w:type="dxa"/>
              <w:right w:w="115" w:type="dxa"/>
            </w:tcMar>
            <w:hideMark/>
          </w:tcPr>
          <w:p w14:paraId="5C04E0FD" w14:textId="77777777" w:rsidR="00897A88" w:rsidRDefault="00897A88">
            <w:pPr>
              <w:pStyle w:val="NormalWeb"/>
              <w:spacing w:before="0" w:beforeAutospacing="0" w:after="0" w:afterAutospacing="0"/>
            </w:pPr>
            <w:r>
              <w:rPr>
                <w:color w:val="000000"/>
                <w:sz w:val="16"/>
                <w:szCs w:val="16"/>
              </w:rPr>
              <w:t>0.02 IU/L [-2.39 to 2.35], P=0.987</w:t>
            </w:r>
          </w:p>
        </w:tc>
        <w:tc>
          <w:tcPr>
            <w:tcW w:w="1559" w:type="dxa"/>
            <w:tcBorders>
              <w:top w:val="single" w:sz="4" w:space="0" w:color="000000"/>
              <w:bottom w:val="single" w:sz="4" w:space="0" w:color="000000"/>
            </w:tcBorders>
            <w:tcMar>
              <w:top w:w="0" w:type="dxa"/>
              <w:left w:w="115" w:type="dxa"/>
              <w:bottom w:w="0" w:type="dxa"/>
              <w:right w:w="115" w:type="dxa"/>
            </w:tcMar>
            <w:hideMark/>
          </w:tcPr>
          <w:p w14:paraId="423823C0" w14:textId="77777777" w:rsidR="00897A88" w:rsidRDefault="00897A88">
            <w:pPr>
              <w:pStyle w:val="NormalWeb"/>
              <w:spacing w:before="0" w:beforeAutospacing="0" w:after="0" w:afterAutospacing="0"/>
            </w:pPr>
            <w:r>
              <w:rPr>
                <w:rFonts w:ascii="Cambria Math" w:hAnsi="Cambria Math"/>
                <w:color w:val="000000"/>
                <w:sz w:val="18"/>
                <w:szCs w:val="18"/>
              </w:rPr>
              <w:t>⨁⨁⨁⨁</w:t>
            </w:r>
            <w:r>
              <w:rPr>
                <w:color w:val="000000"/>
                <w:sz w:val="16"/>
                <w:szCs w:val="16"/>
              </w:rPr>
              <w:t xml:space="preserve"> High</w:t>
            </w:r>
          </w:p>
        </w:tc>
        <w:tc>
          <w:tcPr>
            <w:tcW w:w="1276" w:type="dxa"/>
            <w:tcBorders>
              <w:top w:val="single" w:sz="4" w:space="0" w:color="000000"/>
              <w:bottom w:val="single" w:sz="4" w:space="0" w:color="000000"/>
              <w:right w:val="single" w:sz="4" w:space="0" w:color="000000"/>
            </w:tcBorders>
            <w:tcMar>
              <w:top w:w="0" w:type="dxa"/>
              <w:left w:w="115" w:type="dxa"/>
              <w:bottom w:w="0" w:type="dxa"/>
              <w:right w:w="115" w:type="dxa"/>
            </w:tcMar>
            <w:hideMark/>
          </w:tcPr>
          <w:p w14:paraId="7EC04E6B" w14:textId="77777777" w:rsidR="00897A88" w:rsidRDefault="00897A88" w:rsidP="000C02BC">
            <w:pPr>
              <w:pStyle w:val="NormalWeb"/>
              <w:spacing w:before="0" w:beforeAutospacing="0" w:after="0" w:afterAutospacing="0"/>
              <w:jc w:val="center"/>
            </w:pPr>
            <w:r>
              <w:rPr>
                <w:color w:val="000000"/>
                <w:sz w:val="16"/>
                <w:szCs w:val="16"/>
              </w:rPr>
              <w:t>No effect</w:t>
            </w:r>
          </w:p>
        </w:tc>
      </w:tr>
      <w:tr w:rsidR="000C02BC" w14:paraId="5B7DE44A" w14:textId="77777777" w:rsidTr="000C02BC">
        <w:trPr>
          <w:trHeight w:val="326"/>
        </w:trPr>
        <w:tc>
          <w:tcPr>
            <w:tcW w:w="0" w:type="auto"/>
            <w:tcBorders>
              <w:top w:val="single" w:sz="4" w:space="0" w:color="000000"/>
              <w:left w:val="single" w:sz="4" w:space="0" w:color="000000"/>
              <w:bottom w:val="single" w:sz="4" w:space="0" w:color="000000"/>
            </w:tcBorders>
            <w:tcMar>
              <w:top w:w="0" w:type="dxa"/>
              <w:left w:w="115" w:type="dxa"/>
              <w:bottom w:w="0" w:type="dxa"/>
              <w:right w:w="115" w:type="dxa"/>
            </w:tcMar>
            <w:hideMark/>
          </w:tcPr>
          <w:p w14:paraId="7473EE6C" w14:textId="77777777" w:rsidR="00897A88" w:rsidRDefault="00897A88">
            <w:pPr>
              <w:pStyle w:val="NormalWeb"/>
              <w:spacing w:before="0" w:beforeAutospacing="0" w:after="0" w:afterAutospacing="0"/>
            </w:pPr>
            <w:r>
              <w:rPr>
                <w:color w:val="000000"/>
                <w:sz w:val="16"/>
                <w:szCs w:val="16"/>
              </w:rPr>
              <w:t>Estradiol (31)</w:t>
            </w:r>
          </w:p>
        </w:tc>
        <w:tc>
          <w:tcPr>
            <w:tcW w:w="0" w:type="auto"/>
            <w:tcBorders>
              <w:top w:val="single" w:sz="4" w:space="0" w:color="000000"/>
              <w:bottom w:val="single" w:sz="4" w:space="0" w:color="000000"/>
            </w:tcBorders>
            <w:tcMar>
              <w:top w:w="0" w:type="dxa"/>
              <w:left w:w="115" w:type="dxa"/>
              <w:bottom w:w="0" w:type="dxa"/>
              <w:right w:w="115" w:type="dxa"/>
            </w:tcMar>
            <w:hideMark/>
          </w:tcPr>
          <w:p w14:paraId="1E8E9E52" w14:textId="77777777" w:rsidR="00897A88" w:rsidRDefault="00897A88">
            <w:pPr>
              <w:pStyle w:val="NormalWeb"/>
              <w:spacing w:before="0" w:beforeAutospacing="0" w:after="0" w:afterAutospacing="0"/>
            </w:pPr>
            <w:r>
              <w:rPr>
                <w:color w:val="000000"/>
                <w:sz w:val="16"/>
                <w:szCs w:val="16"/>
              </w:rPr>
              <w:t>Randomized trials</w:t>
            </w:r>
          </w:p>
        </w:tc>
        <w:tc>
          <w:tcPr>
            <w:tcW w:w="0" w:type="auto"/>
            <w:tcBorders>
              <w:top w:val="single" w:sz="4" w:space="0" w:color="000000"/>
              <w:bottom w:val="single" w:sz="4" w:space="0" w:color="000000"/>
            </w:tcBorders>
            <w:tcMar>
              <w:top w:w="0" w:type="dxa"/>
              <w:left w:w="115" w:type="dxa"/>
              <w:bottom w:w="0" w:type="dxa"/>
              <w:right w:w="115" w:type="dxa"/>
            </w:tcMar>
            <w:hideMark/>
          </w:tcPr>
          <w:p w14:paraId="605C77A5" w14:textId="77777777" w:rsidR="00897A88" w:rsidRDefault="00897A88">
            <w:pPr>
              <w:pStyle w:val="NormalWeb"/>
              <w:spacing w:before="0" w:beforeAutospacing="0" w:after="0" w:afterAutospacing="0"/>
            </w:pPr>
            <w:r>
              <w:rPr>
                <w:color w:val="000000"/>
                <w:sz w:val="16"/>
                <w:szCs w:val="16"/>
              </w:rPr>
              <w:t>Not serious</w:t>
            </w:r>
          </w:p>
        </w:tc>
        <w:tc>
          <w:tcPr>
            <w:tcW w:w="0" w:type="auto"/>
            <w:tcBorders>
              <w:top w:val="single" w:sz="4" w:space="0" w:color="000000"/>
              <w:bottom w:val="single" w:sz="4" w:space="0" w:color="000000"/>
            </w:tcBorders>
            <w:tcMar>
              <w:top w:w="0" w:type="dxa"/>
              <w:left w:w="115" w:type="dxa"/>
              <w:bottom w:w="0" w:type="dxa"/>
              <w:right w:w="115" w:type="dxa"/>
            </w:tcMar>
            <w:hideMark/>
          </w:tcPr>
          <w:p w14:paraId="5666D633" w14:textId="77777777" w:rsidR="00897A88" w:rsidRPr="000C02BC" w:rsidRDefault="00897A88">
            <w:pPr>
              <w:pStyle w:val="NormalWeb"/>
              <w:spacing w:before="0" w:beforeAutospacing="0" w:after="0" w:afterAutospacing="0"/>
              <w:rPr>
                <w:sz w:val="16"/>
                <w:szCs w:val="16"/>
              </w:rPr>
            </w:pPr>
            <w:r w:rsidRPr="000C02BC">
              <w:rPr>
                <w:color w:val="000000"/>
                <w:sz w:val="16"/>
                <w:szCs w:val="16"/>
              </w:rPr>
              <w:t>Not serious</w:t>
            </w:r>
          </w:p>
        </w:tc>
        <w:tc>
          <w:tcPr>
            <w:tcW w:w="0" w:type="auto"/>
            <w:tcBorders>
              <w:top w:val="single" w:sz="4" w:space="0" w:color="000000"/>
              <w:bottom w:val="single" w:sz="4" w:space="0" w:color="000000"/>
            </w:tcBorders>
            <w:tcMar>
              <w:top w:w="0" w:type="dxa"/>
              <w:left w:w="115" w:type="dxa"/>
              <w:bottom w:w="0" w:type="dxa"/>
              <w:right w:w="115" w:type="dxa"/>
            </w:tcMar>
            <w:hideMark/>
          </w:tcPr>
          <w:p w14:paraId="42343386" w14:textId="77777777" w:rsidR="00897A88" w:rsidRPr="000C02BC" w:rsidRDefault="00897A88">
            <w:pPr>
              <w:pStyle w:val="NormalWeb"/>
              <w:spacing w:before="0" w:beforeAutospacing="0" w:after="0" w:afterAutospacing="0"/>
              <w:rPr>
                <w:sz w:val="16"/>
                <w:szCs w:val="16"/>
              </w:rPr>
            </w:pPr>
            <w:r w:rsidRPr="000C02BC">
              <w:rPr>
                <w:color w:val="000000"/>
                <w:sz w:val="16"/>
                <w:szCs w:val="16"/>
              </w:rPr>
              <w:t>Not serious</w:t>
            </w:r>
          </w:p>
        </w:tc>
        <w:tc>
          <w:tcPr>
            <w:tcW w:w="0" w:type="auto"/>
            <w:tcBorders>
              <w:top w:val="single" w:sz="4" w:space="0" w:color="000000"/>
              <w:bottom w:val="single" w:sz="4" w:space="0" w:color="000000"/>
            </w:tcBorders>
            <w:tcMar>
              <w:top w:w="0" w:type="dxa"/>
              <w:left w:w="115" w:type="dxa"/>
              <w:bottom w:w="0" w:type="dxa"/>
              <w:right w:w="115" w:type="dxa"/>
            </w:tcMar>
            <w:hideMark/>
          </w:tcPr>
          <w:p w14:paraId="67A98314" w14:textId="77777777" w:rsidR="00897A88" w:rsidRPr="000C02BC" w:rsidRDefault="00897A88">
            <w:pPr>
              <w:pStyle w:val="NormalWeb"/>
              <w:spacing w:before="0" w:beforeAutospacing="0" w:after="0" w:afterAutospacing="0"/>
              <w:rPr>
                <w:sz w:val="16"/>
                <w:szCs w:val="16"/>
              </w:rPr>
            </w:pPr>
            <w:r w:rsidRPr="000C02BC">
              <w:rPr>
                <w:color w:val="000000"/>
                <w:sz w:val="16"/>
                <w:szCs w:val="16"/>
              </w:rPr>
              <w:t>Not serious</w:t>
            </w:r>
          </w:p>
        </w:tc>
        <w:tc>
          <w:tcPr>
            <w:tcW w:w="0" w:type="auto"/>
            <w:tcBorders>
              <w:top w:val="single" w:sz="4" w:space="0" w:color="000000"/>
              <w:bottom w:val="single" w:sz="4" w:space="0" w:color="000000"/>
            </w:tcBorders>
            <w:tcMar>
              <w:top w:w="0" w:type="dxa"/>
              <w:left w:w="115" w:type="dxa"/>
              <w:bottom w:w="0" w:type="dxa"/>
              <w:right w:w="115" w:type="dxa"/>
            </w:tcMar>
            <w:hideMark/>
          </w:tcPr>
          <w:p w14:paraId="6D168994" w14:textId="77777777" w:rsidR="00897A88" w:rsidRPr="000C02BC" w:rsidRDefault="00897A88">
            <w:pPr>
              <w:pStyle w:val="NormalWeb"/>
              <w:spacing w:before="0" w:beforeAutospacing="0" w:after="0" w:afterAutospacing="0"/>
              <w:rPr>
                <w:sz w:val="16"/>
                <w:szCs w:val="16"/>
              </w:rPr>
            </w:pPr>
            <w:r w:rsidRPr="000C02BC">
              <w:rPr>
                <w:color w:val="000000"/>
                <w:sz w:val="16"/>
                <w:szCs w:val="16"/>
              </w:rPr>
              <w:t>None</w:t>
            </w:r>
          </w:p>
        </w:tc>
        <w:tc>
          <w:tcPr>
            <w:tcW w:w="0" w:type="auto"/>
            <w:tcBorders>
              <w:top w:val="single" w:sz="4" w:space="0" w:color="000000"/>
              <w:bottom w:val="single" w:sz="4" w:space="0" w:color="000000"/>
            </w:tcBorders>
            <w:tcMar>
              <w:top w:w="0" w:type="dxa"/>
              <w:left w:w="115" w:type="dxa"/>
              <w:bottom w:w="0" w:type="dxa"/>
              <w:right w:w="115" w:type="dxa"/>
            </w:tcMar>
            <w:hideMark/>
          </w:tcPr>
          <w:p w14:paraId="14A8E183" w14:textId="77777777" w:rsidR="00897A88" w:rsidRDefault="00897A88"/>
        </w:tc>
        <w:tc>
          <w:tcPr>
            <w:tcW w:w="0" w:type="auto"/>
            <w:tcBorders>
              <w:top w:val="single" w:sz="4" w:space="0" w:color="000000"/>
              <w:bottom w:val="single" w:sz="4" w:space="0" w:color="000000"/>
            </w:tcBorders>
            <w:tcMar>
              <w:top w:w="0" w:type="dxa"/>
              <w:left w:w="115" w:type="dxa"/>
              <w:bottom w:w="0" w:type="dxa"/>
              <w:right w:w="115" w:type="dxa"/>
            </w:tcMar>
            <w:hideMark/>
          </w:tcPr>
          <w:p w14:paraId="2DE0240D" w14:textId="77777777" w:rsidR="00897A88" w:rsidRDefault="00897A88">
            <w:pPr>
              <w:pStyle w:val="NormalWeb"/>
              <w:spacing w:before="0" w:beforeAutospacing="0" w:after="0" w:afterAutospacing="0"/>
            </w:pPr>
            <w:r>
              <w:rPr>
                <w:color w:val="000000"/>
                <w:sz w:val="16"/>
                <w:szCs w:val="16"/>
              </w:rPr>
              <w:t>None</w:t>
            </w:r>
          </w:p>
        </w:tc>
        <w:tc>
          <w:tcPr>
            <w:tcW w:w="0" w:type="auto"/>
            <w:tcBorders>
              <w:top w:val="single" w:sz="4" w:space="0" w:color="000000"/>
              <w:bottom w:val="single" w:sz="4" w:space="0" w:color="000000"/>
            </w:tcBorders>
            <w:tcMar>
              <w:top w:w="0" w:type="dxa"/>
              <w:left w:w="115" w:type="dxa"/>
              <w:bottom w:w="0" w:type="dxa"/>
              <w:right w:w="115" w:type="dxa"/>
            </w:tcMar>
            <w:hideMark/>
          </w:tcPr>
          <w:p w14:paraId="0AD3C8D0" w14:textId="77777777" w:rsidR="00897A88" w:rsidRDefault="00897A88">
            <w:pPr>
              <w:pStyle w:val="NormalWeb"/>
              <w:spacing w:before="0" w:beforeAutospacing="0" w:after="0" w:afterAutospacing="0"/>
            </w:pPr>
            <w:r>
              <w:rPr>
                <w:color w:val="000000"/>
                <w:sz w:val="16"/>
                <w:szCs w:val="16"/>
              </w:rPr>
              <w:t>↔</w:t>
            </w:r>
          </w:p>
        </w:tc>
        <w:tc>
          <w:tcPr>
            <w:tcW w:w="2146" w:type="dxa"/>
            <w:tcBorders>
              <w:top w:val="single" w:sz="4" w:space="0" w:color="000000"/>
              <w:bottom w:val="single" w:sz="4" w:space="0" w:color="000000"/>
            </w:tcBorders>
            <w:tcMar>
              <w:top w:w="0" w:type="dxa"/>
              <w:left w:w="115" w:type="dxa"/>
              <w:bottom w:w="0" w:type="dxa"/>
              <w:right w:w="115" w:type="dxa"/>
            </w:tcMar>
            <w:hideMark/>
          </w:tcPr>
          <w:p w14:paraId="79CB8EFA" w14:textId="77777777" w:rsidR="00897A88" w:rsidRDefault="00897A88">
            <w:pPr>
              <w:pStyle w:val="NormalWeb"/>
              <w:spacing w:before="0" w:beforeAutospacing="0" w:after="0" w:afterAutospacing="0"/>
            </w:pPr>
            <w:r>
              <w:rPr>
                <w:color w:val="000000"/>
                <w:sz w:val="16"/>
                <w:szCs w:val="16"/>
              </w:rPr>
              <w:t>1.61 pmol/L [-1.17 to 4.38], P=0.256</w:t>
            </w:r>
          </w:p>
        </w:tc>
        <w:tc>
          <w:tcPr>
            <w:tcW w:w="1559" w:type="dxa"/>
            <w:tcBorders>
              <w:top w:val="single" w:sz="4" w:space="0" w:color="000000"/>
              <w:bottom w:val="single" w:sz="4" w:space="0" w:color="000000"/>
            </w:tcBorders>
            <w:tcMar>
              <w:top w:w="0" w:type="dxa"/>
              <w:left w:w="115" w:type="dxa"/>
              <w:bottom w:w="0" w:type="dxa"/>
              <w:right w:w="115" w:type="dxa"/>
            </w:tcMar>
            <w:hideMark/>
          </w:tcPr>
          <w:p w14:paraId="11390E99" w14:textId="77777777" w:rsidR="00897A88" w:rsidRDefault="00897A88">
            <w:pPr>
              <w:pStyle w:val="NormalWeb"/>
              <w:spacing w:before="0" w:beforeAutospacing="0" w:after="0" w:afterAutospacing="0"/>
            </w:pPr>
            <w:r>
              <w:rPr>
                <w:rFonts w:ascii="Cambria Math" w:hAnsi="Cambria Math"/>
                <w:color w:val="000000"/>
                <w:sz w:val="18"/>
                <w:szCs w:val="18"/>
              </w:rPr>
              <w:t>⨁⨁⨁⨁</w:t>
            </w:r>
            <w:r>
              <w:rPr>
                <w:color w:val="000000"/>
                <w:sz w:val="16"/>
                <w:szCs w:val="16"/>
              </w:rPr>
              <w:t xml:space="preserve"> High</w:t>
            </w:r>
          </w:p>
        </w:tc>
        <w:tc>
          <w:tcPr>
            <w:tcW w:w="1276" w:type="dxa"/>
            <w:tcBorders>
              <w:top w:val="single" w:sz="4" w:space="0" w:color="000000"/>
              <w:bottom w:val="single" w:sz="4" w:space="0" w:color="000000"/>
              <w:right w:val="single" w:sz="4" w:space="0" w:color="000000"/>
            </w:tcBorders>
            <w:tcMar>
              <w:top w:w="0" w:type="dxa"/>
              <w:left w:w="115" w:type="dxa"/>
              <w:bottom w:w="0" w:type="dxa"/>
              <w:right w:w="115" w:type="dxa"/>
            </w:tcMar>
            <w:hideMark/>
          </w:tcPr>
          <w:p w14:paraId="54F1CE22" w14:textId="77777777" w:rsidR="00897A88" w:rsidRDefault="00897A88" w:rsidP="000C02BC">
            <w:pPr>
              <w:pStyle w:val="NormalWeb"/>
              <w:spacing w:before="0" w:beforeAutospacing="0" w:after="0" w:afterAutospacing="0"/>
              <w:jc w:val="center"/>
            </w:pPr>
            <w:r>
              <w:rPr>
                <w:color w:val="000000"/>
                <w:sz w:val="16"/>
                <w:szCs w:val="16"/>
              </w:rPr>
              <w:t>No effect</w:t>
            </w:r>
          </w:p>
        </w:tc>
      </w:tr>
    </w:tbl>
    <w:p w14:paraId="07ABC0FB" w14:textId="77777777" w:rsidR="00897A88" w:rsidRDefault="00897A88" w:rsidP="00897A88"/>
    <w:p w14:paraId="63170558" w14:textId="77777777" w:rsidR="00897A88" w:rsidRPr="00AC7149" w:rsidRDefault="00897A88" w:rsidP="00897A88">
      <w:pPr>
        <w:rPr>
          <w:sz w:val="16"/>
          <w:szCs w:val="16"/>
        </w:rPr>
      </w:pPr>
      <w:r w:rsidRPr="00AC7149">
        <w:rPr>
          <w:sz w:val="16"/>
          <w:szCs w:val="16"/>
          <w:vertAlign w:val="superscript"/>
        </w:rPr>
        <w:t>a</w:t>
      </w:r>
      <w:r w:rsidRPr="00AC7149">
        <w:rPr>
          <w:sz w:val="16"/>
          <w:szCs w:val="16"/>
        </w:rPr>
        <w:t xml:space="preserve"> Since all included trials were randomized controlled trials, the certainty of the evidence was graded as high for all outcomes by default and then downgraded or upgraded based on pre-specified criteria. Criteria for downgrades included risk of bias (ROB) (downgraded if the majority of trials were considered to be at high ROB); inconsistency (downgraded if there was substantial unexplained heterogeneity [I</w:t>
      </w:r>
      <w:r w:rsidRPr="00AC7149">
        <w:rPr>
          <w:sz w:val="16"/>
          <w:szCs w:val="16"/>
          <w:vertAlign w:val="superscript"/>
        </w:rPr>
        <w:t>2</w:t>
      </w:r>
      <w:r w:rsidRPr="00AC7149">
        <w:rPr>
          <w:sz w:val="16"/>
          <w:szCs w:val="16"/>
        </w:rPr>
        <w:t xml:space="preserve"> ≥ 50%, P</w:t>
      </w:r>
      <w:r w:rsidRPr="00AC7149">
        <w:rPr>
          <w:sz w:val="16"/>
          <w:szCs w:val="16"/>
          <w:vertAlign w:val="subscript"/>
        </w:rPr>
        <w:t>Q</w:t>
      </w:r>
      <w:r w:rsidRPr="00AC7149">
        <w:rPr>
          <w:sz w:val="16"/>
          <w:szCs w:val="16"/>
        </w:rPr>
        <w:t xml:space="preserve"> &lt; 0.10]; indirectness (downgraded if there were factors absent or present relating to the participants, interventions, or outcomes that limited the generalizability of the results); imprecision (downgraded if the 95% confidence interval crossed the minimally important difference [MID] for harm set at 0.30 for endometrial thickness, 3.8 for vaginal maturation index, 7.4 for FSH and 5.2 for estradiol (10% of baseline mean of 3.0mm, 37.6, 7.4IU/L, and 5.2pmol/L, respectively); and publication bias (downgraded if there is evidence of publication bias based on funnel plot asymmetry and/or significant Egger’s or Begg’s tests (P&lt;0.10) with confirmation by adjustment by Duval and Tweedie trim-and-fill analysis). Criteria for upgrades included a significant dose-response gradient. </w:t>
      </w:r>
    </w:p>
    <w:p w14:paraId="0534E899" w14:textId="77777777" w:rsidR="00897A88" w:rsidRPr="00AC7149" w:rsidRDefault="00897A88" w:rsidP="00897A88">
      <w:pPr>
        <w:rPr>
          <w:sz w:val="16"/>
          <w:szCs w:val="16"/>
        </w:rPr>
      </w:pPr>
      <w:r w:rsidRPr="00AC7149">
        <w:rPr>
          <w:sz w:val="16"/>
          <w:szCs w:val="16"/>
          <w:vertAlign w:val="superscript"/>
        </w:rPr>
        <w:t>b</w:t>
      </w:r>
      <w:r w:rsidRPr="00AC7149">
        <w:rPr>
          <w:sz w:val="16"/>
          <w:szCs w:val="16"/>
        </w:rPr>
        <w:t xml:space="preserve"> For the interpretation of the magnitude, we used the MIDs (see a above) to assess the importance of magnitude of our pooled estimates using the effect size categories according to new GRADE guidance. We then used the MIDs to assess the importance of the magnitude of our point estimates using the effect size categories according GRADE guidance (Santesso et al. 2020, Schunemann et al. 2013, Balshem et al. 2011) as follows: large effect (≥5x MID); moderate effect (≥2x MID); small important effect (≥1x MID); and trivial/unimportant effect (&lt;1 MID).</w:t>
      </w:r>
    </w:p>
    <w:p w14:paraId="59CBF113" w14:textId="77777777" w:rsidR="00897A88" w:rsidRPr="00AC7149" w:rsidRDefault="00897A88" w:rsidP="00897A88">
      <w:pPr>
        <w:rPr>
          <w:sz w:val="16"/>
          <w:szCs w:val="16"/>
        </w:rPr>
      </w:pPr>
    </w:p>
    <w:p w14:paraId="7FEC4848" w14:textId="4B82BAAA" w:rsidR="00897A88" w:rsidRPr="00AC7149" w:rsidRDefault="00897A88" w:rsidP="00897A88">
      <w:pPr>
        <w:rPr>
          <w:sz w:val="16"/>
          <w:szCs w:val="16"/>
        </w:rPr>
      </w:pPr>
      <w:r w:rsidRPr="00AC7149">
        <w:rPr>
          <w:sz w:val="16"/>
          <w:szCs w:val="16"/>
        </w:rPr>
        <w:t>CI, confidence interval; MD, mean difference;</w:t>
      </w:r>
      <w:r w:rsidR="00AC7149">
        <w:rPr>
          <w:sz w:val="16"/>
          <w:szCs w:val="16"/>
        </w:rPr>
        <w:t xml:space="preserve"> </w:t>
      </w:r>
      <w:r w:rsidRPr="00AC7149">
        <w:rPr>
          <w:sz w:val="16"/>
          <w:szCs w:val="16"/>
        </w:rPr>
        <w:t>ROB, risk of bias </w:t>
      </w:r>
    </w:p>
    <w:p w14:paraId="269DDEF4" w14:textId="77777777" w:rsidR="00897A88" w:rsidRPr="00AC7149" w:rsidRDefault="00897A88" w:rsidP="00897A88">
      <w:pPr>
        <w:rPr>
          <w:sz w:val="16"/>
          <w:szCs w:val="16"/>
        </w:rPr>
      </w:pPr>
    </w:p>
    <w:p w14:paraId="117F0698" w14:textId="0C049DF9" w:rsidR="00897A88" w:rsidRPr="00AC7149" w:rsidRDefault="00897A88" w:rsidP="00897A88">
      <w:pPr>
        <w:rPr>
          <w:sz w:val="16"/>
          <w:szCs w:val="16"/>
        </w:rPr>
      </w:pPr>
      <w:r w:rsidRPr="00AC7149">
        <w:rPr>
          <w:sz w:val="16"/>
          <w:szCs w:val="16"/>
          <w:vertAlign w:val="superscript"/>
        </w:rPr>
        <w:t>1</w:t>
      </w:r>
      <w:r w:rsidRPr="00AC7149">
        <w:rPr>
          <w:sz w:val="16"/>
          <w:szCs w:val="16"/>
        </w:rPr>
        <w:t xml:space="preserve"> Downgrade for serious inconsistency, due to substantial unexplained heterogeneity I</w:t>
      </w:r>
      <w:r w:rsidRPr="00AC7149">
        <w:rPr>
          <w:sz w:val="16"/>
          <w:szCs w:val="16"/>
          <w:vertAlign w:val="superscript"/>
        </w:rPr>
        <w:t>2</w:t>
      </w:r>
      <w:r w:rsidRPr="00AC7149">
        <w:rPr>
          <w:sz w:val="16"/>
          <w:szCs w:val="16"/>
        </w:rPr>
        <w:t>=</w:t>
      </w:r>
      <w:r w:rsidR="00C268AB">
        <w:rPr>
          <w:sz w:val="16"/>
          <w:szCs w:val="16"/>
        </w:rPr>
        <w:t>69.3</w:t>
      </w:r>
      <w:r w:rsidRPr="00AC7149">
        <w:rPr>
          <w:sz w:val="16"/>
          <w:szCs w:val="16"/>
        </w:rPr>
        <w:t>%, P</w:t>
      </w:r>
      <w:r w:rsidRPr="00AC7149">
        <w:rPr>
          <w:sz w:val="16"/>
          <w:szCs w:val="16"/>
          <w:vertAlign w:val="subscript"/>
        </w:rPr>
        <w:t xml:space="preserve">Q </w:t>
      </w:r>
      <w:r w:rsidRPr="00AC7149">
        <w:rPr>
          <w:sz w:val="16"/>
          <w:szCs w:val="16"/>
        </w:rPr>
        <w:t>&lt;0.001.</w:t>
      </w:r>
    </w:p>
    <w:p w14:paraId="512CA16D" w14:textId="64C02E33" w:rsidR="00897A88" w:rsidRPr="00AC7149" w:rsidRDefault="00897A88" w:rsidP="00897A88">
      <w:pPr>
        <w:rPr>
          <w:sz w:val="16"/>
          <w:szCs w:val="16"/>
        </w:rPr>
      </w:pPr>
      <w:r w:rsidRPr="00AC7149">
        <w:rPr>
          <w:sz w:val="16"/>
          <w:szCs w:val="16"/>
          <w:vertAlign w:val="superscript"/>
        </w:rPr>
        <w:t>2</w:t>
      </w:r>
      <w:r w:rsidRPr="00AC7149">
        <w:rPr>
          <w:sz w:val="16"/>
          <w:szCs w:val="16"/>
        </w:rPr>
        <w:t xml:space="preserve"> No downgrade for imprecision. Although in sensitivity analyses removal of </w:t>
      </w:r>
      <w:r w:rsidR="00C268AB">
        <w:rPr>
          <w:sz w:val="16"/>
          <w:szCs w:val="16"/>
        </w:rPr>
        <w:t>4</w:t>
      </w:r>
      <w:r w:rsidRPr="00AC7149">
        <w:rPr>
          <w:sz w:val="16"/>
          <w:szCs w:val="16"/>
        </w:rPr>
        <w:t xml:space="preserve"> individual trials resulted in a gain of significance for a reduction in endometrial thickness, we did not downgrade for imprecision as we were assessing evidence for estrogenicity.</w:t>
      </w:r>
    </w:p>
    <w:p w14:paraId="3839B2E2" w14:textId="77777777" w:rsidR="00897A88" w:rsidRPr="00AC7149" w:rsidRDefault="00897A88" w:rsidP="00897A88">
      <w:pPr>
        <w:rPr>
          <w:sz w:val="16"/>
          <w:szCs w:val="16"/>
        </w:rPr>
      </w:pPr>
      <w:r w:rsidRPr="00AC7149">
        <w:rPr>
          <w:sz w:val="16"/>
          <w:szCs w:val="16"/>
          <w:vertAlign w:val="superscript"/>
        </w:rPr>
        <w:t>3</w:t>
      </w:r>
      <w:r w:rsidRPr="00AC7149">
        <w:rPr>
          <w:sz w:val="16"/>
          <w:szCs w:val="16"/>
        </w:rPr>
        <w:t xml:space="preserve"> Downgrade for serious imprecision as the 95% confidence interval overlaps the MID of clinically important change (3.8, 10% of baseline) for vaginal maturation index reflecting potential estrogenicity.</w:t>
      </w:r>
    </w:p>
    <w:p w14:paraId="18904B3D" w14:textId="77777777" w:rsidR="00897A88" w:rsidRPr="00AC7149" w:rsidRDefault="00897A88" w:rsidP="00897A88">
      <w:pPr>
        <w:rPr>
          <w:sz w:val="16"/>
          <w:szCs w:val="16"/>
        </w:rPr>
      </w:pPr>
      <w:r w:rsidRPr="00AC7149">
        <w:rPr>
          <w:sz w:val="16"/>
          <w:szCs w:val="16"/>
          <w:vertAlign w:val="superscript"/>
        </w:rPr>
        <w:t xml:space="preserve">4 </w:t>
      </w:r>
      <w:r w:rsidRPr="00AC7149">
        <w:rPr>
          <w:sz w:val="16"/>
          <w:szCs w:val="16"/>
        </w:rPr>
        <w:t>No downgrade for publication bias, as publication bias could not be assessed due to lack of power for assessing funnel plot asymmetry and small study effects (&lt;10 trial comparisons included in the meta-analysis).</w:t>
      </w:r>
    </w:p>
    <w:p w14:paraId="72A33368" w14:textId="47F63ACE" w:rsidR="00897A88" w:rsidRPr="00AC7149" w:rsidRDefault="00897A88" w:rsidP="00897A88">
      <w:pPr>
        <w:rPr>
          <w:sz w:val="16"/>
          <w:szCs w:val="16"/>
        </w:rPr>
      </w:pPr>
      <w:r w:rsidRPr="00AC7149">
        <w:rPr>
          <w:sz w:val="16"/>
          <w:szCs w:val="16"/>
          <w:vertAlign w:val="superscript"/>
        </w:rPr>
        <w:t xml:space="preserve">5 </w:t>
      </w:r>
      <w:r w:rsidRPr="00AC7149">
        <w:rPr>
          <w:sz w:val="16"/>
          <w:szCs w:val="16"/>
        </w:rPr>
        <w:t>No downgrade for serious inconsistency. Although there was substantial heterogeneity in the analysis of the effect of isoflavones from soy on FSH, we did not downgrade for serious inconsistency, since it was partially explained when the study by Jassi et al. 2010 (powder) or (tablet) or Kim et al. 2013 was removed as part of a priori sensitivity analyses (Original: I</w:t>
      </w:r>
      <w:r w:rsidRPr="00AC7149">
        <w:rPr>
          <w:sz w:val="16"/>
          <w:szCs w:val="16"/>
          <w:vertAlign w:val="superscript"/>
        </w:rPr>
        <w:t>2</w:t>
      </w:r>
      <w:r w:rsidRPr="00AC7149">
        <w:rPr>
          <w:sz w:val="16"/>
          <w:szCs w:val="16"/>
        </w:rPr>
        <w:t>=52%, P</w:t>
      </w:r>
      <w:r w:rsidRPr="00AC7149">
        <w:rPr>
          <w:sz w:val="16"/>
          <w:szCs w:val="16"/>
          <w:vertAlign w:val="subscript"/>
        </w:rPr>
        <w:t>Q</w:t>
      </w:r>
      <w:r w:rsidRPr="00AC7149">
        <w:rPr>
          <w:sz w:val="16"/>
          <w:szCs w:val="16"/>
        </w:rPr>
        <w:t>&lt;0.001; after study removed: I</w:t>
      </w:r>
      <w:r w:rsidRPr="00AC7149">
        <w:rPr>
          <w:sz w:val="16"/>
          <w:szCs w:val="16"/>
          <w:vertAlign w:val="superscript"/>
        </w:rPr>
        <w:t>2</w:t>
      </w:r>
      <w:r w:rsidRPr="00AC7149">
        <w:rPr>
          <w:sz w:val="16"/>
          <w:szCs w:val="16"/>
        </w:rPr>
        <w:t>=39% P</w:t>
      </w:r>
      <w:r w:rsidRPr="00AC7149">
        <w:rPr>
          <w:sz w:val="16"/>
          <w:szCs w:val="16"/>
          <w:vertAlign w:val="subscript"/>
        </w:rPr>
        <w:t>Q</w:t>
      </w:r>
      <w:r w:rsidRPr="00AC7149">
        <w:rPr>
          <w:sz w:val="16"/>
          <w:szCs w:val="16"/>
        </w:rPr>
        <w:t>=0.015, 37% P</w:t>
      </w:r>
      <w:r w:rsidRPr="00AC7149">
        <w:rPr>
          <w:sz w:val="16"/>
          <w:szCs w:val="16"/>
          <w:vertAlign w:val="subscript"/>
        </w:rPr>
        <w:t>Q</w:t>
      </w:r>
      <w:r w:rsidRPr="00AC7149">
        <w:rPr>
          <w:sz w:val="16"/>
          <w:szCs w:val="16"/>
        </w:rPr>
        <w:t>=0.025, 47%, P</w:t>
      </w:r>
      <w:r w:rsidRPr="00AC7149">
        <w:rPr>
          <w:sz w:val="16"/>
          <w:szCs w:val="16"/>
          <w:vertAlign w:val="subscript"/>
        </w:rPr>
        <w:t>Q</w:t>
      </w:r>
      <w:r w:rsidRPr="00AC7149">
        <w:rPr>
          <w:sz w:val="16"/>
          <w:szCs w:val="16"/>
        </w:rPr>
        <w:t>=0.002, respectively).</w:t>
      </w:r>
    </w:p>
    <w:p w14:paraId="244C0BA7" w14:textId="77777777" w:rsidR="00897A88" w:rsidRDefault="00897A88">
      <w:pPr>
        <w:rPr>
          <w:b/>
          <w:bCs/>
        </w:rPr>
      </w:pPr>
    </w:p>
    <w:p w14:paraId="3A579B84" w14:textId="77777777" w:rsidR="007A01EE" w:rsidRDefault="007A01EE">
      <w:pPr>
        <w:rPr>
          <w:rFonts w:eastAsiaTheme="majorEastAsia" w:cstheme="majorBidi"/>
          <w:b/>
          <w:bCs/>
          <w:color w:val="000000" w:themeColor="text1"/>
          <w:szCs w:val="32"/>
        </w:rPr>
      </w:pPr>
      <w:r>
        <w:rPr>
          <w:b/>
          <w:bCs/>
        </w:rPr>
        <w:br w:type="page"/>
      </w:r>
    </w:p>
    <w:p w14:paraId="1467C1C3" w14:textId="421F0034" w:rsidR="006C3266" w:rsidRDefault="006C3266" w:rsidP="006C3266">
      <w:pPr>
        <w:pStyle w:val="Heading1"/>
      </w:pPr>
      <w:bookmarkStart w:id="11" w:name="_Toc152764290"/>
      <w:bookmarkStart w:id="12" w:name="_Toc153356547"/>
      <w:r w:rsidRPr="006C3266">
        <w:rPr>
          <w:b/>
          <w:bCs/>
        </w:rPr>
        <w:lastRenderedPageBreak/>
        <w:t xml:space="preserve">Supplemental Table 7. </w:t>
      </w:r>
      <w:r>
        <w:t>Effects of hormone replacement therapy on estrogen-related intermediate outcomes compared to soy isoflavones</w:t>
      </w:r>
      <w:bookmarkEnd w:id="11"/>
      <w:bookmarkEnd w:id="12"/>
    </w:p>
    <w:p w14:paraId="6B81233D" w14:textId="77777777" w:rsidR="006C3266" w:rsidRDefault="006C3266" w:rsidP="006C3266"/>
    <w:tbl>
      <w:tblPr>
        <w:tblW w:w="11325" w:type="dxa"/>
        <w:tblLayout w:type="fixed"/>
        <w:tblLook w:val="0600" w:firstRow="0" w:lastRow="0" w:firstColumn="0" w:lastColumn="0" w:noHBand="1" w:noVBand="1"/>
      </w:tblPr>
      <w:tblGrid>
        <w:gridCol w:w="1965"/>
        <w:gridCol w:w="2145"/>
        <w:gridCol w:w="2700"/>
        <w:gridCol w:w="2970"/>
        <w:gridCol w:w="1545"/>
      </w:tblGrid>
      <w:tr w:rsidR="006C3266" w:rsidRPr="006C3266" w14:paraId="401F7699" w14:textId="77777777" w:rsidTr="006C3266">
        <w:trPr>
          <w:trHeight w:val="168"/>
        </w:trPr>
        <w:tc>
          <w:tcPr>
            <w:tcW w:w="1965" w:type="dxa"/>
            <w:shd w:val="clear" w:color="auto" w:fill="auto"/>
            <w:tcMar>
              <w:top w:w="100" w:type="dxa"/>
              <w:left w:w="100" w:type="dxa"/>
              <w:bottom w:w="100" w:type="dxa"/>
              <w:right w:w="100" w:type="dxa"/>
            </w:tcMar>
          </w:tcPr>
          <w:p w14:paraId="5431CD5A" w14:textId="77777777" w:rsidR="006C3266" w:rsidRPr="006C3266" w:rsidRDefault="006C3266" w:rsidP="006C3266">
            <w:pPr>
              <w:widowControl w:val="0"/>
              <w:rPr>
                <w:sz w:val="22"/>
                <w:szCs w:val="22"/>
              </w:rPr>
            </w:pPr>
          </w:p>
        </w:tc>
        <w:tc>
          <w:tcPr>
            <w:tcW w:w="2145" w:type="dxa"/>
            <w:shd w:val="clear" w:color="auto" w:fill="auto"/>
            <w:tcMar>
              <w:top w:w="100" w:type="dxa"/>
              <w:left w:w="100" w:type="dxa"/>
              <w:bottom w:w="100" w:type="dxa"/>
              <w:right w:w="100" w:type="dxa"/>
            </w:tcMar>
          </w:tcPr>
          <w:p w14:paraId="159FC8A5" w14:textId="77777777" w:rsidR="006C3266" w:rsidRPr="006C3266" w:rsidRDefault="006C3266" w:rsidP="006C3266">
            <w:pPr>
              <w:widowControl w:val="0"/>
              <w:jc w:val="center"/>
              <w:rPr>
                <w:b/>
                <w:sz w:val="22"/>
                <w:szCs w:val="22"/>
              </w:rPr>
            </w:pPr>
            <w:r w:rsidRPr="006C3266">
              <w:rPr>
                <w:b/>
                <w:sz w:val="22"/>
                <w:szCs w:val="22"/>
              </w:rPr>
              <w:t>Endometrial thickness</w:t>
            </w:r>
          </w:p>
        </w:tc>
        <w:tc>
          <w:tcPr>
            <w:tcW w:w="2700" w:type="dxa"/>
            <w:shd w:val="clear" w:color="auto" w:fill="auto"/>
            <w:tcMar>
              <w:top w:w="100" w:type="dxa"/>
              <w:left w:w="100" w:type="dxa"/>
              <w:bottom w:w="100" w:type="dxa"/>
              <w:right w:w="100" w:type="dxa"/>
            </w:tcMar>
          </w:tcPr>
          <w:p w14:paraId="2DE11857" w14:textId="77777777" w:rsidR="006C3266" w:rsidRPr="006C3266" w:rsidRDefault="006C3266" w:rsidP="006C3266">
            <w:pPr>
              <w:widowControl w:val="0"/>
              <w:jc w:val="center"/>
              <w:rPr>
                <w:b/>
                <w:sz w:val="22"/>
                <w:szCs w:val="22"/>
              </w:rPr>
            </w:pPr>
            <w:r w:rsidRPr="006C3266">
              <w:rPr>
                <w:b/>
                <w:sz w:val="22"/>
                <w:szCs w:val="22"/>
              </w:rPr>
              <w:t>Vaginal maturation index</w:t>
            </w:r>
          </w:p>
        </w:tc>
        <w:tc>
          <w:tcPr>
            <w:tcW w:w="2970" w:type="dxa"/>
            <w:shd w:val="clear" w:color="auto" w:fill="auto"/>
            <w:tcMar>
              <w:top w:w="100" w:type="dxa"/>
              <w:left w:w="100" w:type="dxa"/>
              <w:bottom w:w="100" w:type="dxa"/>
              <w:right w:w="100" w:type="dxa"/>
            </w:tcMar>
          </w:tcPr>
          <w:p w14:paraId="2F6F9680" w14:textId="77777777" w:rsidR="006C3266" w:rsidRPr="006C3266" w:rsidRDefault="006C3266" w:rsidP="006C3266">
            <w:pPr>
              <w:widowControl w:val="0"/>
              <w:jc w:val="center"/>
              <w:rPr>
                <w:b/>
                <w:sz w:val="22"/>
                <w:szCs w:val="22"/>
              </w:rPr>
            </w:pPr>
            <w:r w:rsidRPr="006C3266">
              <w:rPr>
                <w:b/>
                <w:sz w:val="22"/>
                <w:szCs w:val="22"/>
              </w:rPr>
              <w:t>Follicle-stimulating hormone</w:t>
            </w:r>
          </w:p>
        </w:tc>
        <w:tc>
          <w:tcPr>
            <w:tcW w:w="1545" w:type="dxa"/>
            <w:shd w:val="clear" w:color="auto" w:fill="auto"/>
            <w:tcMar>
              <w:top w:w="100" w:type="dxa"/>
              <w:left w:w="100" w:type="dxa"/>
              <w:bottom w:w="100" w:type="dxa"/>
              <w:right w:w="100" w:type="dxa"/>
            </w:tcMar>
          </w:tcPr>
          <w:p w14:paraId="66ED7E9F" w14:textId="77777777" w:rsidR="006C3266" w:rsidRPr="006C3266" w:rsidRDefault="006C3266" w:rsidP="006C3266">
            <w:pPr>
              <w:widowControl w:val="0"/>
              <w:jc w:val="center"/>
              <w:rPr>
                <w:b/>
                <w:sz w:val="22"/>
                <w:szCs w:val="22"/>
              </w:rPr>
            </w:pPr>
            <w:r w:rsidRPr="006C3266">
              <w:rPr>
                <w:b/>
                <w:sz w:val="22"/>
                <w:szCs w:val="22"/>
              </w:rPr>
              <w:t>Estradiol</w:t>
            </w:r>
          </w:p>
        </w:tc>
      </w:tr>
      <w:tr w:rsidR="006C3266" w:rsidRPr="006C3266" w14:paraId="63C58E6A" w14:textId="77777777" w:rsidTr="006C3266">
        <w:trPr>
          <w:trHeight w:val="22"/>
        </w:trPr>
        <w:tc>
          <w:tcPr>
            <w:tcW w:w="11325" w:type="dxa"/>
            <w:gridSpan w:val="5"/>
            <w:tcBorders>
              <w:bottom w:val="single" w:sz="4" w:space="0" w:color="000000"/>
            </w:tcBorders>
            <w:shd w:val="clear" w:color="auto" w:fill="auto"/>
            <w:tcMar>
              <w:top w:w="100" w:type="dxa"/>
              <w:left w:w="100" w:type="dxa"/>
              <w:bottom w:w="100" w:type="dxa"/>
              <w:right w:w="100" w:type="dxa"/>
            </w:tcMar>
          </w:tcPr>
          <w:p w14:paraId="1215A772" w14:textId="77777777" w:rsidR="006C3266" w:rsidRPr="006C3266" w:rsidRDefault="006C3266" w:rsidP="006C3266">
            <w:pPr>
              <w:widowControl w:val="0"/>
              <w:rPr>
                <w:b/>
                <w:sz w:val="22"/>
                <w:szCs w:val="22"/>
                <w:vertAlign w:val="superscript"/>
              </w:rPr>
            </w:pPr>
            <w:r w:rsidRPr="006C3266">
              <w:rPr>
                <w:b/>
                <w:sz w:val="22"/>
                <w:szCs w:val="22"/>
              </w:rPr>
              <w:t>Systematic reviews and meta-analyses</w:t>
            </w:r>
            <w:r w:rsidRPr="006C3266">
              <w:rPr>
                <w:b/>
                <w:sz w:val="22"/>
                <w:szCs w:val="22"/>
                <w:vertAlign w:val="superscript"/>
              </w:rPr>
              <w:t>1,2</w:t>
            </w:r>
          </w:p>
        </w:tc>
      </w:tr>
      <w:tr w:rsidR="006C3266" w:rsidRPr="006C3266" w14:paraId="706A5030" w14:textId="77777777" w:rsidTr="006C3266">
        <w:trPr>
          <w:trHeight w:val="17"/>
        </w:trPr>
        <w:tc>
          <w:tcPr>
            <w:tcW w:w="1965" w:type="dxa"/>
            <w:tcBorders>
              <w:top w:val="single" w:sz="4" w:space="0" w:color="000000"/>
            </w:tcBorders>
            <w:shd w:val="clear" w:color="auto" w:fill="auto"/>
            <w:tcMar>
              <w:top w:w="100" w:type="dxa"/>
              <w:left w:w="100" w:type="dxa"/>
              <w:bottom w:w="100" w:type="dxa"/>
              <w:right w:w="100" w:type="dxa"/>
            </w:tcMar>
          </w:tcPr>
          <w:p w14:paraId="2CF555B8" w14:textId="77777777" w:rsidR="006C3266" w:rsidRPr="006C3266" w:rsidRDefault="006C3266" w:rsidP="006C3266">
            <w:pPr>
              <w:widowControl w:val="0"/>
              <w:rPr>
                <w:sz w:val="22"/>
                <w:szCs w:val="22"/>
              </w:rPr>
            </w:pPr>
            <w:r w:rsidRPr="006C3266">
              <w:rPr>
                <w:sz w:val="22"/>
                <w:szCs w:val="22"/>
              </w:rPr>
              <w:t>HRT</w:t>
            </w:r>
          </w:p>
        </w:tc>
        <w:tc>
          <w:tcPr>
            <w:tcW w:w="2145" w:type="dxa"/>
            <w:tcBorders>
              <w:top w:val="single" w:sz="4" w:space="0" w:color="000000"/>
            </w:tcBorders>
            <w:shd w:val="clear" w:color="auto" w:fill="auto"/>
            <w:tcMar>
              <w:top w:w="100" w:type="dxa"/>
              <w:left w:w="100" w:type="dxa"/>
              <w:bottom w:w="100" w:type="dxa"/>
              <w:right w:w="100" w:type="dxa"/>
            </w:tcMar>
          </w:tcPr>
          <w:p w14:paraId="5AE64C2F" w14:textId="77777777" w:rsidR="006C3266" w:rsidRPr="006C3266" w:rsidRDefault="00000000" w:rsidP="006C3266">
            <w:pPr>
              <w:widowControl w:val="0"/>
              <w:jc w:val="center"/>
            </w:pPr>
            <w:sdt>
              <w:sdtPr>
                <w:rPr>
                  <w:sz w:val="22"/>
                  <w:szCs w:val="22"/>
                </w:rPr>
                <w:tag w:val="goog_rdk_0"/>
                <w:id w:val="2138217572"/>
              </w:sdtPr>
              <w:sdtContent>
                <w:r w:rsidR="006C3266" w:rsidRPr="006C3266">
                  <w:rPr>
                    <w:rFonts w:eastAsia="Cardo"/>
                  </w:rPr>
                  <w:t>↑</w:t>
                </w:r>
              </w:sdtContent>
            </w:sdt>
            <w:r w:rsidR="006C3266" w:rsidRPr="006C3266">
              <w:rPr>
                <w:rFonts w:eastAsia="Cardo"/>
                <w:vertAlign w:val="superscript"/>
              </w:rPr>
              <w:t>*</w:t>
            </w:r>
          </w:p>
        </w:tc>
        <w:tc>
          <w:tcPr>
            <w:tcW w:w="2700" w:type="dxa"/>
            <w:tcBorders>
              <w:top w:val="single" w:sz="4" w:space="0" w:color="000000"/>
            </w:tcBorders>
            <w:shd w:val="clear" w:color="auto" w:fill="auto"/>
            <w:tcMar>
              <w:top w:w="100" w:type="dxa"/>
              <w:left w:w="100" w:type="dxa"/>
              <w:bottom w:w="100" w:type="dxa"/>
              <w:right w:w="100" w:type="dxa"/>
            </w:tcMar>
          </w:tcPr>
          <w:p w14:paraId="500586D5" w14:textId="77777777" w:rsidR="006C3266" w:rsidRPr="006C3266" w:rsidRDefault="00000000" w:rsidP="006C3266">
            <w:pPr>
              <w:widowControl w:val="0"/>
              <w:jc w:val="center"/>
            </w:pPr>
            <w:sdt>
              <w:sdtPr>
                <w:rPr>
                  <w:sz w:val="22"/>
                  <w:szCs w:val="22"/>
                </w:rPr>
                <w:tag w:val="goog_rdk_1"/>
                <w:id w:val="433483428"/>
              </w:sdtPr>
              <w:sdtContent>
                <w:r w:rsidR="006C3266" w:rsidRPr="006C3266">
                  <w:rPr>
                    <w:rFonts w:eastAsia="Cardo"/>
                  </w:rPr>
                  <w:t>↑</w:t>
                </w:r>
              </w:sdtContent>
            </w:sdt>
          </w:p>
        </w:tc>
        <w:tc>
          <w:tcPr>
            <w:tcW w:w="2970" w:type="dxa"/>
            <w:tcBorders>
              <w:top w:val="single" w:sz="4" w:space="0" w:color="000000"/>
            </w:tcBorders>
            <w:shd w:val="clear" w:color="auto" w:fill="auto"/>
            <w:tcMar>
              <w:top w:w="100" w:type="dxa"/>
              <w:left w:w="100" w:type="dxa"/>
              <w:bottom w:w="100" w:type="dxa"/>
              <w:right w:w="100" w:type="dxa"/>
            </w:tcMar>
          </w:tcPr>
          <w:p w14:paraId="7F127876" w14:textId="77777777" w:rsidR="006C3266" w:rsidRPr="006C3266" w:rsidRDefault="00000000" w:rsidP="006C3266">
            <w:pPr>
              <w:widowControl w:val="0"/>
              <w:jc w:val="center"/>
            </w:pPr>
            <w:sdt>
              <w:sdtPr>
                <w:rPr>
                  <w:sz w:val="22"/>
                  <w:szCs w:val="22"/>
                </w:rPr>
                <w:tag w:val="goog_rdk_2"/>
                <w:id w:val="-604103916"/>
              </w:sdtPr>
              <w:sdtContent>
                <w:r w:rsidR="006C3266" w:rsidRPr="006C3266">
                  <w:rPr>
                    <w:rFonts w:eastAsia="Cardo"/>
                  </w:rPr>
                  <w:t>↓</w:t>
                </w:r>
              </w:sdtContent>
            </w:sdt>
            <w:r w:rsidR="006C3266" w:rsidRPr="006C3266">
              <w:rPr>
                <w:vertAlign w:val="superscript"/>
              </w:rPr>
              <w:t>**</w:t>
            </w:r>
          </w:p>
        </w:tc>
        <w:tc>
          <w:tcPr>
            <w:tcW w:w="1545" w:type="dxa"/>
            <w:tcBorders>
              <w:top w:val="single" w:sz="4" w:space="0" w:color="000000"/>
            </w:tcBorders>
            <w:shd w:val="clear" w:color="auto" w:fill="auto"/>
            <w:tcMar>
              <w:top w:w="100" w:type="dxa"/>
              <w:left w:w="100" w:type="dxa"/>
              <w:bottom w:w="100" w:type="dxa"/>
              <w:right w:w="100" w:type="dxa"/>
            </w:tcMar>
          </w:tcPr>
          <w:p w14:paraId="02A433F8" w14:textId="77777777" w:rsidR="006C3266" w:rsidRPr="006C3266" w:rsidRDefault="00000000" w:rsidP="006C3266">
            <w:pPr>
              <w:widowControl w:val="0"/>
              <w:jc w:val="center"/>
            </w:pPr>
            <w:sdt>
              <w:sdtPr>
                <w:rPr>
                  <w:sz w:val="22"/>
                  <w:szCs w:val="22"/>
                </w:rPr>
                <w:tag w:val="goog_rdk_3"/>
                <w:id w:val="604688163"/>
              </w:sdtPr>
              <w:sdtContent>
                <w:r w:rsidR="006C3266" w:rsidRPr="006C3266">
                  <w:rPr>
                    <w:rFonts w:eastAsia="Cardo"/>
                  </w:rPr>
                  <w:t>↑</w:t>
                </w:r>
              </w:sdtContent>
            </w:sdt>
            <w:r w:rsidR="006C3266" w:rsidRPr="006C3266">
              <w:rPr>
                <w:vertAlign w:val="superscript"/>
              </w:rPr>
              <w:t>**</w:t>
            </w:r>
          </w:p>
        </w:tc>
      </w:tr>
      <w:tr w:rsidR="006C3266" w:rsidRPr="006C3266" w14:paraId="633E6E24" w14:textId="77777777" w:rsidTr="006C3266">
        <w:trPr>
          <w:trHeight w:val="17"/>
        </w:trPr>
        <w:tc>
          <w:tcPr>
            <w:tcW w:w="1965" w:type="dxa"/>
            <w:shd w:val="clear" w:color="auto" w:fill="auto"/>
            <w:tcMar>
              <w:top w:w="100" w:type="dxa"/>
              <w:left w:w="100" w:type="dxa"/>
              <w:bottom w:w="100" w:type="dxa"/>
              <w:right w:w="100" w:type="dxa"/>
            </w:tcMar>
          </w:tcPr>
          <w:p w14:paraId="399329E4" w14:textId="77777777" w:rsidR="006C3266" w:rsidRPr="006C3266" w:rsidRDefault="006C3266" w:rsidP="006C3266">
            <w:pPr>
              <w:widowControl w:val="0"/>
              <w:rPr>
                <w:sz w:val="22"/>
                <w:szCs w:val="22"/>
              </w:rPr>
            </w:pPr>
            <w:r w:rsidRPr="006C3266">
              <w:rPr>
                <w:sz w:val="22"/>
                <w:szCs w:val="22"/>
              </w:rPr>
              <w:t>Soy isoflavones</w:t>
            </w:r>
          </w:p>
        </w:tc>
        <w:tc>
          <w:tcPr>
            <w:tcW w:w="2145" w:type="dxa"/>
            <w:shd w:val="clear" w:color="auto" w:fill="auto"/>
            <w:tcMar>
              <w:top w:w="100" w:type="dxa"/>
              <w:left w:w="100" w:type="dxa"/>
              <w:bottom w:w="100" w:type="dxa"/>
              <w:right w:w="100" w:type="dxa"/>
            </w:tcMar>
          </w:tcPr>
          <w:p w14:paraId="5DBAE253" w14:textId="77777777" w:rsidR="006C3266" w:rsidRPr="006C3266" w:rsidRDefault="00000000" w:rsidP="006C3266">
            <w:pPr>
              <w:widowControl w:val="0"/>
              <w:jc w:val="center"/>
            </w:pPr>
            <w:sdt>
              <w:sdtPr>
                <w:rPr>
                  <w:sz w:val="22"/>
                  <w:szCs w:val="22"/>
                </w:rPr>
                <w:tag w:val="goog_rdk_4"/>
                <w:id w:val="-441760209"/>
              </w:sdtPr>
              <w:sdtContent>
                <w:r w:rsidR="006C3266" w:rsidRPr="006C3266">
                  <w:rPr>
                    <w:rFonts w:eastAsia="Cardo"/>
                  </w:rPr>
                  <w:t>↔</w:t>
                </w:r>
              </w:sdtContent>
            </w:sdt>
          </w:p>
        </w:tc>
        <w:tc>
          <w:tcPr>
            <w:tcW w:w="2700" w:type="dxa"/>
            <w:shd w:val="clear" w:color="auto" w:fill="auto"/>
            <w:tcMar>
              <w:top w:w="100" w:type="dxa"/>
              <w:left w:w="100" w:type="dxa"/>
              <w:bottom w:w="100" w:type="dxa"/>
              <w:right w:w="100" w:type="dxa"/>
            </w:tcMar>
          </w:tcPr>
          <w:p w14:paraId="65896377" w14:textId="77777777" w:rsidR="006C3266" w:rsidRPr="006C3266" w:rsidRDefault="00000000" w:rsidP="006C3266">
            <w:pPr>
              <w:widowControl w:val="0"/>
              <w:jc w:val="center"/>
            </w:pPr>
            <w:sdt>
              <w:sdtPr>
                <w:rPr>
                  <w:sz w:val="22"/>
                  <w:szCs w:val="22"/>
                </w:rPr>
                <w:tag w:val="goog_rdk_5"/>
                <w:id w:val="-1045057975"/>
              </w:sdtPr>
              <w:sdtContent>
                <w:r w:rsidR="006C3266" w:rsidRPr="006C3266">
                  <w:rPr>
                    <w:rFonts w:eastAsia="Cardo"/>
                  </w:rPr>
                  <w:t>↔</w:t>
                </w:r>
              </w:sdtContent>
            </w:sdt>
          </w:p>
        </w:tc>
        <w:tc>
          <w:tcPr>
            <w:tcW w:w="2970" w:type="dxa"/>
            <w:shd w:val="clear" w:color="auto" w:fill="auto"/>
            <w:tcMar>
              <w:top w:w="100" w:type="dxa"/>
              <w:left w:w="100" w:type="dxa"/>
              <w:bottom w:w="100" w:type="dxa"/>
              <w:right w:w="100" w:type="dxa"/>
            </w:tcMar>
          </w:tcPr>
          <w:p w14:paraId="62B9B9D9" w14:textId="77777777" w:rsidR="006C3266" w:rsidRPr="006C3266" w:rsidRDefault="00000000" w:rsidP="006C3266">
            <w:pPr>
              <w:widowControl w:val="0"/>
              <w:jc w:val="center"/>
            </w:pPr>
            <w:sdt>
              <w:sdtPr>
                <w:rPr>
                  <w:sz w:val="22"/>
                  <w:szCs w:val="22"/>
                </w:rPr>
                <w:tag w:val="goog_rdk_6"/>
                <w:id w:val="-1820720935"/>
              </w:sdtPr>
              <w:sdtContent>
                <w:r w:rsidR="006C3266" w:rsidRPr="006C3266">
                  <w:rPr>
                    <w:rFonts w:eastAsia="Cardo"/>
                  </w:rPr>
                  <w:t>↔</w:t>
                </w:r>
              </w:sdtContent>
            </w:sdt>
          </w:p>
        </w:tc>
        <w:tc>
          <w:tcPr>
            <w:tcW w:w="1545" w:type="dxa"/>
            <w:shd w:val="clear" w:color="auto" w:fill="auto"/>
            <w:tcMar>
              <w:top w:w="100" w:type="dxa"/>
              <w:left w:w="100" w:type="dxa"/>
              <w:bottom w:w="100" w:type="dxa"/>
              <w:right w:w="100" w:type="dxa"/>
            </w:tcMar>
          </w:tcPr>
          <w:p w14:paraId="0A1BB013" w14:textId="77777777" w:rsidR="006C3266" w:rsidRPr="006C3266" w:rsidRDefault="00000000" w:rsidP="006C3266">
            <w:pPr>
              <w:widowControl w:val="0"/>
              <w:jc w:val="center"/>
            </w:pPr>
            <w:sdt>
              <w:sdtPr>
                <w:rPr>
                  <w:sz w:val="22"/>
                  <w:szCs w:val="22"/>
                </w:rPr>
                <w:tag w:val="goog_rdk_7"/>
                <w:id w:val="-940219075"/>
              </w:sdtPr>
              <w:sdtContent>
                <w:r w:rsidR="006C3266" w:rsidRPr="006C3266">
                  <w:rPr>
                    <w:rFonts w:eastAsia="Cardo"/>
                  </w:rPr>
                  <w:t>↔</w:t>
                </w:r>
              </w:sdtContent>
            </w:sdt>
          </w:p>
        </w:tc>
      </w:tr>
      <w:tr w:rsidR="006C3266" w:rsidRPr="006C3266" w14:paraId="3CD43ACF" w14:textId="77777777" w:rsidTr="006C3266">
        <w:trPr>
          <w:trHeight w:val="221"/>
        </w:trPr>
        <w:tc>
          <w:tcPr>
            <w:tcW w:w="11325" w:type="dxa"/>
            <w:gridSpan w:val="5"/>
            <w:tcBorders>
              <w:bottom w:val="single" w:sz="4" w:space="0" w:color="000000"/>
            </w:tcBorders>
            <w:shd w:val="clear" w:color="auto" w:fill="auto"/>
            <w:tcMar>
              <w:top w:w="100" w:type="dxa"/>
              <w:left w:w="100" w:type="dxa"/>
              <w:bottom w:w="100" w:type="dxa"/>
              <w:right w:w="100" w:type="dxa"/>
            </w:tcMar>
          </w:tcPr>
          <w:p w14:paraId="6D143F7B" w14:textId="77777777" w:rsidR="006C3266" w:rsidRPr="006C3266" w:rsidRDefault="006C3266" w:rsidP="006C3266">
            <w:pPr>
              <w:widowControl w:val="0"/>
              <w:rPr>
                <w:b/>
                <w:sz w:val="22"/>
                <w:szCs w:val="22"/>
                <w:vertAlign w:val="superscript"/>
              </w:rPr>
            </w:pPr>
            <w:r w:rsidRPr="006C3266">
              <w:rPr>
                <w:b/>
                <w:sz w:val="22"/>
                <w:szCs w:val="22"/>
              </w:rPr>
              <w:t>Head-to-head trial</w:t>
            </w:r>
            <w:r w:rsidRPr="006C3266">
              <w:rPr>
                <w:b/>
                <w:sz w:val="22"/>
                <w:szCs w:val="22"/>
                <w:vertAlign w:val="superscript"/>
              </w:rPr>
              <w:t>3</w:t>
            </w:r>
          </w:p>
        </w:tc>
      </w:tr>
      <w:tr w:rsidR="006C3266" w:rsidRPr="006C3266" w14:paraId="41758ABF" w14:textId="77777777" w:rsidTr="006C3266">
        <w:trPr>
          <w:trHeight w:val="17"/>
        </w:trPr>
        <w:tc>
          <w:tcPr>
            <w:tcW w:w="1965" w:type="dxa"/>
            <w:tcBorders>
              <w:top w:val="single" w:sz="4" w:space="0" w:color="000000"/>
            </w:tcBorders>
            <w:shd w:val="clear" w:color="auto" w:fill="auto"/>
            <w:tcMar>
              <w:top w:w="100" w:type="dxa"/>
              <w:left w:w="100" w:type="dxa"/>
              <w:bottom w:w="100" w:type="dxa"/>
              <w:right w:w="100" w:type="dxa"/>
            </w:tcMar>
          </w:tcPr>
          <w:p w14:paraId="34E0EB0C" w14:textId="77777777" w:rsidR="006C3266" w:rsidRPr="006C3266" w:rsidRDefault="006C3266" w:rsidP="006C3266">
            <w:pPr>
              <w:widowControl w:val="0"/>
              <w:rPr>
                <w:sz w:val="22"/>
                <w:szCs w:val="22"/>
              </w:rPr>
            </w:pPr>
            <w:r w:rsidRPr="006C3266">
              <w:rPr>
                <w:sz w:val="22"/>
                <w:szCs w:val="22"/>
              </w:rPr>
              <w:t>HRT</w:t>
            </w:r>
          </w:p>
        </w:tc>
        <w:tc>
          <w:tcPr>
            <w:tcW w:w="2145" w:type="dxa"/>
            <w:tcBorders>
              <w:top w:val="single" w:sz="4" w:space="0" w:color="000000"/>
            </w:tcBorders>
            <w:shd w:val="clear" w:color="auto" w:fill="auto"/>
            <w:tcMar>
              <w:top w:w="100" w:type="dxa"/>
              <w:left w:w="100" w:type="dxa"/>
              <w:bottom w:w="100" w:type="dxa"/>
              <w:right w:w="100" w:type="dxa"/>
            </w:tcMar>
          </w:tcPr>
          <w:p w14:paraId="33A5E8A7" w14:textId="77777777" w:rsidR="006C3266" w:rsidRPr="006C3266" w:rsidRDefault="00000000" w:rsidP="006C3266">
            <w:pPr>
              <w:widowControl w:val="0"/>
              <w:jc w:val="center"/>
            </w:pPr>
            <w:sdt>
              <w:sdtPr>
                <w:rPr>
                  <w:sz w:val="22"/>
                  <w:szCs w:val="22"/>
                </w:rPr>
                <w:tag w:val="goog_rdk_8"/>
                <w:id w:val="656723035"/>
              </w:sdtPr>
              <w:sdtContent>
                <w:r w:rsidR="006C3266" w:rsidRPr="006C3266">
                  <w:rPr>
                    <w:rFonts w:eastAsia="Cardo"/>
                  </w:rPr>
                  <w:t>↔</w:t>
                </w:r>
              </w:sdtContent>
            </w:sdt>
          </w:p>
        </w:tc>
        <w:tc>
          <w:tcPr>
            <w:tcW w:w="2700" w:type="dxa"/>
            <w:tcBorders>
              <w:top w:val="single" w:sz="4" w:space="0" w:color="000000"/>
            </w:tcBorders>
            <w:shd w:val="clear" w:color="auto" w:fill="auto"/>
            <w:tcMar>
              <w:top w:w="100" w:type="dxa"/>
              <w:left w:w="100" w:type="dxa"/>
              <w:bottom w:w="100" w:type="dxa"/>
              <w:right w:w="100" w:type="dxa"/>
            </w:tcMar>
          </w:tcPr>
          <w:p w14:paraId="7EDB1878" w14:textId="77777777" w:rsidR="006C3266" w:rsidRPr="006C3266" w:rsidRDefault="00000000" w:rsidP="006C3266">
            <w:pPr>
              <w:widowControl w:val="0"/>
              <w:jc w:val="center"/>
              <w:rPr>
                <w:vertAlign w:val="superscript"/>
              </w:rPr>
            </w:pPr>
            <w:sdt>
              <w:sdtPr>
                <w:rPr>
                  <w:sz w:val="22"/>
                  <w:szCs w:val="22"/>
                </w:rPr>
                <w:tag w:val="goog_rdk_9"/>
                <w:id w:val="956756684"/>
              </w:sdtPr>
              <w:sdtContent>
                <w:r w:rsidR="006C3266" w:rsidRPr="006C3266">
                  <w:rPr>
                    <w:rFonts w:eastAsia="Cardo"/>
                  </w:rPr>
                  <w:t>↑</w:t>
                </w:r>
              </w:sdtContent>
            </w:sdt>
            <w:r w:rsidR="006C3266" w:rsidRPr="006C3266">
              <w:rPr>
                <w:sz w:val="21"/>
                <w:szCs w:val="21"/>
                <w:vertAlign w:val="superscript"/>
              </w:rPr>
              <w:t>***</w:t>
            </w:r>
          </w:p>
        </w:tc>
        <w:tc>
          <w:tcPr>
            <w:tcW w:w="2970" w:type="dxa"/>
            <w:tcBorders>
              <w:top w:val="single" w:sz="4" w:space="0" w:color="000000"/>
            </w:tcBorders>
            <w:shd w:val="clear" w:color="auto" w:fill="auto"/>
            <w:tcMar>
              <w:top w:w="100" w:type="dxa"/>
              <w:left w:w="100" w:type="dxa"/>
              <w:bottom w:w="100" w:type="dxa"/>
              <w:right w:w="100" w:type="dxa"/>
            </w:tcMar>
          </w:tcPr>
          <w:p w14:paraId="3646B093" w14:textId="67301508" w:rsidR="006C3266" w:rsidRPr="006C3266" w:rsidRDefault="00000000" w:rsidP="006C3266">
            <w:pPr>
              <w:widowControl w:val="0"/>
              <w:jc w:val="center"/>
              <w:rPr>
                <w:rFonts w:ascii="Cambria" w:hAnsi="Cambria"/>
                <w:vertAlign w:val="superscript"/>
              </w:rPr>
            </w:pPr>
            <w:sdt>
              <w:sdtPr>
                <w:rPr>
                  <w:sz w:val="22"/>
                  <w:szCs w:val="22"/>
                </w:rPr>
                <w:tag w:val="goog_rdk_10"/>
                <w:id w:val="-178131716"/>
              </w:sdtPr>
              <w:sdtContent>
                <w:r w:rsidR="006C3266" w:rsidRPr="006C3266">
                  <w:rPr>
                    <w:rFonts w:eastAsia="Cardo"/>
                  </w:rPr>
                  <w:t>↓</w:t>
                </w:r>
                <w:r w:rsidR="006C3266" w:rsidRPr="006C3266">
                  <w:rPr>
                    <w:rFonts w:ascii="Arial" w:eastAsia="Arial Unicode MS" w:hAnsi="Arial" w:cs="Arial"/>
                    <w:sz w:val="21"/>
                    <w:szCs w:val="21"/>
                    <w:vertAlign w:val="superscript"/>
                  </w:rPr>
                  <w:t>†</w:t>
                </w:r>
              </w:sdtContent>
            </w:sdt>
          </w:p>
        </w:tc>
        <w:tc>
          <w:tcPr>
            <w:tcW w:w="1545" w:type="dxa"/>
            <w:tcBorders>
              <w:top w:val="single" w:sz="4" w:space="0" w:color="000000"/>
            </w:tcBorders>
            <w:shd w:val="clear" w:color="auto" w:fill="auto"/>
            <w:tcMar>
              <w:top w:w="100" w:type="dxa"/>
              <w:left w:w="100" w:type="dxa"/>
              <w:bottom w:w="100" w:type="dxa"/>
              <w:right w:w="100" w:type="dxa"/>
            </w:tcMar>
          </w:tcPr>
          <w:p w14:paraId="50F0D057" w14:textId="3968CF2F" w:rsidR="006C3266" w:rsidRPr="006C3266" w:rsidRDefault="00000000" w:rsidP="006C3266">
            <w:pPr>
              <w:widowControl w:val="0"/>
              <w:jc w:val="center"/>
              <w:rPr>
                <w:vertAlign w:val="superscript"/>
              </w:rPr>
            </w:pPr>
            <w:sdt>
              <w:sdtPr>
                <w:rPr>
                  <w:sz w:val="22"/>
                  <w:szCs w:val="22"/>
                </w:rPr>
                <w:tag w:val="goog_rdk_12"/>
                <w:id w:val="-826747564"/>
              </w:sdtPr>
              <w:sdtContent>
                <w:r w:rsidR="006C3266" w:rsidRPr="006C3266">
                  <w:rPr>
                    <w:rFonts w:eastAsia="Cardo"/>
                  </w:rPr>
                  <w:t>↑</w:t>
                </w:r>
              </w:sdtContent>
            </w:sdt>
            <w:r w:rsidR="006C3266" w:rsidRPr="006C3266">
              <w:rPr>
                <w:rFonts w:ascii="Arial" w:eastAsia="Arial Unicode MS" w:hAnsi="Arial" w:cs="Arial"/>
                <w:sz w:val="21"/>
                <w:szCs w:val="21"/>
                <w:vertAlign w:val="superscript"/>
              </w:rPr>
              <w:t>†</w:t>
            </w:r>
          </w:p>
        </w:tc>
      </w:tr>
      <w:tr w:rsidR="006C3266" w:rsidRPr="006C3266" w14:paraId="56875E6A" w14:textId="77777777" w:rsidTr="006C3266">
        <w:tc>
          <w:tcPr>
            <w:tcW w:w="1965" w:type="dxa"/>
            <w:tcBorders>
              <w:bottom w:val="single" w:sz="4" w:space="0" w:color="000000"/>
            </w:tcBorders>
            <w:shd w:val="clear" w:color="auto" w:fill="auto"/>
            <w:tcMar>
              <w:top w:w="100" w:type="dxa"/>
              <w:left w:w="100" w:type="dxa"/>
              <w:bottom w:w="100" w:type="dxa"/>
              <w:right w:w="100" w:type="dxa"/>
            </w:tcMar>
          </w:tcPr>
          <w:p w14:paraId="5558A5DD" w14:textId="77777777" w:rsidR="006C3266" w:rsidRPr="006C3266" w:rsidRDefault="006C3266" w:rsidP="006C3266">
            <w:pPr>
              <w:widowControl w:val="0"/>
              <w:rPr>
                <w:sz w:val="22"/>
                <w:szCs w:val="22"/>
              </w:rPr>
            </w:pPr>
            <w:r w:rsidRPr="006C3266">
              <w:rPr>
                <w:sz w:val="22"/>
                <w:szCs w:val="22"/>
              </w:rPr>
              <w:t>Soy isoflavones</w:t>
            </w:r>
          </w:p>
        </w:tc>
        <w:tc>
          <w:tcPr>
            <w:tcW w:w="2145" w:type="dxa"/>
            <w:tcBorders>
              <w:bottom w:val="single" w:sz="4" w:space="0" w:color="000000"/>
            </w:tcBorders>
            <w:shd w:val="clear" w:color="auto" w:fill="auto"/>
            <w:tcMar>
              <w:top w:w="100" w:type="dxa"/>
              <w:left w:w="100" w:type="dxa"/>
              <w:bottom w:w="100" w:type="dxa"/>
              <w:right w:w="100" w:type="dxa"/>
            </w:tcMar>
          </w:tcPr>
          <w:p w14:paraId="44DFFF61" w14:textId="77777777" w:rsidR="006C3266" w:rsidRPr="006C3266" w:rsidRDefault="00000000" w:rsidP="006C3266">
            <w:pPr>
              <w:widowControl w:val="0"/>
              <w:jc w:val="center"/>
            </w:pPr>
            <w:sdt>
              <w:sdtPr>
                <w:rPr>
                  <w:sz w:val="22"/>
                  <w:szCs w:val="22"/>
                </w:rPr>
                <w:tag w:val="goog_rdk_14"/>
                <w:id w:val="-1385789360"/>
              </w:sdtPr>
              <w:sdtContent>
                <w:r w:rsidR="006C3266" w:rsidRPr="006C3266">
                  <w:rPr>
                    <w:rFonts w:eastAsia="Cardo"/>
                  </w:rPr>
                  <w:t>↔</w:t>
                </w:r>
              </w:sdtContent>
            </w:sdt>
          </w:p>
        </w:tc>
        <w:tc>
          <w:tcPr>
            <w:tcW w:w="2700" w:type="dxa"/>
            <w:tcBorders>
              <w:bottom w:val="single" w:sz="4" w:space="0" w:color="000000"/>
            </w:tcBorders>
            <w:shd w:val="clear" w:color="auto" w:fill="auto"/>
            <w:tcMar>
              <w:top w:w="100" w:type="dxa"/>
              <w:left w:w="100" w:type="dxa"/>
              <w:bottom w:w="100" w:type="dxa"/>
              <w:right w:w="100" w:type="dxa"/>
            </w:tcMar>
          </w:tcPr>
          <w:p w14:paraId="6054FBE3" w14:textId="77777777" w:rsidR="006C3266" w:rsidRPr="006C3266" w:rsidRDefault="00000000" w:rsidP="006C3266">
            <w:pPr>
              <w:widowControl w:val="0"/>
              <w:jc w:val="center"/>
            </w:pPr>
            <w:sdt>
              <w:sdtPr>
                <w:rPr>
                  <w:sz w:val="22"/>
                  <w:szCs w:val="22"/>
                </w:rPr>
                <w:tag w:val="goog_rdk_15"/>
                <w:id w:val="-1079450772"/>
              </w:sdtPr>
              <w:sdtContent>
                <w:r w:rsidR="006C3266" w:rsidRPr="006C3266">
                  <w:rPr>
                    <w:rFonts w:eastAsia="Cardo"/>
                  </w:rPr>
                  <w:t>↔</w:t>
                </w:r>
              </w:sdtContent>
            </w:sdt>
          </w:p>
        </w:tc>
        <w:tc>
          <w:tcPr>
            <w:tcW w:w="2970" w:type="dxa"/>
            <w:tcBorders>
              <w:bottom w:val="single" w:sz="4" w:space="0" w:color="000000"/>
            </w:tcBorders>
            <w:shd w:val="clear" w:color="auto" w:fill="auto"/>
            <w:tcMar>
              <w:top w:w="100" w:type="dxa"/>
              <w:left w:w="100" w:type="dxa"/>
              <w:bottom w:w="100" w:type="dxa"/>
              <w:right w:w="100" w:type="dxa"/>
            </w:tcMar>
          </w:tcPr>
          <w:p w14:paraId="37501087" w14:textId="77777777" w:rsidR="006C3266" w:rsidRPr="006C3266" w:rsidRDefault="00000000" w:rsidP="006C3266">
            <w:pPr>
              <w:widowControl w:val="0"/>
              <w:jc w:val="center"/>
            </w:pPr>
            <w:sdt>
              <w:sdtPr>
                <w:rPr>
                  <w:sz w:val="22"/>
                  <w:szCs w:val="22"/>
                </w:rPr>
                <w:tag w:val="goog_rdk_16"/>
                <w:id w:val="148023319"/>
              </w:sdtPr>
              <w:sdtContent>
                <w:r w:rsidR="006C3266" w:rsidRPr="006C3266">
                  <w:rPr>
                    <w:rFonts w:eastAsia="Cardo"/>
                  </w:rPr>
                  <w:t>↔</w:t>
                </w:r>
              </w:sdtContent>
            </w:sdt>
          </w:p>
        </w:tc>
        <w:tc>
          <w:tcPr>
            <w:tcW w:w="1545" w:type="dxa"/>
            <w:tcBorders>
              <w:bottom w:val="single" w:sz="4" w:space="0" w:color="000000"/>
            </w:tcBorders>
            <w:shd w:val="clear" w:color="auto" w:fill="auto"/>
            <w:tcMar>
              <w:top w:w="100" w:type="dxa"/>
              <w:left w:w="100" w:type="dxa"/>
              <w:bottom w:w="100" w:type="dxa"/>
              <w:right w:w="100" w:type="dxa"/>
            </w:tcMar>
          </w:tcPr>
          <w:p w14:paraId="1596D573" w14:textId="77777777" w:rsidR="006C3266" w:rsidRPr="006C3266" w:rsidRDefault="00000000" w:rsidP="006C3266">
            <w:pPr>
              <w:widowControl w:val="0"/>
              <w:jc w:val="center"/>
            </w:pPr>
            <w:sdt>
              <w:sdtPr>
                <w:rPr>
                  <w:sz w:val="22"/>
                  <w:szCs w:val="22"/>
                </w:rPr>
                <w:tag w:val="goog_rdk_17"/>
                <w:id w:val="-822731274"/>
              </w:sdtPr>
              <w:sdtContent>
                <w:r w:rsidR="006C3266" w:rsidRPr="006C3266">
                  <w:rPr>
                    <w:rFonts w:eastAsia="Cardo"/>
                  </w:rPr>
                  <w:t>↔</w:t>
                </w:r>
              </w:sdtContent>
            </w:sdt>
          </w:p>
        </w:tc>
      </w:tr>
    </w:tbl>
    <w:p w14:paraId="223DE6D8" w14:textId="77777777" w:rsidR="006C3266" w:rsidRPr="006C3266" w:rsidRDefault="006C3266" w:rsidP="006C3266">
      <w:pPr>
        <w:rPr>
          <w:sz w:val="22"/>
          <w:szCs w:val="22"/>
          <w:vertAlign w:val="superscript"/>
        </w:rPr>
      </w:pPr>
    </w:p>
    <w:p w14:paraId="3BCDBA3F" w14:textId="77777777" w:rsidR="006C3266" w:rsidRPr="006C3266" w:rsidRDefault="006C3266" w:rsidP="006C3266">
      <w:pPr>
        <w:rPr>
          <w:sz w:val="16"/>
          <w:szCs w:val="16"/>
        </w:rPr>
      </w:pPr>
      <w:r w:rsidRPr="006C3266">
        <w:rPr>
          <w:sz w:val="16"/>
          <w:szCs w:val="16"/>
          <w:vertAlign w:val="superscript"/>
        </w:rPr>
        <w:t>1</w:t>
      </w:r>
      <w:r w:rsidRPr="006C3266">
        <w:rPr>
          <w:sz w:val="16"/>
          <w:szCs w:val="16"/>
        </w:rPr>
        <w:t>Furness S, Roberts H, Marjoribanks J, Lethaby A. Hormone therapy in postmenopausal women and risk of endometrial hyperplasia. Cochrane Database Syst Rev. 2012 Aug 15;2012(8):CD000402. doi: 10.1002/14651858.CD000402.pub4. PMID: 22895916; PMCID: PMC7039145.</w:t>
      </w:r>
    </w:p>
    <w:p w14:paraId="5E6ECB31" w14:textId="77777777" w:rsidR="006C3266" w:rsidRPr="006C3266" w:rsidRDefault="006C3266" w:rsidP="006C3266">
      <w:pPr>
        <w:rPr>
          <w:sz w:val="16"/>
          <w:szCs w:val="16"/>
        </w:rPr>
      </w:pPr>
      <w:r w:rsidRPr="006C3266">
        <w:rPr>
          <w:sz w:val="16"/>
          <w:szCs w:val="16"/>
          <w:vertAlign w:val="superscript"/>
          <w:lang w:val="fr-CA"/>
        </w:rPr>
        <w:t>2</w:t>
      </w:r>
      <w:r w:rsidRPr="006C3266">
        <w:rPr>
          <w:sz w:val="16"/>
          <w:szCs w:val="16"/>
          <w:lang w:val="fr-CA"/>
        </w:rPr>
        <w:t xml:space="preserve">Lu, D. H., Zhou, S. Y., &amp; Xu, L. Z. (2023). </w:t>
      </w:r>
      <w:r w:rsidRPr="006C3266">
        <w:rPr>
          <w:sz w:val="16"/>
          <w:szCs w:val="16"/>
        </w:rPr>
        <w:t>Association between hormone replacement therapy and sex hormones in postmenopausal women: a systematic review and meta-analysis. European review for medical and pharmacological sciences, 27(11), 5264–5279. https://doi.org/10.26355/eurrev_202306_32646</w:t>
      </w:r>
    </w:p>
    <w:p w14:paraId="5B75FB81" w14:textId="77777777" w:rsidR="006C3266" w:rsidRPr="006C3266" w:rsidRDefault="006C3266" w:rsidP="006C3266">
      <w:pPr>
        <w:rPr>
          <w:sz w:val="16"/>
          <w:szCs w:val="16"/>
        </w:rPr>
      </w:pPr>
      <w:r w:rsidRPr="006C3266">
        <w:rPr>
          <w:sz w:val="16"/>
          <w:szCs w:val="16"/>
          <w:vertAlign w:val="superscript"/>
        </w:rPr>
        <w:t>3</w:t>
      </w:r>
      <w:r w:rsidRPr="006C3266">
        <w:rPr>
          <w:sz w:val="16"/>
          <w:szCs w:val="16"/>
        </w:rPr>
        <w:t>Carmignani, L. O., Pedro, A. O., Costa-Paiva, L. H., &amp; Pinto-Neto, A. M. (2010). The effect of dietary soy supplementation compared to estrogen and placebo on menopausal symptoms: a randomized controlled trial. Maturitas, 67(3), 262–269. https://doi.org/10.1016/j.maturitas.2010.07.007</w:t>
      </w:r>
    </w:p>
    <w:p w14:paraId="583E627F" w14:textId="77777777" w:rsidR="006C3266" w:rsidRPr="006C3266" w:rsidRDefault="006C3266" w:rsidP="006C3266">
      <w:pPr>
        <w:rPr>
          <w:sz w:val="16"/>
          <w:szCs w:val="16"/>
        </w:rPr>
      </w:pPr>
    </w:p>
    <w:p w14:paraId="6C558BC9" w14:textId="77777777" w:rsidR="006C3266" w:rsidRPr="006C3266" w:rsidRDefault="006C3266" w:rsidP="006C3266">
      <w:pPr>
        <w:rPr>
          <w:sz w:val="16"/>
          <w:szCs w:val="16"/>
        </w:rPr>
      </w:pPr>
      <w:r w:rsidRPr="006C3266">
        <w:rPr>
          <w:sz w:val="16"/>
          <w:szCs w:val="16"/>
          <w:vertAlign w:val="superscript"/>
        </w:rPr>
        <w:t>*</w:t>
      </w:r>
      <w:r w:rsidRPr="006C3266">
        <w:rPr>
          <w:sz w:val="16"/>
          <w:szCs w:val="16"/>
        </w:rPr>
        <w:t>Statistically significantly increased risk of endometrial hyperplasia at two and three years, across different dosage levels</w:t>
      </w:r>
    </w:p>
    <w:p w14:paraId="28E07C35" w14:textId="77777777" w:rsidR="006C3266" w:rsidRPr="006C3266" w:rsidRDefault="006C3266" w:rsidP="006C3266">
      <w:pPr>
        <w:rPr>
          <w:sz w:val="16"/>
          <w:szCs w:val="16"/>
        </w:rPr>
      </w:pPr>
      <w:r w:rsidRPr="006C3266">
        <w:rPr>
          <w:sz w:val="16"/>
          <w:szCs w:val="16"/>
          <w:vertAlign w:val="superscript"/>
        </w:rPr>
        <w:t xml:space="preserve">** </w:t>
      </w:r>
      <w:r w:rsidRPr="006C3266">
        <w:rPr>
          <w:sz w:val="16"/>
          <w:szCs w:val="16"/>
        </w:rPr>
        <w:t>Statistically significantly decrease in follicle-stimulating hormone and increase in estradiol after 3 months for both oral and transdermal treatments</w:t>
      </w:r>
    </w:p>
    <w:p w14:paraId="4709BD2B" w14:textId="77777777" w:rsidR="006C3266" w:rsidRPr="006C3266" w:rsidRDefault="006C3266" w:rsidP="006C3266">
      <w:pPr>
        <w:widowControl w:val="0"/>
        <w:rPr>
          <w:sz w:val="16"/>
          <w:szCs w:val="16"/>
        </w:rPr>
      </w:pPr>
      <w:r w:rsidRPr="006C3266">
        <w:rPr>
          <w:rFonts w:ascii="Arimo" w:eastAsia="Arimo" w:hAnsi="Arimo" w:cs="Arimo"/>
          <w:sz w:val="16"/>
          <w:szCs w:val="16"/>
          <w:vertAlign w:val="superscript"/>
        </w:rPr>
        <w:t>***</w:t>
      </w:r>
      <w:r w:rsidRPr="006C3266">
        <w:rPr>
          <w:sz w:val="16"/>
          <w:szCs w:val="16"/>
        </w:rPr>
        <w:t>Statistically significant increase of 18.1 in mean vaginal maturation value after 16 weeks of treatment</w:t>
      </w:r>
    </w:p>
    <w:p w14:paraId="5BAAF223" w14:textId="3483E79A" w:rsidR="006C3266" w:rsidRPr="006C3266" w:rsidRDefault="00000000" w:rsidP="006C3266">
      <w:pPr>
        <w:rPr>
          <w:sz w:val="16"/>
          <w:szCs w:val="16"/>
        </w:rPr>
      </w:pPr>
      <w:sdt>
        <w:sdtPr>
          <w:rPr>
            <w:sz w:val="16"/>
            <w:szCs w:val="16"/>
          </w:rPr>
          <w:tag w:val="goog_rdk_18"/>
          <w:id w:val="-1144348709"/>
        </w:sdtPr>
        <w:sdtContent>
          <w:r w:rsidR="006C3266" w:rsidRPr="006C3266">
            <w:rPr>
              <w:rFonts w:ascii="Arial" w:eastAsia="Arial Unicode MS" w:hAnsi="Arial" w:cs="Arial"/>
              <w:sz w:val="16"/>
              <w:szCs w:val="16"/>
              <w:vertAlign w:val="superscript"/>
            </w:rPr>
            <w:t>†</w:t>
          </w:r>
        </w:sdtContent>
      </w:sdt>
      <w:r w:rsidR="006C3266" w:rsidRPr="006C3266">
        <w:rPr>
          <w:sz w:val="16"/>
          <w:szCs w:val="16"/>
        </w:rPr>
        <w:t>Statistically significant 46.2% decrease and 513.7% increase in mean percentage variation of follicle-stimulating hormone and estradiol respectively after 16 weeks of treatment</w:t>
      </w:r>
    </w:p>
    <w:p w14:paraId="199A579B" w14:textId="64D0409F" w:rsidR="006C3266" w:rsidRDefault="006C3266">
      <w:pPr>
        <w:rPr>
          <w:b/>
          <w:bCs/>
        </w:rPr>
        <w:sectPr w:rsidR="006C3266" w:rsidSect="00041C4E">
          <w:pgSz w:w="15840" w:h="12240" w:orient="landscape"/>
          <w:pgMar w:top="1440" w:right="1440" w:bottom="1440" w:left="1440" w:header="709" w:footer="709" w:gutter="0"/>
          <w:cols w:space="708"/>
          <w:titlePg/>
          <w:docGrid w:linePitch="360"/>
        </w:sectPr>
      </w:pPr>
    </w:p>
    <w:p w14:paraId="2718F0DC" w14:textId="4DF5F284" w:rsidR="000E4EDA" w:rsidRPr="00897A88" w:rsidRDefault="000E4EDA" w:rsidP="00CB4744">
      <w:pPr>
        <w:pStyle w:val="Heading1"/>
        <w:rPr>
          <w:highlight w:val="yellow"/>
        </w:rPr>
      </w:pPr>
      <w:bookmarkStart w:id="13" w:name="_Toc152764291"/>
      <w:bookmarkStart w:id="14" w:name="_Toc153356548"/>
      <w:r>
        <w:rPr>
          <w:b/>
          <w:bCs/>
        </w:rPr>
        <w:lastRenderedPageBreak/>
        <w:t>Supplementa</w:t>
      </w:r>
      <w:r w:rsidR="006C3266">
        <w:rPr>
          <w:b/>
          <w:bCs/>
        </w:rPr>
        <w:t>l</w:t>
      </w:r>
      <w:r>
        <w:rPr>
          <w:b/>
          <w:bCs/>
        </w:rPr>
        <w:t xml:space="preserve"> Figure 1. </w:t>
      </w:r>
      <w:r w:rsidRPr="00F2540F">
        <w:t>Risk of bias propo</w:t>
      </w:r>
      <w:r w:rsidR="00B173BE" w:rsidRPr="00F2540F">
        <w:t>rtio</w:t>
      </w:r>
      <w:r w:rsidR="00F2540F" w:rsidRPr="00F2540F">
        <w:t>n graph for the effect of soy isoflavones on measures of estrogenicity in parallel trials</w:t>
      </w:r>
      <w:bookmarkEnd w:id="13"/>
      <w:bookmarkEnd w:id="14"/>
    </w:p>
    <w:p w14:paraId="24B72EB7" w14:textId="2287E219" w:rsidR="00F2540F" w:rsidRDefault="00F2540F"/>
    <w:p w14:paraId="51F994B9" w14:textId="5AAC713D" w:rsidR="00F2540F" w:rsidRDefault="008A54D2">
      <w:pPr>
        <w:rPr>
          <w:b/>
          <w:bCs/>
        </w:rPr>
      </w:pPr>
      <w:r>
        <w:rPr>
          <w:b/>
          <w:bCs/>
          <w:noProof/>
        </w:rPr>
        <w:drawing>
          <wp:inline distT="0" distB="0" distL="0" distR="0" wp14:anchorId="24812A2C" wp14:editId="7E794332">
            <wp:extent cx="5943600" cy="2498725"/>
            <wp:effectExtent l="0" t="0" r="0" b="3175"/>
            <wp:docPr id="21" name="Picture 21" descr="A graph with green and 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graph with green and red lines&#10;&#10;Description automatically generated"/>
                    <pic:cNvPicPr/>
                  </pic:nvPicPr>
                  <pic:blipFill>
                    <a:blip r:embed="rId16">
                      <a:extLst>
                        <a:ext uri="{28A0092B-C50C-407E-A947-70E740481C1C}">
                          <a14:useLocalDpi xmlns:a14="http://schemas.microsoft.com/office/drawing/2010/main" val="0"/>
                        </a:ext>
                      </a:extLst>
                    </a:blip>
                    <a:stretch>
                      <a:fillRect/>
                    </a:stretch>
                  </pic:blipFill>
                  <pic:spPr>
                    <a:xfrm>
                      <a:off x="0" y="0"/>
                      <a:ext cx="5943600" cy="2498725"/>
                    </a:xfrm>
                    <a:prstGeom prst="rect">
                      <a:avLst/>
                    </a:prstGeom>
                  </pic:spPr>
                </pic:pic>
              </a:graphicData>
            </a:graphic>
          </wp:inline>
        </w:drawing>
      </w:r>
    </w:p>
    <w:p w14:paraId="4E155BA6" w14:textId="246D99DB" w:rsidR="008A54D2" w:rsidRDefault="008A54D2">
      <w:pPr>
        <w:rPr>
          <w:b/>
          <w:bCs/>
        </w:rPr>
      </w:pPr>
    </w:p>
    <w:p w14:paraId="1BB41F22" w14:textId="681B1425" w:rsidR="008A54D2" w:rsidRDefault="008A54D2">
      <w:pPr>
        <w:rPr>
          <w:b/>
          <w:bCs/>
        </w:rPr>
      </w:pPr>
    </w:p>
    <w:p w14:paraId="71E0C381" w14:textId="77777777" w:rsidR="008A54D2" w:rsidRDefault="008A54D2">
      <w:pPr>
        <w:rPr>
          <w:b/>
          <w:bCs/>
        </w:rPr>
      </w:pPr>
    </w:p>
    <w:p w14:paraId="10684F58" w14:textId="19C0EDA1" w:rsidR="00F2540F" w:rsidRDefault="008A54D2">
      <w:pPr>
        <w:rPr>
          <w:b/>
          <w:bCs/>
        </w:rPr>
      </w:pPr>
      <w:r>
        <w:rPr>
          <w:b/>
          <w:bCs/>
          <w:noProof/>
        </w:rPr>
        <w:drawing>
          <wp:inline distT="0" distB="0" distL="0" distR="0" wp14:anchorId="196905FE" wp14:editId="7E910276">
            <wp:extent cx="5943600" cy="2512695"/>
            <wp:effectExtent l="0" t="0" r="0" b="1905"/>
            <wp:docPr id="22" name="Picture 22" descr="A graph with green and yellow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graph with green and yellow lines&#10;&#10;Description automatically generated"/>
                    <pic:cNvPicPr/>
                  </pic:nvPicPr>
                  <pic:blipFill>
                    <a:blip r:embed="rId17">
                      <a:extLst>
                        <a:ext uri="{28A0092B-C50C-407E-A947-70E740481C1C}">
                          <a14:useLocalDpi xmlns:a14="http://schemas.microsoft.com/office/drawing/2010/main" val="0"/>
                        </a:ext>
                      </a:extLst>
                    </a:blip>
                    <a:stretch>
                      <a:fillRect/>
                    </a:stretch>
                  </pic:blipFill>
                  <pic:spPr>
                    <a:xfrm>
                      <a:off x="0" y="0"/>
                      <a:ext cx="5943600" cy="2512695"/>
                    </a:xfrm>
                    <a:prstGeom prst="rect">
                      <a:avLst/>
                    </a:prstGeom>
                  </pic:spPr>
                </pic:pic>
              </a:graphicData>
            </a:graphic>
          </wp:inline>
        </w:drawing>
      </w:r>
    </w:p>
    <w:p w14:paraId="233F04C2" w14:textId="43A63F0C" w:rsidR="00F2540F" w:rsidRDefault="00F2540F">
      <w:pPr>
        <w:rPr>
          <w:b/>
          <w:bCs/>
        </w:rPr>
      </w:pPr>
    </w:p>
    <w:p w14:paraId="5BCD8E84" w14:textId="1C186E78" w:rsidR="00F2540F" w:rsidRDefault="00F2540F">
      <w:pPr>
        <w:rPr>
          <w:b/>
          <w:bCs/>
        </w:rPr>
      </w:pPr>
    </w:p>
    <w:p w14:paraId="70529FF9" w14:textId="2CCFFE02" w:rsidR="008A54D2" w:rsidRDefault="008A54D2">
      <w:pPr>
        <w:rPr>
          <w:b/>
          <w:bCs/>
        </w:rPr>
      </w:pPr>
    </w:p>
    <w:p w14:paraId="42505197" w14:textId="1E56F6E8" w:rsidR="008A54D2" w:rsidRDefault="008A54D2">
      <w:pPr>
        <w:rPr>
          <w:b/>
          <w:bCs/>
        </w:rPr>
      </w:pPr>
    </w:p>
    <w:p w14:paraId="094AEF16" w14:textId="1AC2D970" w:rsidR="008A54D2" w:rsidRDefault="008A54D2">
      <w:pPr>
        <w:rPr>
          <w:b/>
          <w:bCs/>
        </w:rPr>
      </w:pPr>
    </w:p>
    <w:p w14:paraId="401C6B3D" w14:textId="1D4ADCED" w:rsidR="008A54D2" w:rsidRDefault="008A54D2">
      <w:pPr>
        <w:rPr>
          <w:b/>
          <w:bCs/>
        </w:rPr>
      </w:pPr>
    </w:p>
    <w:p w14:paraId="5C0A3ACD" w14:textId="0F7EA7FD" w:rsidR="008A54D2" w:rsidRDefault="008A54D2">
      <w:pPr>
        <w:rPr>
          <w:b/>
          <w:bCs/>
        </w:rPr>
      </w:pPr>
    </w:p>
    <w:p w14:paraId="08FF3C67" w14:textId="42BCE454" w:rsidR="008A54D2" w:rsidRDefault="008A54D2">
      <w:pPr>
        <w:rPr>
          <w:b/>
          <w:bCs/>
        </w:rPr>
      </w:pPr>
    </w:p>
    <w:p w14:paraId="63904B19" w14:textId="319DDD18" w:rsidR="008A54D2" w:rsidRDefault="008A54D2">
      <w:pPr>
        <w:rPr>
          <w:b/>
          <w:bCs/>
        </w:rPr>
      </w:pPr>
    </w:p>
    <w:p w14:paraId="1037A17C" w14:textId="413ADBA0" w:rsidR="008A54D2" w:rsidRDefault="008A54D2">
      <w:pPr>
        <w:rPr>
          <w:b/>
          <w:bCs/>
        </w:rPr>
      </w:pPr>
    </w:p>
    <w:p w14:paraId="0A087134" w14:textId="00EB96D6" w:rsidR="008A54D2" w:rsidRDefault="008A54D2">
      <w:pPr>
        <w:rPr>
          <w:b/>
          <w:bCs/>
        </w:rPr>
      </w:pPr>
    </w:p>
    <w:p w14:paraId="69063308" w14:textId="2DE0A8F4" w:rsidR="008A54D2" w:rsidRDefault="008A54D2">
      <w:pPr>
        <w:rPr>
          <w:b/>
          <w:bCs/>
        </w:rPr>
      </w:pPr>
    </w:p>
    <w:p w14:paraId="1EBE5EED" w14:textId="24A3367C" w:rsidR="008A54D2" w:rsidRDefault="006138E9">
      <w:pPr>
        <w:rPr>
          <w:b/>
          <w:bCs/>
        </w:rPr>
      </w:pPr>
      <w:r>
        <w:rPr>
          <w:b/>
          <w:bCs/>
          <w:noProof/>
        </w:rPr>
        <w:drawing>
          <wp:inline distT="0" distB="0" distL="0" distR="0" wp14:anchorId="246E0386" wp14:editId="3EB2FFE6">
            <wp:extent cx="5943600" cy="2498725"/>
            <wp:effectExtent l="0" t="0" r="0" b="3175"/>
            <wp:docPr id="23" name="Picture 23" descr="A graph with green and yellow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graph with green and yellow lines&#10;&#10;Description automatically generated"/>
                    <pic:cNvPicPr/>
                  </pic:nvPicPr>
                  <pic:blipFill>
                    <a:blip r:embed="rId18">
                      <a:extLst>
                        <a:ext uri="{28A0092B-C50C-407E-A947-70E740481C1C}">
                          <a14:useLocalDpi xmlns:a14="http://schemas.microsoft.com/office/drawing/2010/main" val="0"/>
                        </a:ext>
                      </a:extLst>
                    </a:blip>
                    <a:stretch>
                      <a:fillRect/>
                    </a:stretch>
                  </pic:blipFill>
                  <pic:spPr>
                    <a:xfrm>
                      <a:off x="0" y="0"/>
                      <a:ext cx="5943600" cy="2498725"/>
                    </a:xfrm>
                    <a:prstGeom prst="rect">
                      <a:avLst/>
                    </a:prstGeom>
                  </pic:spPr>
                </pic:pic>
              </a:graphicData>
            </a:graphic>
          </wp:inline>
        </w:drawing>
      </w:r>
    </w:p>
    <w:p w14:paraId="1A144B28" w14:textId="1793FFFF" w:rsidR="00F2540F" w:rsidRDefault="00F2540F">
      <w:pPr>
        <w:rPr>
          <w:b/>
          <w:bCs/>
        </w:rPr>
      </w:pPr>
    </w:p>
    <w:p w14:paraId="21D7E71C" w14:textId="102F903E" w:rsidR="006138E9" w:rsidRDefault="006138E9">
      <w:pPr>
        <w:rPr>
          <w:b/>
          <w:bCs/>
        </w:rPr>
      </w:pPr>
    </w:p>
    <w:p w14:paraId="0BBD56EB" w14:textId="77777777" w:rsidR="006138E9" w:rsidRDefault="006138E9">
      <w:pPr>
        <w:rPr>
          <w:b/>
          <w:bCs/>
        </w:rPr>
      </w:pPr>
    </w:p>
    <w:p w14:paraId="44AF3275" w14:textId="3507199C" w:rsidR="006138E9" w:rsidRDefault="006138E9">
      <w:pPr>
        <w:rPr>
          <w:b/>
          <w:bCs/>
        </w:rPr>
      </w:pPr>
      <w:r>
        <w:rPr>
          <w:b/>
          <w:bCs/>
          <w:noProof/>
        </w:rPr>
        <w:drawing>
          <wp:inline distT="0" distB="0" distL="0" distR="0" wp14:anchorId="6C6E44DE" wp14:editId="55097740">
            <wp:extent cx="5943600" cy="2498725"/>
            <wp:effectExtent l="0" t="0" r="0" b="3175"/>
            <wp:docPr id="24" name="Picture 24" descr="A graph with green and yellow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graph with green and yellow lines&#10;&#10;Description automatically generated"/>
                    <pic:cNvPicPr/>
                  </pic:nvPicPr>
                  <pic:blipFill>
                    <a:blip r:embed="rId19">
                      <a:extLst>
                        <a:ext uri="{28A0092B-C50C-407E-A947-70E740481C1C}">
                          <a14:useLocalDpi xmlns:a14="http://schemas.microsoft.com/office/drawing/2010/main" val="0"/>
                        </a:ext>
                      </a:extLst>
                    </a:blip>
                    <a:stretch>
                      <a:fillRect/>
                    </a:stretch>
                  </pic:blipFill>
                  <pic:spPr>
                    <a:xfrm>
                      <a:off x="0" y="0"/>
                      <a:ext cx="5943600" cy="2498725"/>
                    </a:xfrm>
                    <a:prstGeom prst="rect">
                      <a:avLst/>
                    </a:prstGeom>
                  </pic:spPr>
                </pic:pic>
              </a:graphicData>
            </a:graphic>
          </wp:inline>
        </w:drawing>
      </w:r>
    </w:p>
    <w:p w14:paraId="309F2932" w14:textId="64FC2121" w:rsidR="00F2540F" w:rsidRDefault="00F2540F">
      <w:pPr>
        <w:rPr>
          <w:b/>
          <w:bCs/>
        </w:rPr>
      </w:pPr>
    </w:p>
    <w:p w14:paraId="378FD125" w14:textId="23575056" w:rsidR="00F2540F" w:rsidRDefault="00F2540F">
      <w:pPr>
        <w:rPr>
          <w:b/>
          <w:bCs/>
        </w:rPr>
      </w:pPr>
    </w:p>
    <w:p w14:paraId="67B1A930" w14:textId="25B48E40" w:rsidR="00F2540F" w:rsidRDefault="00F2540F">
      <w:pPr>
        <w:rPr>
          <w:b/>
          <w:bCs/>
        </w:rPr>
      </w:pPr>
    </w:p>
    <w:p w14:paraId="1AC1F1BD" w14:textId="1D6393E3" w:rsidR="00F2540F" w:rsidRDefault="00F2540F">
      <w:pPr>
        <w:rPr>
          <w:b/>
          <w:bCs/>
        </w:rPr>
      </w:pPr>
    </w:p>
    <w:p w14:paraId="102D3619" w14:textId="31810D43" w:rsidR="00F2540F" w:rsidRDefault="00F2540F">
      <w:pPr>
        <w:rPr>
          <w:b/>
          <w:bCs/>
        </w:rPr>
      </w:pPr>
    </w:p>
    <w:p w14:paraId="3EE69550" w14:textId="2EFAECF7" w:rsidR="00F2540F" w:rsidRDefault="00F2540F">
      <w:pPr>
        <w:rPr>
          <w:b/>
          <w:bCs/>
        </w:rPr>
      </w:pPr>
    </w:p>
    <w:p w14:paraId="6B617D78" w14:textId="16175836" w:rsidR="00F2540F" w:rsidRDefault="00F2540F">
      <w:pPr>
        <w:rPr>
          <w:b/>
          <w:bCs/>
        </w:rPr>
      </w:pPr>
    </w:p>
    <w:p w14:paraId="189FCD96" w14:textId="459EAF49" w:rsidR="00F2540F" w:rsidRDefault="00F2540F">
      <w:pPr>
        <w:rPr>
          <w:b/>
          <w:bCs/>
        </w:rPr>
      </w:pPr>
    </w:p>
    <w:p w14:paraId="45466237" w14:textId="6730A8A4" w:rsidR="00F2540F" w:rsidRDefault="00F2540F">
      <w:pPr>
        <w:rPr>
          <w:b/>
          <w:bCs/>
        </w:rPr>
      </w:pPr>
    </w:p>
    <w:p w14:paraId="50C285FA" w14:textId="519A9EF6" w:rsidR="006138E9" w:rsidRDefault="006138E9">
      <w:pPr>
        <w:rPr>
          <w:b/>
          <w:bCs/>
        </w:rPr>
      </w:pPr>
    </w:p>
    <w:p w14:paraId="33D126B9" w14:textId="79C75B80" w:rsidR="006138E9" w:rsidRDefault="006138E9">
      <w:pPr>
        <w:rPr>
          <w:b/>
          <w:bCs/>
        </w:rPr>
      </w:pPr>
    </w:p>
    <w:p w14:paraId="700E2499" w14:textId="699EFF62" w:rsidR="006138E9" w:rsidRDefault="006138E9">
      <w:pPr>
        <w:rPr>
          <w:b/>
          <w:bCs/>
        </w:rPr>
      </w:pPr>
    </w:p>
    <w:p w14:paraId="13B851E8" w14:textId="212AFC10" w:rsidR="006138E9" w:rsidRDefault="006138E9">
      <w:pPr>
        <w:rPr>
          <w:b/>
          <w:bCs/>
        </w:rPr>
      </w:pPr>
    </w:p>
    <w:p w14:paraId="0914AFEF" w14:textId="77777777" w:rsidR="006138E9" w:rsidRDefault="006138E9">
      <w:pPr>
        <w:rPr>
          <w:b/>
          <w:bCs/>
        </w:rPr>
      </w:pPr>
    </w:p>
    <w:p w14:paraId="6DB6C63C" w14:textId="6F658A71" w:rsidR="00C22D6E" w:rsidRDefault="00F2540F" w:rsidP="00CB4744">
      <w:pPr>
        <w:pStyle w:val="Heading1"/>
      </w:pPr>
      <w:bookmarkStart w:id="15" w:name="_Toc152764292"/>
      <w:bookmarkStart w:id="16" w:name="_Toc153356549"/>
      <w:r>
        <w:rPr>
          <w:b/>
          <w:bCs/>
        </w:rPr>
        <w:lastRenderedPageBreak/>
        <w:t>Supplementa</w:t>
      </w:r>
      <w:r w:rsidR="006C3266">
        <w:rPr>
          <w:b/>
          <w:bCs/>
        </w:rPr>
        <w:t>l F</w:t>
      </w:r>
      <w:r>
        <w:rPr>
          <w:b/>
          <w:bCs/>
        </w:rPr>
        <w:t xml:space="preserve">igure 2. </w:t>
      </w:r>
      <w:r w:rsidRPr="00F2540F">
        <w:t xml:space="preserve">Risk of bias proportion graph for the effect of soy isoflavones on measures of estrogenicity in </w:t>
      </w:r>
      <w:r w:rsidR="00C22D6E">
        <w:t xml:space="preserve">crossover </w:t>
      </w:r>
      <w:r w:rsidRPr="00F2540F">
        <w:t>trials</w:t>
      </w:r>
      <w:bookmarkEnd w:id="15"/>
      <w:bookmarkEnd w:id="16"/>
    </w:p>
    <w:p w14:paraId="60D2A144" w14:textId="77777777" w:rsidR="00895025" w:rsidRDefault="00895025"/>
    <w:p w14:paraId="3E8DBBF3" w14:textId="33B5451B" w:rsidR="00895025" w:rsidRPr="00895025" w:rsidRDefault="00895025" w:rsidP="00895025"/>
    <w:p w14:paraId="6734466F" w14:textId="77777777" w:rsidR="008A54D2" w:rsidRDefault="00895025">
      <w:pPr>
        <w:rPr>
          <w:noProof/>
        </w:rPr>
      </w:pPr>
      <w:r>
        <w:rPr>
          <w:noProof/>
        </w:rPr>
        <w:drawing>
          <wp:inline distT="0" distB="0" distL="0" distR="0" wp14:anchorId="729F30AD" wp14:editId="0D2FEE1A">
            <wp:extent cx="5943600" cy="2506980"/>
            <wp:effectExtent l="0" t="0" r="0" b="0"/>
            <wp:docPr id="18" name="Picture 18" descr="A graph with green and yellow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graph with green and yellow lines&#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5943600" cy="2506980"/>
                    </a:xfrm>
                    <a:prstGeom prst="rect">
                      <a:avLst/>
                    </a:prstGeom>
                  </pic:spPr>
                </pic:pic>
              </a:graphicData>
            </a:graphic>
          </wp:inline>
        </w:drawing>
      </w:r>
    </w:p>
    <w:p w14:paraId="34B55C33" w14:textId="5A2C339C" w:rsidR="008A54D2" w:rsidRDefault="008A54D2" w:rsidP="008A54D2"/>
    <w:p w14:paraId="6CC4D1EB" w14:textId="55B613F0" w:rsidR="008A54D2" w:rsidRDefault="008A54D2" w:rsidP="008A54D2"/>
    <w:p w14:paraId="4527C9DC" w14:textId="77777777" w:rsidR="008A54D2" w:rsidRPr="008A54D2" w:rsidRDefault="008A54D2" w:rsidP="008A54D2"/>
    <w:p w14:paraId="6508470C" w14:textId="6E669B3B" w:rsidR="008A54D2" w:rsidRDefault="008A54D2">
      <w:pPr>
        <w:rPr>
          <w:noProof/>
        </w:rPr>
      </w:pPr>
      <w:r>
        <w:rPr>
          <w:noProof/>
        </w:rPr>
        <w:drawing>
          <wp:inline distT="0" distB="0" distL="0" distR="0" wp14:anchorId="715E1121" wp14:editId="7D9265C2">
            <wp:extent cx="5943600" cy="2521585"/>
            <wp:effectExtent l="0" t="0" r="0" b="5715"/>
            <wp:docPr id="19" name="Picture 19" descr="A graph with red and green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graph with red and green lines&#10;&#10;Description automatically generated"/>
                    <pic:cNvPicPr/>
                  </pic:nvPicPr>
                  <pic:blipFill>
                    <a:blip r:embed="rId21">
                      <a:extLst>
                        <a:ext uri="{28A0092B-C50C-407E-A947-70E740481C1C}">
                          <a14:useLocalDpi xmlns:a14="http://schemas.microsoft.com/office/drawing/2010/main" val="0"/>
                        </a:ext>
                      </a:extLst>
                    </a:blip>
                    <a:stretch>
                      <a:fillRect/>
                    </a:stretch>
                  </pic:blipFill>
                  <pic:spPr>
                    <a:xfrm>
                      <a:off x="0" y="0"/>
                      <a:ext cx="5943600" cy="2521585"/>
                    </a:xfrm>
                    <a:prstGeom prst="rect">
                      <a:avLst/>
                    </a:prstGeom>
                  </pic:spPr>
                </pic:pic>
              </a:graphicData>
            </a:graphic>
          </wp:inline>
        </w:drawing>
      </w:r>
    </w:p>
    <w:p w14:paraId="067C719D" w14:textId="6F1F560B" w:rsidR="008A54D2" w:rsidRDefault="008A54D2" w:rsidP="008A54D2">
      <w:pPr>
        <w:tabs>
          <w:tab w:val="left" w:pos="1016"/>
        </w:tabs>
        <w:rPr>
          <w:noProof/>
        </w:rPr>
      </w:pPr>
      <w:r>
        <w:rPr>
          <w:noProof/>
        </w:rPr>
        <w:tab/>
      </w:r>
    </w:p>
    <w:p w14:paraId="3E75A934" w14:textId="77777777" w:rsidR="008A54D2" w:rsidRDefault="008A54D2"/>
    <w:p w14:paraId="3C6E2BD9" w14:textId="77777777" w:rsidR="008A54D2" w:rsidRDefault="008A54D2" w:rsidP="00C22D6E">
      <w:r>
        <w:rPr>
          <w:noProof/>
        </w:rPr>
        <w:lastRenderedPageBreak/>
        <w:drawing>
          <wp:inline distT="0" distB="0" distL="0" distR="0" wp14:anchorId="59F71729" wp14:editId="3FE187C4">
            <wp:extent cx="5943600" cy="2541905"/>
            <wp:effectExtent l="0" t="0" r="0" b="0"/>
            <wp:docPr id="20" name="Picture 20" descr="A graph of a person with red and yellow strip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graph of a person with red and yellow stripes&#10;&#10;Description automatically generated with medium confidence"/>
                    <pic:cNvPicPr/>
                  </pic:nvPicPr>
                  <pic:blipFill>
                    <a:blip r:embed="rId22">
                      <a:extLst>
                        <a:ext uri="{28A0092B-C50C-407E-A947-70E740481C1C}">
                          <a14:useLocalDpi xmlns:a14="http://schemas.microsoft.com/office/drawing/2010/main" val="0"/>
                        </a:ext>
                      </a:extLst>
                    </a:blip>
                    <a:stretch>
                      <a:fillRect/>
                    </a:stretch>
                  </pic:blipFill>
                  <pic:spPr>
                    <a:xfrm>
                      <a:off x="0" y="0"/>
                      <a:ext cx="5943600" cy="2541905"/>
                    </a:xfrm>
                    <a:prstGeom prst="rect">
                      <a:avLst/>
                    </a:prstGeom>
                  </pic:spPr>
                </pic:pic>
              </a:graphicData>
            </a:graphic>
          </wp:inline>
        </w:drawing>
      </w:r>
    </w:p>
    <w:p w14:paraId="13D76108" w14:textId="2277D770" w:rsidR="008A54D2" w:rsidRDefault="008A54D2" w:rsidP="00C22D6E"/>
    <w:p w14:paraId="6A90A758" w14:textId="77777777" w:rsidR="008A54D2" w:rsidRDefault="008A54D2" w:rsidP="00C22D6E"/>
    <w:p w14:paraId="7454E029" w14:textId="77777777" w:rsidR="008A54D2" w:rsidRDefault="008A54D2" w:rsidP="00C22D6E"/>
    <w:p w14:paraId="4D086E56" w14:textId="77777777" w:rsidR="008A54D2" w:rsidRDefault="00895025" w:rsidP="00C22D6E">
      <w:pPr>
        <w:rPr>
          <w:b/>
          <w:bCs/>
        </w:rPr>
      </w:pPr>
      <w:r>
        <w:rPr>
          <w:noProof/>
        </w:rPr>
        <w:drawing>
          <wp:inline distT="0" distB="0" distL="0" distR="0" wp14:anchorId="6398E61B" wp14:editId="1412E3AE">
            <wp:extent cx="5943600" cy="2519045"/>
            <wp:effectExtent l="0" t="0" r="0" b="0"/>
            <wp:docPr id="17" name="Picture 17" descr="A graph with red and green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graph with red and green lines&#10;&#10;Description automatically generated"/>
                    <pic:cNvPicPr/>
                  </pic:nvPicPr>
                  <pic:blipFill>
                    <a:blip r:embed="rId23">
                      <a:extLst>
                        <a:ext uri="{28A0092B-C50C-407E-A947-70E740481C1C}">
                          <a14:useLocalDpi xmlns:a14="http://schemas.microsoft.com/office/drawing/2010/main" val="0"/>
                        </a:ext>
                      </a:extLst>
                    </a:blip>
                    <a:stretch>
                      <a:fillRect/>
                    </a:stretch>
                  </pic:blipFill>
                  <pic:spPr>
                    <a:xfrm>
                      <a:off x="0" y="0"/>
                      <a:ext cx="5943600" cy="2519045"/>
                    </a:xfrm>
                    <a:prstGeom prst="rect">
                      <a:avLst/>
                    </a:prstGeom>
                  </pic:spPr>
                </pic:pic>
              </a:graphicData>
            </a:graphic>
          </wp:inline>
        </w:drawing>
      </w:r>
    </w:p>
    <w:p w14:paraId="0FD85570" w14:textId="77777777" w:rsidR="008A54D2" w:rsidRDefault="008A54D2" w:rsidP="00C22D6E">
      <w:pPr>
        <w:rPr>
          <w:b/>
          <w:bCs/>
        </w:rPr>
      </w:pPr>
    </w:p>
    <w:p w14:paraId="680C2315" w14:textId="77777777" w:rsidR="008A54D2" w:rsidRDefault="008A54D2" w:rsidP="00C22D6E">
      <w:pPr>
        <w:rPr>
          <w:b/>
          <w:bCs/>
        </w:rPr>
      </w:pPr>
    </w:p>
    <w:p w14:paraId="17BEC1E2" w14:textId="77777777" w:rsidR="008A54D2" w:rsidRDefault="008A54D2" w:rsidP="00C22D6E">
      <w:pPr>
        <w:rPr>
          <w:b/>
          <w:bCs/>
        </w:rPr>
      </w:pPr>
    </w:p>
    <w:p w14:paraId="605CCCD4" w14:textId="77777777" w:rsidR="008A54D2" w:rsidRDefault="008A54D2" w:rsidP="00C22D6E">
      <w:pPr>
        <w:rPr>
          <w:b/>
          <w:bCs/>
        </w:rPr>
      </w:pPr>
    </w:p>
    <w:p w14:paraId="7ACAA428" w14:textId="77777777" w:rsidR="008A54D2" w:rsidRDefault="008A54D2" w:rsidP="00C22D6E">
      <w:pPr>
        <w:rPr>
          <w:b/>
          <w:bCs/>
        </w:rPr>
      </w:pPr>
    </w:p>
    <w:p w14:paraId="21D854B8" w14:textId="77777777" w:rsidR="008A54D2" w:rsidRDefault="008A54D2" w:rsidP="00C22D6E">
      <w:pPr>
        <w:rPr>
          <w:b/>
          <w:bCs/>
        </w:rPr>
      </w:pPr>
    </w:p>
    <w:p w14:paraId="6BFEAF4A" w14:textId="77777777" w:rsidR="008A54D2" w:rsidRDefault="008A54D2" w:rsidP="00C22D6E">
      <w:pPr>
        <w:rPr>
          <w:b/>
          <w:bCs/>
        </w:rPr>
      </w:pPr>
    </w:p>
    <w:p w14:paraId="67512EAA" w14:textId="77777777" w:rsidR="008A54D2" w:rsidRDefault="008A54D2" w:rsidP="00C22D6E">
      <w:pPr>
        <w:rPr>
          <w:b/>
          <w:bCs/>
        </w:rPr>
      </w:pPr>
    </w:p>
    <w:p w14:paraId="0CB82ED9" w14:textId="77777777" w:rsidR="008A54D2" w:rsidRDefault="008A54D2" w:rsidP="00C22D6E">
      <w:pPr>
        <w:rPr>
          <w:b/>
          <w:bCs/>
        </w:rPr>
      </w:pPr>
    </w:p>
    <w:p w14:paraId="773D5754" w14:textId="77777777" w:rsidR="008A54D2" w:rsidRDefault="008A54D2" w:rsidP="00C22D6E">
      <w:pPr>
        <w:rPr>
          <w:b/>
          <w:bCs/>
        </w:rPr>
      </w:pPr>
    </w:p>
    <w:p w14:paraId="0F812403" w14:textId="77777777" w:rsidR="008A54D2" w:rsidRDefault="008A54D2" w:rsidP="00C22D6E">
      <w:pPr>
        <w:rPr>
          <w:b/>
          <w:bCs/>
        </w:rPr>
      </w:pPr>
    </w:p>
    <w:p w14:paraId="44892733" w14:textId="77777777" w:rsidR="008A54D2" w:rsidRDefault="008A54D2" w:rsidP="00C22D6E">
      <w:pPr>
        <w:rPr>
          <w:b/>
          <w:bCs/>
        </w:rPr>
      </w:pPr>
    </w:p>
    <w:p w14:paraId="2559BCBB" w14:textId="77777777" w:rsidR="008A54D2" w:rsidRDefault="008A54D2" w:rsidP="00C22D6E">
      <w:pPr>
        <w:rPr>
          <w:b/>
          <w:bCs/>
        </w:rPr>
      </w:pPr>
    </w:p>
    <w:p w14:paraId="5CC6717F" w14:textId="77777777" w:rsidR="008A54D2" w:rsidRDefault="008A54D2" w:rsidP="00C22D6E">
      <w:pPr>
        <w:rPr>
          <w:b/>
          <w:bCs/>
        </w:rPr>
      </w:pPr>
    </w:p>
    <w:p w14:paraId="58FB8368" w14:textId="77777777" w:rsidR="008A54D2" w:rsidRDefault="008A54D2" w:rsidP="00C22D6E">
      <w:pPr>
        <w:rPr>
          <w:b/>
          <w:bCs/>
        </w:rPr>
      </w:pPr>
    </w:p>
    <w:p w14:paraId="36A8BA85" w14:textId="41D74628" w:rsidR="00C22D6E" w:rsidRDefault="00C22D6E" w:rsidP="00CB4744">
      <w:pPr>
        <w:pStyle w:val="Heading1"/>
      </w:pPr>
      <w:bookmarkStart w:id="17" w:name="_Toc152764293"/>
      <w:bookmarkStart w:id="18" w:name="_Toc153356550"/>
      <w:r w:rsidRPr="00C22D6E">
        <w:rPr>
          <w:b/>
          <w:bCs/>
        </w:rPr>
        <w:lastRenderedPageBreak/>
        <w:t>Supplementa</w:t>
      </w:r>
      <w:r w:rsidR="006C3266">
        <w:rPr>
          <w:b/>
          <w:bCs/>
        </w:rPr>
        <w:t>l</w:t>
      </w:r>
      <w:r w:rsidRPr="00C22D6E">
        <w:rPr>
          <w:b/>
          <w:bCs/>
        </w:rPr>
        <w:t xml:space="preserve"> Figure 3.</w:t>
      </w:r>
      <w:r w:rsidRPr="00C22D6E">
        <w:t xml:space="preserve"> Forest plot of randomized controlled trials of the effect of </w:t>
      </w:r>
      <w:r>
        <w:t xml:space="preserve">soy </w:t>
      </w:r>
      <w:r w:rsidRPr="00C22D6E">
        <w:t>isoflavones on endometrial thickness</w:t>
      </w:r>
      <w:bookmarkEnd w:id="17"/>
      <w:bookmarkEnd w:id="18"/>
      <w:r w:rsidRPr="00C22D6E">
        <w:t xml:space="preserve"> </w:t>
      </w:r>
    </w:p>
    <w:p w14:paraId="770658C3" w14:textId="77777777" w:rsidR="00023AEE" w:rsidRDefault="00023AEE"/>
    <w:p w14:paraId="1F3E18A2" w14:textId="324CC776" w:rsidR="00C22D6E" w:rsidRDefault="00023AEE">
      <w:r>
        <w:rPr>
          <w:noProof/>
        </w:rPr>
        <w:drawing>
          <wp:inline distT="0" distB="0" distL="0" distR="0" wp14:anchorId="51E05EAC" wp14:editId="49508D62">
            <wp:extent cx="5943600" cy="575500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24">
                      <a:extLst>
                        <a:ext uri="{28A0092B-C50C-407E-A947-70E740481C1C}">
                          <a14:useLocalDpi xmlns:a14="http://schemas.microsoft.com/office/drawing/2010/main" val="0"/>
                        </a:ext>
                      </a:extLst>
                    </a:blip>
                    <a:stretch>
                      <a:fillRect/>
                    </a:stretch>
                  </pic:blipFill>
                  <pic:spPr>
                    <a:xfrm>
                      <a:off x="0" y="0"/>
                      <a:ext cx="5943600" cy="5755005"/>
                    </a:xfrm>
                    <a:prstGeom prst="rect">
                      <a:avLst/>
                    </a:prstGeom>
                  </pic:spPr>
                </pic:pic>
              </a:graphicData>
            </a:graphic>
          </wp:inline>
        </w:drawing>
      </w:r>
    </w:p>
    <w:p w14:paraId="23635B46" w14:textId="77777777" w:rsidR="00023AEE" w:rsidRDefault="00023AEE" w:rsidP="00C22D6E">
      <w:pPr>
        <w:rPr>
          <w:b/>
          <w:bCs/>
        </w:rPr>
      </w:pPr>
    </w:p>
    <w:p w14:paraId="520EE500" w14:textId="77777777" w:rsidR="0098183B" w:rsidRPr="00023AEE" w:rsidRDefault="0098183B" w:rsidP="0098183B">
      <w:pPr>
        <w:rPr>
          <w:sz w:val="16"/>
          <w:szCs w:val="16"/>
        </w:rPr>
      </w:pPr>
      <w:r w:rsidRPr="00023AEE">
        <w:rPr>
          <w:color w:val="000000"/>
          <w:sz w:val="16"/>
          <w:szCs w:val="16"/>
        </w:rPr>
        <w:t>Pooled effect estimates for each subgroup and overall effect are represented by the diamonds. Data are expressed as weighted mean differences with 95% confidence intervals using the generic inverse-variance method and random effects DerSimonian-Laird model. Paired analyses were applied to all crossover trials. Inter‐study heterogeneity was assessed using the Cochrane Q statistic and quantified using the I</w:t>
      </w:r>
      <w:r w:rsidRPr="0098183B">
        <w:rPr>
          <w:color w:val="000000"/>
          <w:sz w:val="16"/>
          <w:szCs w:val="16"/>
          <w:vertAlign w:val="superscript"/>
        </w:rPr>
        <w:t>2</w:t>
      </w:r>
      <w:r w:rsidRPr="00023AEE">
        <w:rPr>
          <w:color w:val="000000"/>
          <w:sz w:val="16"/>
          <w:szCs w:val="16"/>
        </w:rPr>
        <w:t xml:space="preserve"> statistic, with significance set at p&lt;0.100 and I</w:t>
      </w:r>
      <w:r w:rsidRPr="0098183B">
        <w:rPr>
          <w:color w:val="000000"/>
          <w:sz w:val="16"/>
          <w:szCs w:val="16"/>
          <w:vertAlign w:val="superscript"/>
        </w:rPr>
        <w:t>2</w:t>
      </w:r>
      <w:r w:rsidRPr="00023AEE">
        <w:rPr>
          <w:color w:val="000000"/>
          <w:sz w:val="16"/>
          <w:szCs w:val="16"/>
        </w:rPr>
        <w:t>≥50% considered to be evidence of substantial heterogeneity. </w:t>
      </w:r>
    </w:p>
    <w:p w14:paraId="20740FA3" w14:textId="77777777" w:rsidR="0098183B" w:rsidRPr="00023AEE" w:rsidRDefault="0098183B" w:rsidP="0098183B">
      <w:pPr>
        <w:rPr>
          <w:sz w:val="16"/>
          <w:szCs w:val="16"/>
        </w:rPr>
      </w:pPr>
      <w:r w:rsidRPr="00023AEE">
        <w:rPr>
          <w:color w:val="000000"/>
          <w:sz w:val="16"/>
          <w:szCs w:val="16"/>
        </w:rPr>
        <w:t>Risk of Bias Legend: (H) High Risk; (L) Low Risk; (S) Some concerns. The letters represent the following risk of bias domains: A, randomization process; B, bias arising from period and carryover effects; C, deviations from intended intervention; D, missing outcome data; E, measurement of the outcome; F, selection of the reported result; and G, overall bias. Risk of bias arising from period and carryover effects was only applicable to crossover trials.</w:t>
      </w:r>
    </w:p>
    <w:p w14:paraId="1F88A381" w14:textId="77777777" w:rsidR="0098183B" w:rsidRPr="00023AEE" w:rsidRDefault="0098183B" w:rsidP="0098183B">
      <w:pPr>
        <w:rPr>
          <w:sz w:val="16"/>
          <w:szCs w:val="16"/>
        </w:rPr>
      </w:pPr>
      <w:r w:rsidRPr="00023AEE">
        <w:rPr>
          <w:color w:val="000000"/>
          <w:sz w:val="16"/>
          <w:szCs w:val="16"/>
        </w:rPr>
        <w:t xml:space="preserve">The pooled effect summary was calculated with the </w:t>
      </w:r>
      <w:r w:rsidRPr="00023AEE">
        <w:rPr>
          <w:color w:val="202122"/>
          <w:sz w:val="16"/>
          <w:szCs w:val="16"/>
        </w:rPr>
        <w:t>χ</w:t>
      </w:r>
      <w:r w:rsidRPr="00023AEE">
        <w:rPr>
          <w:color w:val="202122"/>
          <w:sz w:val="16"/>
          <w:szCs w:val="16"/>
          <w:vertAlign w:val="superscript"/>
        </w:rPr>
        <w:t>2</w:t>
      </w:r>
      <w:r w:rsidRPr="00023AEE">
        <w:rPr>
          <w:color w:val="000000"/>
          <w:sz w:val="16"/>
          <w:szCs w:val="16"/>
        </w:rPr>
        <w:t xml:space="preserve"> test. The test for group differences was calculated with meta-regression, which uses the Wald test. </w:t>
      </w:r>
    </w:p>
    <w:p w14:paraId="57F543AF" w14:textId="77777777" w:rsidR="0098183B" w:rsidRDefault="0098183B" w:rsidP="0098183B">
      <w:pPr>
        <w:rPr>
          <w:color w:val="000000"/>
          <w:sz w:val="16"/>
          <w:szCs w:val="16"/>
        </w:rPr>
      </w:pPr>
      <w:r w:rsidRPr="00023AEE">
        <w:rPr>
          <w:color w:val="000000"/>
          <w:sz w:val="16"/>
          <w:szCs w:val="16"/>
        </w:rPr>
        <w:t>CI, confidence interval</w:t>
      </w:r>
    </w:p>
    <w:p w14:paraId="34B6A416" w14:textId="5DC1AEF7" w:rsidR="00C16AF4" w:rsidRDefault="00C16AF4" w:rsidP="00023AEE">
      <w:pPr>
        <w:rPr>
          <w:color w:val="000000"/>
          <w:sz w:val="16"/>
          <w:szCs w:val="16"/>
        </w:rPr>
      </w:pPr>
    </w:p>
    <w:p w14:paraId="6A6224CD" w14:textId="522ABBF7" w:rsidR="00C16AF4" w:rsidRDefault="00C16AF4" w:rsidP="00023AEE">
      <w:pPr>
        <w:rPr>
          <w:color w:val="000000"/>
          <w:sz w:val="16"/>
          <w:szCs w:val="16"/>
        </w:rPr>
      </w:pPr>
    </w:p>
    <w:p w14:paraId="4C79D75C" w14:textId="7947BC16" w:rsidR="00C16AF4" w:rsidRDefault="00C16AF4" w:rsidP="00023AEE">
      <w:pPr>
        <w:rPr>
          <w:color w:val="000000"/>
          <w:sz w:val="16"/>
          <w:szCs w:val="16"/>
        </w:rPr>
      </w:pPr>
    </w:p>
    <w:p w14:paraId="243D9B94" w14:textId="7AFEE839" w:rsidR="00C22D6E" w:rsidRDefault="00C22D6E" w:rsidP="00CB4744">
      <w:pPr>
        <w:pStyle w:val="Heading1"/>
      </w:pPr>
      <w:bookmarkStart w:id="19" w:name="_Toc152764294"/>
      <w:bookmarkStart w:id="20" w:name="_Toc153356551"/>
      <w:r w:rsidRPr="00C22D6E">
        <w:rPr>
          <w:b/>
          <w:bCs/>
        </w:rPr>
        <w:lastRenderedPageBreak/>
        <w:t>Supplementa</w:t>
      </w:r>
      <w:r w:rsidR="006C3266">
        <w:rPr>
          <w:b/>
          <w:bCs/>
        </w:rPr>
        <w:t>l</w:t>
      </w:r>
      <w:r w:rsidRPr="00C22D6E">
        <w:rPr>
          <w:b/>
          <w:bCs/>
        </w:rPr>
        <w:t xml:space="preserve"> Figure 4.</w:t>
      </w:r>
      <w:r w:rsidRPr="00C22D6E">
        <w:t xml:space="preserve"> Forest plot of randomized controlled trials of the effect of </w:t>
      </w:r>
      <w:r>
        <w:t xml:space="preserve">soy </w:t>
      </w:r>
      <w:r w:rsidRPr="00C22D6E">
        <w:t>isoflavones on vaginal maturation index</w:t>
      </w:r>
      <w:bookmarkEnd w:id="19"/>
      <w:bookmarkEnd w:id="20"/>
      <w:r w:rsidRPr="00C22D6E">
        <w:t xml:space="preserve"> </w:t>
      </w:r>
    </w:p>
    <w:p w14:paraId="18D62030" w14:textId="77777777" w:rsidR="00C16AF4" w:rsidRDefault="00C16AF4" w:rsidP="00C22D6E"/>
    <w:p w14:paraId="3E4A2746" w14:textId="3C4A0E24" w:rsidR="00C22D6E" w:rsidRDefault="00C16AF4">
      <w:r>
        <w:rPr>
          <w:noProof/>
        </w:rPr>
        <w:drawing>
          <wp:inline distT="0" distB="0" distL="0" distR="0" wp14:anchorId="20811FAE" wp14:editId="72AEF06A">
            <wp:extent cx="5943600" cy="512318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25">
                      <a:extLst>
                        <a:ext uri="{28A0092B-C50C-407E-A947-70E740481C1C}">
                          <a14:useLocalDpi xmlns:a14="http://schemas.microsoft.com/office/drawing/2010/main" val="0"/>
                        </a:ext>
                      </a:extLst>
                    </a:blip>
                    <a:stretch>
                      <a:fillRect/>
                    </a:stretch>
                  </pic:blipFill>
                  <pic:spPr>
                    <a:xfrm>
                      <a:off x="0" y="0"/>
                      <a:ext cx="5943600" cy="5123180"/>
                    </a:xfrm>
                    <a:prstGeom prst="rect">
                      <a:avLst/>
                    </a:prstGeom>
                  </pic:spPr>
                </pic:pic>
              </a:graphicData>
            </a:graphic>
          </wp:inline>
        </w:drawing>
      </w:r>
    </w:p>
    <w:p w14:paraId="0500D6FB" w14:textId="77777777" w:rsidR="00C16AF4" w:rsidRDefault="00C16AF4" w:rsidP="00C16AF4">
      <w:pPr>
        <w:rPr>
          <w:color w:val="000000"/>
          <w:sz w:val="16"/>
          <w:szCs w:val="16"/>
        </w:rPr>
      </w:pPr>
    </w:p>
    <w:p w14:paraId="79B27D83" w14:textId="29FDB476" w:rsidR="00C16AF4" w:rsidRPr="00023AEE" w:rsidRDefault="00C16AF4" w:rsidP="00C16AF4">
      <w:pPr>
        <w:rPr>
          <w:sz w:val="16"/>
          <w:szCs w:val="16"/>
        </w:rPr>
      </w:pPr>
      <w:r w:rsidRPr="00023AEE">
        <w:rPr>
          <w:color w:val="000000"/>
          <w:sz w:val="16"/>
          <w:szCs w:val="16"/>
        </w:rPr>
        <w:t>Pooled effect estimates for each subgroup and overall effect are represented by the diamonds. Data are expressed as weighted mean differences with 95% confidence intervals using the generic inverse-variance method and random effects DerSimonian-Laird model. Paired analyses were applied to all crossover trials. Inter‐study heterogeneity was assessed using the Cochrane Q statistic and quantified using the I</w:t>
      </w:r>
      <w:r w:rsidRPr="0098183B">
        <w:rPr>
          <w:color w:val="000000"/>
          <w:sz w:val="16"/>
          <w:szCs w:val="16"/>
          <w:vertAlign w:val="superscript"/>
        </w:rPr>
        <w:t>2</w:t>
      </w:r>
      <w:r w:rsidRPr="00023AEE">
        <w:rPr>
          <w:color w:val="000000"/>
          <w:sz w:val="16"/>
          <w:szCs w:val="16"/>
        </w:rPr>
        <w:t xml:space="preserve"> statistic, with significance set at p&lt;0.100 and I</w:t>
      </w:r>
      <w:r w:rsidRPr="0098183B">
        <w:rPr>
          <w:color w:val="000000"/>
          <w:sz w:val="16"/>
          <w:szCs w:val="16"/>
          <w:vertAlign w:val="superscript"/>
        </w:rPr>
        <w:t>2</w:t>
      </w:r>
      <w:r w:rsidRPr="00023AEE">
        <w:rPr>
          <w:color w:val="000000"/>
          <w:sz w:val="16"/>
          <w:szCs w:val="16"/>
        </w:rPr>
        <w:t>≥50% considered to be evidence of substantial heterogeneity. </w:t>
      </w:r>
    </w:p>
    <w:p w14:paraId="4F85FD14" w14:textId="77777777" w:rsidR="00C16AF4" w:rsidRPr="00023AEE" w:rsidRDefault="00C16AF4" w:rsidP="00C16AF4">
      <w:pPr>
        <w:rPr>
          <w:sz w:val="16"/>
          <w:szCs w:val="16"/>
        </w:rPr>
      </w:pPr>
      <w:r w:rsidRPr="00023AEE">
        <w:rPr>
          <w:color w:val="000000"/>
          <w:sz w:val="16"/>
          <w:szCs w:val="16"/>
        </w:rPr>
        <w:t>Risk of Bias Legend: (H) High Risk; (L) Low Risk; (S) Some concerns. The letters represent the following risk of bias domains: A, randomization process; B, bias arising from period and carryover effects; C, deviations from intended intervention; D, missing outcome data; E, measurement of the outcome; F, selection of the reported result; and G, overall bias. Risk of bias arising from period and carryover effects was only applicable to crossover trials.</w:t>
      </w:r>
    </w:p>
    <w:p w14:paraId="624AD715" w14:textId="77777777" w:rsidR="00C16AF4" w:rsidRPr="00023AEE" w:rsidRDefault="00C16AF4" w:rsidP="00C16AF4">
      <w:pPr>
        <w:rPr>
          <w:sz w:val="16"/>
          <w:szCs w:val="16"/>
        </w:rPr>
      </w:pPr>
      <w:r w:rsidRPr="00023AEE">
        <w:rPr>
          <w:color w:val="000000"/>
          <w:sz w:val="16"/>
          <w:szCs w:val="16"/>
        </w:rPr>
        <w:t xml:space="preserve">The pooled effect summary was calculated with the </w:t>
      </w:r>
      <w:r w:rsidRPr="00023AEE">
        <w:rPr>
          <w:color w:val="202122"/>
          <w:sz w:val="16"/>
          <w:szCs w:val="16"/>
        </w:rPr>
        <w:t>χ</w:t>
      </w:r>
      <w:r w:rsidRPr="00023AEE">
        <w:rPr>
          <w:color w:val="202122"/>
          <w:sz w:val="16"/>
          <w:szCs w:val="16"/>
          <w:vertAlign w:val="superscript"/>
        </w:rPr>
        <w:t>2</w:t>
      </w:r>
      <w:r w:rsidRPr="00023AEE">
        <w:rPr>
          <w:color w:val="000000"/>
          <w:sz w:val="16"/>
          <w:szCs w:val="16"/>
        </w:rPr>
        <w:t xml:space="preserve"> test. The test for group differences was calculated with meta-regression, which uses the Wald test. </w:t>
      </w:r>
    </w:p>
    <w:p w14:paraId="6C2A3344" w14:textId="77777777" w:rsidR="00C16AF4" w:rsidRDefault="00C16AF4" w:rsidP="00C16AF4">
      <w:pPr>
        <w:rPr>
          <w:color w:val="000000"/>
          <w:sz w:val="16"/>
          <w:szCs w:val="16"/>
        </w:rPr>
      </w:pPr>
      <w:r w:rsidRPr="00023AEE">
        <w:rPr>
          <w:color w:val="000000"/>
          <w:sz w:val="16"/>
          <w:szCs w:val="16"/>
        </w:rPr>
        <w:t>CI, confidence interval</w:t>
      </w:r>
    </w:p>
    <w:p w14:paraId="5A5A2BD6" w14:textId="77777777" w:rsidR="00C16AF4" w:rsidRDefault="00C16AF4" w:rsidP="00C22D6E">
      <w:pPr>
        <w:rPr>
          <w:b/>
          <w:bCs/>
        </w:rPr>
      </w:pPr>
    </w:p>
    <w:p w14:paraId="3D4BA304" w14:textId="77777777" w:rsidR="00C16AF4" w:rsidRDefault="00C16AF4" w:rsidP="00C22D6E">
      <w:pPr>
        <w:rPr>
          <w:b/>
          <w:bCs/>
        </w:rPr>
      </w:pPr>
    </w:p>
    <w:p w14:paraId="2A9713B2" w14:textId="77777777" w:rsidR="00C16AF4" w:rsidRDefault="00C16AF4" w:rsidP="00C22D6E">
      <w:pPr>
        <w:rPr>
          <w:b/>
          <w:bCs/>
        </w:rPr>
      </w:pPr>
    </w:p>
    <w:p w14:paraId="7C3E6875" w14:textId="77777777" w:rsidR="00C16AF4" w:rsidRDefault="00C16AF4" w:rsidP="00C22D6E">
      <w:pPr>
        <w:rPr>
          <w:b/>
          <w:bCs/>
        </w:rPr>
      </w:pPr>
    </w:p>
    <w:p w14:paraId="31C494AB" w14:textId="77777777" w:rsidR="00C16AF4" w:rsidRDefault="00C16AF4" w:rsidP="00C22D6E">
      <w:pPr>
        <w:rPr>
          <w:b/>
          <w:bCs/>
        </w:rPr>
      </w:pPr>
    </w:p>
    <w:p w14:paraId="18F1D699" w14:textId="5200DBD5" w:rsidR="00C16AF4" w:rsidRDefault="00C22D6E" w:rsidP="00CB4744">
      <w:pPr>
        <w:pStyle w:val="Heading1"/>
      </w:pPr>
      <w:bookmarkStart w:id="21" w:name="_Toc152764295"/>
      <w:bookmarkStart w:id="22" w:name="_Toc153356552"/>
      <w:r w:rsidRPr="00C22D6E">
        <w:rPr>
          <w:b/>
          <w:bCs/>
        </w:rPr>
        <w:lastRenderedPageBreak/>
        <w:t>Supplementa</w:t>
      </w:r>
      <w:r w:rsidR="006C3266">
        <w:rPr>
          <w:b/>
          <w:bCs/>
        </w:rPr>
        <w:t>l</w:t>
      </w:r>
      <w:r w:rsidRPr="00C22D6E">
        <w:rPr>
          <w:b/>
          <w:bCs/>
        </w:rPr>
        <w:t xml:space="preserve"> Figure 5.</w:t>
      </w:r>
      <w:r w:rsidRPr="00C22D6E">
        <w:t xml:space="preserve"> Forest plot of randomized controlled trials of the effect of </w:t>
      </w:r>
      <w:r>
        <w:t xml:space="preserve">soy </w:t>
      </w:r>
      <w:r w:rsidRPr="00C22D6E">
        <w:t>isoflavones on follicle-stimulating hormone</w:t>
      </w:r>
      <w:bookmarkEnd w:id="21"/>
      <w:bookmarkEnd w:id="22"/>
    </w:p>
    <w:p w14:paraId="5CC796E6" w14:textId="77777777" w:rsidR="00C16AF4" w:rsidRDefault="00C16AF4"/>
    <w:p w14:paraId="02E59640" w14:textId="7BED61A3" w:rsidR="00C22D6E" w:rsidRDefault="00C16AF4">
      <w:r>
        <w:rPr>
          <w:noProof/>
        </w:rPr>
        <w:drawing>
          <wp:inline distT="0" distB="0" distL="0" distR="0" wp14:anchorId="3E653A4E" wp14:editId="3750E67F">
            <wp:extent cx="5130185" cy="7691717"/>
            <wp:effectExtent l="0" t="0" r="3175" b="190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pic:nvPicPr>
                  <pic:blipFill>
                    <a:blip r:embed="rId26">
                      <a:extLst>
                        <a:ext uri="{28A0092B-C50C-407E-A947-70E740481C1C}">
                          <a14:useLocalDpi xmlns:a14="http://schemas.microsoft.com/office/drawing/2010/main" val="0"/>
                        </a:ext>
                      </a:extLst>
                    </a:blip>
                    <a:stretch>
                      <a:fillRect/>
                    </a:stretch>
                  </pic:blipFill>
                  <pic:spPr>
                    <a:xfrm>
                      <a:off x="0" y="0"/>
                      <a:ext cx="5130185" cy="7691717"/>
                    </a:xfrm>
                    <a:prstGeom prst="rect">
                      <a:avLst/>
                    </a:prstGeom>
                  </pic:spPr>
                </pic:pic>
              </a:graphicData>
            </a:graphic>
          </wp:inline>
        </w:drawing>
      </w:r>
    </w:p>
    <w:p w14:paraId="5F7F0F03" w14:textId="77777777" w:rsidR="0098183B" w:rsidRPr="00023AEE" w:rsidRDefault="0098183B" w:rsidP="0098183B">
      <w:pPr>
        <w:rPr>
          <w:sz w:val="16"/>
          <w:szCs w:val="16"/>
        </w:rPr>
      </w:pPr>
      <w:r w:rsidRPr="00023AEE">
        <w:rPr>
          <w:color w:val="000000"/>
          <w:sz w:val="16"/>
          <w:szCs w:val="16"/>
        </w:rPr>
        <w:lastRenderedPageBreak/>
        <w:t>Pooled effect estimates for each subgroup and overall effect are represented by the diamonds. Data are expressed as weighted mean differences with 95% confidence intervals using the generic inverse-variance method and random effects DerSimonian-Laird model. Paired analyses were applied to all crossover trials. Inter‐study heterogeneity was assessed using the Cochrane Q statistic and quantified using the I</w:t>
      </w:r>
      <w:r w:rsidRPr="0098183B">
        <w:rPr>
          <w:color w:val="000000"/>
          <w:sz w:val="16"/>
          <w:szCs w:val="16"/>
          <w:vertAlign w:val="superscript"/>
        </w:rPr>
        <w:t>2</w:t>
      </w:r>
      <w:r w:rsidRPr="00023AEE">
        <w:rPr>
          <w:color w:val="000000"/>
          <w:sz w:val="16"/>
          <w:szCs w:val="16"/>
        </w:rPr>
        <w:t xml:space="preserve"> statistic, with significance set at p&lt;0.100 and I</w:t>
      </w:r>
      <w:r w:rsidRPr="0098183B">
        <w:rPr>
          <w:color w:val="000000"/>
          <w:sz w:val="16"/>
          <w:szCs w:val="16"/>
          <w:vertAlign w:val="superscript"/>
        </w:rPr>
        <w:t>2</w:t>
      </w:r>
      <w:r w:rsidRPr="00023AEE">
        <w:rPr>
          <w:color w:val="000000"/>
          <w:sz w:val="16"/>
          <w:szCs w:val="16"/>
        </w:rPr>
        <w:t>≥50% considered to be evidence of substantial heterogeneity. </w:t>
      </w:r>
    </w:p>
    <w:p w14:paraId="286FC0E8" w14:textId="77777777" w:rsidR="0098183B" w:rsidRPr="00023AEE" w:rsidRDefault="0098183B" w:rsidP="0098183B">
      <w:pPr>
        <w:rPr>
          <w:sz w:val="16"/>
          <w:szCs w:val="16"/>
        </w:rPr>
      </w:pPr>
      <w:r w:rsidRPr="00023AEE">
        <w:rPr>
          <w:color w:val="000000"/>
          <w:sz w:val="16"/>
          <w:szCs w:val="16"/>
        </w:rPr>
        <w:t>Risk of Bias Legend: (H) High Risk; (L) Low Risk; (S) Some concerns. The letters represent the following risk of bias domains: A, randomization process; B, bias arising from period and carryover effects; C, deviations from intended intervention; D, missing outcome data; E, measurement of the outcome; F, selection of the reported result; and G, overall bias. Risk of bias arising from period and carryover effects was only applicable to crossover trials.</w:t>
      </w:r>
    </w:p>
    <w:p w14:paraId="62483D73" w14:textId="77777777" w:rsidR="0098183B" w:rsidRPr="00023AEE" w:rsidRDefault="0098183B" w:rsidP="0098183B">
      <w:pPr>
        <w:rPr>
          <w:sz w:val="16"/>
          <w:szCs w:val="16"/>
        </w:rPr>
      </w:pPr>
      <w:r w:rsidRPr="00023AEE">
        <w:rPr>
          <w:color w:val="000000"/>
          <w:sz w:val="16"/>
          <w:szCs w:val="16"/>
        </w:rPr>
        <w:t xml:space="preserve">The pooled effect summary was calculated with the </w:t>
      </w:r>
      <w:r w:rsidRPr="00023AEE">
        <w:rPr>
          <w:color w:val="202122"/>
          <w:sz w:val="16"/>
          <w:szCs w:val="16"/>
        </w:rPr>
        <w:t>χ</w:t>
      </w:r>
      <w:r w:rsidRPr="00023AEE">
        <w:rPr>
          <w:color w:val="202122"/>
          <w:sz w:val="16"/>
          <w:szCs w:val="16"/>
          <w:vertAlign w:val="superscript"/>
        </w:rPr>
        <w:t>2</w:t>
      </w:r>
      <w:r w:rsidRPr="00023AEE">
        <w:rPr>
          <w:color w:val="000000"/>
          <w:sz w:val="16"/>
          <w:szCs w:val="16"/>
        </w:rPr>
        <w:t xml:space="preserve"> test. The test for group differences was calculated with meta-regression, which uses the Wald test. </w:t>
      </w:r>
    </w:p>
    <w:p w14:paraId="086A5553" w14:textId="77777777" w:rsidR="0098183B" w:rsidRDefault="0098183B" w:rsidP="0098183B">
      <w:pPr>
        <w:rPr>
          <w:color w:val="000000"/>
          <w:sz w:val="16"/>
          <w:szCs w:val="16"/>
        </w:rPr>
      </w:pPr>
      <w:r w:rsidRPr="00023AEE">
        <w:rPr>
          <w:color w:val="000000"/>
          <w:sz w:val="16"/>
          <w:szCs w:val="16"/>
        </w:rPr>
        <w:t>CI, confidence interval</w:t>
      </w:r>
    </w:p>
    <w:p w14:paraId="70A85C35" w14:textId="2D799632" w:rsidR="00C16AF4" w:rsidRDefault="00C16AF4">
      <w:pPr>
        <w:rPr>
          <w:b/>
          <w:bCs/>
        </w:rPr>
      </w:pPr>
      <w:r>
        <w:rPr>
          <w:b/>
          <w:bCs/>
        </w:rPr>
        <w:br w:type="page"/>
      </w:r>
    </w:p>
    <w:p w14:paraId="218E0B75" w14:textId="55754A13" w:rsidR="00C22D6E" w:rsidRDefault="00C22D6E" w:rsidP="00CB4744">
      <w:pPr>
        <w:pStyle w:val="Heading1"/>
      </w:pPr>
      <w:bookmarkStart w:id="23" w:name="_Toc152764296"/>
      <w:bookmarkStart w:id="24" w:name="_Toc153356553"/>
      <w:r w:rsidRPr="00C22D6E">
        <w:rPr>
          <w:b/>
          <w:bCs/>
        </w:rPr>
        <w:lastRenderedPageBreak/>
        <w:t>Supplementa</w:t>
      </w:r>
      <w:r w:rsidR="006C3266">
        <w:rPr>
          <w:b/>
          <w:bCs/>
        </w:rPr>
        <w:t>l</w:t>
      </w:r>
      <w:r w:rsidRPr="00C22D6E">
        <w:rPr>
          <w:b/>
          <w:bCs/>
        </w:rPr>
        <w:t xml:space="preserve"> Figure 6.</w:t>
      </w:r>
      <w:r w:rsidRPr="00C22D6E">
        <w:t xml:space="preserve"> Forest plot of randomized controlled trials of the effect of </w:t>
      </w:r>
      <w:r>
        <w:t xml:space="preserve">soy </w:t>
      </w:r>
      <w:r w:rsidRPr="00C22D6E">
        <w:t>isoflavones on estradiol</w:t>
      </w:r>
      <w:bookmarkEnd w:id="23"/>
      <w:bookmarkEnd w:id="24"/>
      <w:r w:rsidRPr="00C22D6E">
        <w:t xml:space="preserve"> </w:t>
      </w:r>
    </w:p>
    <w:p w14:paraId="3C3BEBA7" w14:textId="77777777" w:rsidR="00C16AF4" w:rsidRPr="00C22D6E" w:rsidRDefault="00C16AF4" w:rsidP="00C22D6E"/>
    <w:p w14:paraId="459C8CF7" w14:textId="68A0E29B" w:rsidR="00C22D6E" w:rsidRDefault="00C16AF4" w:rsidP="00C22D6E">
      <w:r>
        <w:rPr>
          <w:noProof/>
        </w:rPr>
        <w:drawing>
          <wp:inline distT="0" distB="0" distL="0" distR="0" wp14:anchorId="6402739F" wp14:editId="1031FC18">
            <wp:extent cx="5584008" cy="7700682"/>
            <wp:effectExtent l="0" t="0" r="444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27">
                      <a:extLst>
                        <a:ext uri="{28A0092B-C50C-407E-A947-70E740481C1C}">
                          <a14:useLocalDpi xmlns:a14="http://schemas.microsoft.com/office/drawing/2010/main" val="0"/>
                        </a:ext>
                      </a:extLst>
                    </a:blip>
                    <a:stretch>
                      <a:fillRect/>
                    </a:stretch>
                  </pic:blipFill>
                  <pic:spPr>
                    <a:xfrm>
                      <a:off x="0" y="0"/>
                      <a:ext cx="5594584" cy="7715267"/>
                    </a:xfrm>
                    <a:prstGeom prst="rect">
                      <a:avLst/>
                    </a:prstGeom>
                  </pic:spPr>
                </pic:pic>
              </a:graphicData>
            </a:graphic>
          </wp:inline>
        </w:drawing>
      </w:r>
    </w:p>
    <w:p w14:paraId="7257FDE2" w14:textId="77777777" w:rsidR="0098183B" w:rsidRPr="00023AEE" w:rsidRDefault="0098183B" w:rsidP="0098183B">
      <w:pPr>
        <w:rPr>
          <w:sz w:val="16"/>
          <w:szCs w:val="16"/>
        </w:rPr>
      </w:pPr>
      <w:r w:rsidRPr="00023AEE">
        <w:rPr>
          <w:color w:val="000000"/>
          <w:sz w:val="16"/>
          <w:szCs w:val="16"/>
        </w:rPr>
        <w:lastRenderedPageBreak/>
        <w:t>Pooled effect estimates for each subgroup and overall effect are represented by the diamonds. Data are expressed as weighted mean differences with 95% confidence intervals using the generic inverse-variance method and random effects DerSimonian-Laird model. Paired analyses were applied to all crossover trials. Inter‐study heterogeneity was assessed using the Cochrane Q statistic and quantified using the I</w:t>
      </w:r>
      <w:r w:rsidRPr="0098183B">
        <w:rPr>
          <w:color w:val="000000"/>
          <w:sz w:val="16"/>
          <w:szCs w:val="16"/>
          <w:vertAlign w:val="superscript"/>
        </w:rPr>
        <w:t>2</w:t>
      </w:r>
      <w:r w:rsidRPr="00023AEE">
        <w:rPr>
          <w:color w:val="000000"/>
          <w:sz w:val="16"/>
          <w:szCs w:val="16"/>
        </w:rPr>
        <w:t xml:space="preserve"> statistic, with significance set at p&lt;0.100 and I</w:t>
      </w:r>
      <w:r w:rsidRPr="0098183B">
        <w:rPr>
          <w:color w:val="000000"/>
          <w:sz w:val="16"/>
          <w:szCs w:val="16"/>
          <w:vertAlign w:val="superscript"/>
        </w:rPr>
        <w:t>2</w:t>
      </w:r>
      <w:r w:rsidRPr="00023AEE">
        <w:rPr>
          <w:color w:val="000000"/>
          <w:sz w:val="16"/>
          <w:szCs w:val="16"/>
        </w:rPr>
        <w:t>≥50% considered to be evidence of substantial heterogeneity. </w:t>
      </w:r>
    </w:p>
    <w:p w14:paraId="34B3B1CD" w14:textId="77777777" w:rsidR="0098183B" w:rsidRPr="00023AEE" w:rsidRDefault="0098183B" w:rsidP="0098183B">
      <w:pPr>
        <w:rPr>
          <w:sz w:val="16"/>
          <w:szCs w:val="16"/>
        </w:rPr>
      </w:pPr>
      <w:r w:rsidRPr="00023AEE">
        <w:rPr>
          <w:color w:val="000000"/>
          <w:sz w:val="16"/>
          <w:szCs w:val="16"/>
        </w:rPr>
        <w:t>Risk of Bias Legend: (H) High Risk; (L) Low Risk; (S) Some concerns. The letters represent the following risk of bias domains: A, randomization process; B, bias arising from period and carryover effects; C, deviations from intended intervention; D, missing outcome data; E, measurement of the outcome; F, selection of the reported result; and G, overall bias. Risk of bias arising from period and carryover effects was only applicable to crossover trials.</w:t>
      </w:r>
    </w:p>
    <w:p w14:paraId="6CB8D21F" w14:textId="77777777" w:rsidR="0098183B" w:rsidRPr="00023AEE" w:rsidRDefault="0098183B" w:rsidP="0098183B">
      <w:pPr>
        <w:rPr>
          <w:sz w:val="16"/>
          <w:szCs w:val="16"/>
        </w:rPr>
      </w:pPr>
      <w:r w:rsidRPr="00023AEE">
        <w:rPr>
          <w:color w:val="000000"/>
          <w:sz w:val="16"/>
          <w:szCs w:val="16"/>
        </w:rPr>
        <w:t xml:space="preserve">The pooled effect summary was calculated with the </w:t>
      </w:r>
      <w:r w:rsidRPr="00023AEE">
        <w:rPr>
          <w:color w:val="202122"/>
          <w:sz w:val="16"/>
          <w:szCs w:val="16"/>
        </w:rPr>
        <w:t>χ</w:t>
      </w:r>
      <w:r w:rsidRPr="00023AEE">
        <w:rPr>
          <w:color w:val="202122"/>
          <w:sz w:val="16"/>
          <w:szCs w:val="16"/>
          <w:vertAlign w:val="superscript"/>
        </w:rPr>
        <w:t>2</w:t>
      </w:r>
      <w:r w:rsidRPr="00023AEE">
        <w:rPr>
          <w:color w:val="000000"/>
          <w:sz w:val="16"/>
          <w:szCs w:val="16"/>
        </w:rPr>
        <w:t xml:space="preserve"> test. The test for group differences was calculated with meta-regression, which uses the Wald test. </w:t>
      </w:r>
    </w:p>
    <w:p w14:paraId="0961E880" w14:textId="77777777" w:rsidR="0098183B" w:rsidRDefault="0098183B" w:rsidP="0098183B">
      <w:pPr>
        <w:rPr>
          <w:color w:val="000000"/>
          <w:sz w:val="16"/>
          <w:szCs w:val="16"/>
        </w:rPr>
      </w:pPr>
      <w:r w:rsidRPr="00023AEE">
        <w:rPr>
          <w:color w:val="000000"/>
          <w:sz w:val="16"/>
          <w:szCs w:val="16"/>
        </w:rPr>
        <w:t>CI, confidence interval</w:t>
      </w:r>
    </w:p>
    <w:p w14:paraId="51FB5A9E" w14:textId="797B6777" w:rsidR="00C16AF4" w:rsidRDefault="00C16AF4" w:rsidP="00C22D6E">
      <w:r>
        <w:br w:type="page"/>
      </w:r>
    </w:p>
    <w:p w14:paraId="13D7D54C" w14:textId="01B1BE91" w:rsidR="004471F3" w:rsidRPr="004471F3" w:rsidRDefault="00C16AF4" w:rsidP="00CB4744">
      <w:pPr>
        <w:pStyle w:val="Heading1"/>
      </w:pPr>
      <w:bookmarkStart w:id="25" w:name="_Toc152764297"/>
      <w:bookmarkStart w:id="26" w:name="_Toc153356554"/>
      <w:r w:rsidRPr="004471F3">
        <w:rPr>
          <w:b/>
          <w:bCs/>
        </w:rPr>
        <w:lastRenderedPageBreak/>
        <w:t>Supplementa</w:t>
      </w:r>
      <w:r w:rsidR="006C3266">
        <w:rPr>
          <w:b/>
          <w:bCs/>
        </w:rPr>
        <w:t>l</w:t>
      </w:r>
      <w:r w:rsidRPr="004471F3">
        <w:rPr>
          <w:b/>
          <w:bCs/>
        </w:rPr>
        <w:t xml:space="preserve"> Figure 7.</w:t>
      </w:r>
      <w:r w:rsidRPr="004471F3">
        <w:t xml:space="preserve"> </w:t>
      </w:r>
      <w:r w:rsidR="004471F3" w:rsidRPr="004471F3">
        <w:t xml:space="preserve">Sensitivity analysis of the systematic removal of each trial for the effect of </w:t>
      </w:r>
      <w:r w:rsidR="004471F3">
        <w:t xml:space="preserve">soy </w:t>
      </w:r>
      <w:r w:rsidR="004471F3" w:rsidRPr="004471F3">
        <w:t>isoflavones on endometrial thickness</w:t>
      </w:r>
      <w:bookmarkEnd w:id="25"/>
      <w:bookmarkEnd w:id="26"/>
      <w:r w:rsidR="004471F3" w:rsidRPr="004471F3">
        <w:t xml:space="preserve"> </w:t>
      </w:r>
    </w:p>
    <w:p w14:paraId="0E3D47EE" w14:textId="1A5F9621" w:rsidR="00C16AF4" w:rsidRPr="004471F3" w:rsidRDefault="00C16AF4" w:rsidP="00C22D6E">
      <w:pPr>
        <w:rPr>
          <w:b/>
          <w:bCs/>
        </w:rPr>
      </w:pPr>
    </w:p>
    <w:p w14:paraId="5A0124E0" w14:textId="572CD4EF" w:rsidR="00C22D6E" w:rsidRPr="00C22D6E" w:rsidRDefault="004471F3" w:rsidP="00C22D6E">
      <w:r>
        <w:rPr>
          <w:noProof/>
        </w:rPr>
        <w:drawing>
          <wp:inline distT="0" distB="0" distL="0" distR="0" wp14:anchorId="6DF1C6A3" wp14:editId="59E2759F">
            <wp:extent cx="5943600" cy="400431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28">
                      <a:extLst>
                        <a:ext uri="{28A0092B-C50C-407E-A947-70E740481C1C}">
                          <a14:useLocalDpi xmlns:a14="http://schemas.microsoft.com/office/drawing/2010/main" val="0"/>
                        </a:ext>
                      </a:extLst>
                    </a:blip>
                    <a:stretch>
                      <a:fillRect/>
                    </a:stretch>
                  </pic:blipFill>
                  <pic:spPr>
                    <a:xfrm>
                      <a:off x="0" y="0"/>
                      <a:ext cx="5943600" cy="4004310"/>
                    </a:xfrm>
                    <a:prstGeom prst="rect">
                      <a:avLst/>
                    </a:prstGeom>
                  </pic:spPr>
                </pic:pic>
              </a:graphicData>
            </a:graphic>
          </wp:inline>
        </w:drawing>
      </w:r>
    </w:p>
    <w:p w14:paraId="73FBD81B" w14:textId="5FC73737" w:rsidR="00C22D6E" w:rsidRDefault="00C22D6E" w:rsidP="00C22D6E"/>
    <w:p w14:paraId="789E2CBE" w14:textId="02253669" w:rsidR="004471F3" w:rsidRPr="004471F3" w:rsidRDefault="004471F3" w:rsidP="00C22D6E">
      <w:pPr>
        <w:rPr>
          <w:sz w:val="16"/>
          <w:szCs w:val="16"/>
        </w:rPr>
      </w:pPr>
      <w:r>
        <w:rPr>
          <w:sz w:val="16"/>
          <w:szCs w:val="16"/>
        </w:rPr>
        <w:t>CI, confidence interval</w:t>
      </w:r>
    </w:p>
    <w:p w14:paraId="081CE5B0" w14:textId="1EAF4273" w:rsidR="004471F3" w:rsidRDefault="004471F3">
      <w:r>
        <w:br w:type="page"/>
      </w:r>
    </w:p>
    <w:p w14:paraId="1F4C79B8" w14:textId="03FFD103" w:rsidR="004471F3" w:rsidRPr="004471F3" w:rsidRDefault="004471F3" w:rsidP="00CB4744">
      <w:pPr>
        <w:pStyle w:val="Heading1"/>
      </w:pPr>
      <w:bookmarkStart w:id="27" w:name="_Toc152764298"/>
      <w:bookmarkStart w:id="28" w:name="_Toc153356555"/>
      <w:r w:rsidRPr="004471F3">
        <w:rPr>
          <w:b/>
          <w:bCs/>
        </w:rPr>
        <w:lastRenderedPageBreak/>
        <w:t>Supplementa</w:t>
      </w:r>
      <w:r w:rsidR="006C3266">
        <w:rPr>
          <w:b/>
          <w:bCs/>
        </w:rPr>
        <w:t>l</w:t>
      </w:r>
      <w:r w:rsidRPr="004471F3">
        <w:rPr>
          <w:b/>
          <w:bCs/>
        </w:rPr>
        <w:t xml:space="preserve"> Figure </w:t>
      </w:r>
      <w:r>
        <w:rPr>
          <w:b/>
          <w:bCs/>
        </w:rPr>
        <w:t>8</w:t>
      </w:r>
      <w:r w:rsidRPr="004471F3">
        <w:rPr>
          <w:b/>
          <w:bCs/>
        </w:rPr>
        <w:t>.</w:t>
      </w:r>
      <w:r w:rsidRPr="004471F3">
        <w:t xml:space="preserve"> Sensitivity analysis of the systematic removal of each trial for the effect of </w:t>
      </w:r>
      <w:r>
        <w:t xml:space="preserve">soy </w:t>
      </w:r>
      <w:r w:rsidRPr="004471F3">
        <w:t xml:space="preserve">isoflavones on </w:t>
      </w:r>
      <w:r>
        <w:t>vaginal maturation index</w:t>
      </w:r>
      <w:bookmarkEnd w:id="27"/>
      <w:bookmarkEnd w:id="28"/>
    </w:p>
    <w:p w14:paraId="4494E61B" w14:textId="77777777" w:rsidR="00F2540F" w:rsidRPr="00C22D6E" w:rsidRDefault="00F2540F" w:rsidP="00C22D6E"/>
    <w:p w14:paraId="0AAEC48B" w14:textId="538D08C9" w:rsidR="00F2540F" w:rsidRDefault="004471F3">
      <w:pPr>
        <w:rPr>
          <w:b/>
          <w:bCs/>
        </w:rPr>
      </w:pPr>
      <w:r>
        <w:rPr>
          <w:b/>
          <w:bCs/>
          <w:noProof/>
        </w:rPr>
        <w:drawing>
          <wp:inline distT="0" distB="0" distL="0" distR="0" wp14:anchorId="1973CDE1" wp14:editId="67B25E21">
            <wp:extent cx="5943600" cy="3288665"/>
            <wp:effectExtent l="0" t="0" r="0" b="63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pic:nvPicPr>
                  <pic:blipFill>
                    <a:blip r:embed="rId29">
                      <a:extLst>
                        <a:ext uri="{28A0092B-C50C-407E-A947-70E740481C1C}">
                          <a14:useLocalDpi xmlns:a14="http://schemas.microsoft.com/office/drawing/2010/main" val="0"/>
                        </a:ext>
                      </a:extLst>
                    </a:blip>
                    <a:stretch>
                      <a:fillRect/>
                    </a:stretch>
                  </pic:blipFill>
                  <pic:spPr>
                    <a:xfrm>
                      <a:off x="0" y="0"/>
                      <a:ext cx="5943600" cy="3288665"/>
                    </a:xfrm>
                    <a:prstGeom prst="rect">
                      <a:avLst/>
                    </a:prstGeom>
                  </pic:spPr>
                </pic:pic>
              </a:graphicData>
            </a:graphic>
          </wp:inline>
        </w:drawing>
      </w:r>
    </w:p>
    <w:p w14:paraId="6496F995" w14:textId="0EF1BEEB" w:rsidR="004471F3" w:rsidRDefault="004471F3">
      <w:pPr>
        <w:rPr>
          <w:b/>
          <w:bCs/>
        </w:rPr>
      </w:pPr>
    </w:p>
    <w:p w14:paraId="127EE2D0" w14:textId="77777777" w:rsidR="004471F3" w:rsidRPr="004471F3" w:rsidRDefault="004471F3" w:rsidP="004471F3">
      <w:pPr>
        <w:rPr>
          <w:sz w:val="16"/>
          <w:szCs w:val="16"/>
        </w:rPr>
      </w:pPr>
      <w:r>
        <w:rPr>
          <w:sz w:val="16"/>
          <w:szCs w:val="16"/>
        </w:rPr>
        <w:t>CI, confidence interval</w:t>
      </w:r>
    </w:p>
    <w:p w14:paraId="6B360586" w14:textId="4F8BAF8B" w:rsidR="004471F3" w:rsidRDefault="004471F3">
      <w:pPr>
        <w:rPr>
          <w:b/>
          <w:bCs/>
        </w:rPr>
      </w:pPr>
      <w:r>
        <w:rPr>
          <w:b/>
          <w:bCs/>
        </w:rPr>
        <w:br w:type="page"/>
      </w:r>
    </w:p>
    <w:p w14:paraId="1F46B3A0" w14:textId="08983CF5" w:rsidR="004471F3" w:rsidRDefault="004471F3" w:rsidP="00CB4744">
      <w:pPr>
        <w:pStyle w:val="Heading1"/>
      </w:pPr>
      <w:bookmarkStart w:id="29" w:name="_Toc152764299"/>
      <w:bookmarkStart w:id="30" w:name="_Toc153356556"/>
      <w:r w:rsidRPr="004471F3">
        <w:rPr>
          <w:b/>
          <w:bCs/>
        </w:rPr>
        <w:lastRenderedPageBreak/>
        <w:t>Supplementa</w:t>
      </w:r>
      <w:r w:rsidR="006C3266">
        <w:rPr>
          <w:b/>
          <w:bCs/>
        </w:rPr>
        <w:t>l</w:t>
      </w:r>
      <w:r w:rsidRPr="004471F3">
        <w:rPr>
          <w:b/>
          <w:bCs/>
        </w:rPr>
        <w:t xml:space="preserve"> Figure </w:t>
      </w:r>
      <w:r>
        <w:rPr>
          <w:b/>
          <w:bCs/>
        </w:rPr>
        <w:t>9</w:t>
      </w:r>
      <w:r w:rsidRPr="004471F3">
        <w:rPr>
          <w:b/>
          <w:bCs/>
        </w:rPr>
        <w:t>.</w:t>
      </w:r>
      <w:r w:rsidRPr="004471F3">
        <w:t xml:space="preserve"> Sensitivity analysis of the systematic removal of each trial for the effect of </w:t>
      </w:r>
      <w:r>
        <w:t xml:space="preserve">soy </w:t>
      </w:r>
      <w:r w:rsidRPr="004471F3">
        <w:t xml:space="preserve">isoflavones on </w:t>
      </w:r>
      <w:r>
        <w:t>follicle-stimulating hormone</w:t>
      </w:r>
      <w:bookmarkEnd w:id="29"/>
      <w:bookmarkEnd w:id="30"/>
    </w:p>
    <w:p w14:paraId="694CBEB8" w14:textId="77777777" w:rsidR="004471F3" w:rsidRPr="004471F3" w:rsidRDefault="004471F3" w:rsidP="004471F3"/>
    <w:p w14:paraId="3CDA447C" w14:textId="79067499" w:rsidR="004471F3" w:rsidRDefault="004471F3">
      <w:pPr>
        <w:rPr>
          <w:b/>
          <w:bCs/>
        </w:rPr>
      </w:pPr>
      <w:r>
        <w:rPr>
          <w:b/>
          <w:bCs/>
          <w:noProof/>
        </w:rPr>
        <w:drawing>
          <wp:inline distT="0" distB="0" distL="0" distR="0" wp14:anchorId="77C6144C" wp14:editId="44946693">
            <wp:extent cx="5602941" cy="7305373"/>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a:blip r:embed="rId30">
                      <a:extLst>
                        <a:ext uri="{28A0092B-C50C-407E-A947-70E740481C1C}">
                          <a14:useLocalDpi xmlns:a14="http://schemas.microsoft.com/office/drawing/2010/main" val="0"/>
                        </a:ext>
                      </a:extLst>
                    </a:blip>
                    <a:stretch>
                      <a:fillRect/>
                    </a:stretch>
                  </pic:blipFill>
                  <pic:spPr>
                    <a:xfrm>
                      <a:off x="0" y="0"/>
                      <a:ext cx="5613760" cy="7319479"/>
                    </a:xfrm>
                    <a:prstGeom prst="rect">
                      <a:avLst/>
                    </a:prstGeom>
                  </pic:spPr>
                </pic:pic>
              </a:graphicData>
            </a:graphic>
          </wp:inline>
        </w:drawing>
      </w:r>
    </w:p>
    <w:p w14:paraId="27E8646B" w14:textId="77777777" w:rsidR="004471F3" w:rsidRDefault="004471F3">
      <w:pPr>
        <w:rPr>
          <w:sz w:val="16"/>
          <w:szCs w:val="16"/>
        </w:rPr>
      </w:pPr>
    </w:p>
    <w:p w14:paraId="7CD7DA24" w14:textId="7928DC8D" w:rsidR="004471F3" w:rsidRDefault="004471F3">
      <w:pPr>
        <w:rPr>
          <w:sz w:val="16"/>
          <w:szCs w:val="16"/>
        </w:rPr>
      </w:pPr>
      <w:r>
        <w:rPr>
          <w:sz w:val="16"/>
          <w:szCs w:val="16"/>
        </w:rPr>
        <w:t>CI, confidence interval</w:t>
      </w:r>
    </w:p>
    <w:p w14:paraId="2FA1F5E6" w14:textId="77777777" w:rsidR="004471F3" w:rsidRDefault="004471F3">
      <w:pPr>
        <w:rPr>
          <w:sz w:val="16"/>
          <w:szCs w:val="16"/>
        </w:rPr>
      </w:pPr>
      <w:r>
        <w:rPr>
          <w:sz w:val="16"/>
          <w:szCs w:val="16"/>
        </w:rPr>
        <w:br w:type="page"/>
      </w:r>
    </w:p>
    <w:p w14:paraId="736348F3" w14:textId="3FA29997" w:rsidR="004471F3" w:rsidRDefault="004471F3" w:rsidP="00CB4744">
      <w:pPr>
        <w:pStyle w:val="Heading1"/>
      </w:pPr>
      <w:bookmarkStart w:id="31" w:name="_Toc152764300"/>
      <w:bookmarkStart w:id="32" w:name="_Toc153356557"/>
      <w:r w:rsidRPr="004471F3">
        <w:rPr>
          <w:b/>
          <w:bCs/>
        </w:rPr>
        <w:lastRenderedPageBreak/>
        <w:t>Supplementa</w:t>
      </w:r>
      <w:r w:rsidR="005C5F52">
        <w:rPr>
          <w:b/>
          <w:bCs/>
        </w:rPr>
        <w:t>l</w:t>
      </w:r>
      <w:r w:rsidRPr="004471F3">
        <w:rPr>
          <w:b/>
          <w:bCs/>
        </w:rPr>
        <w:t xml:space="preserve"> Figure </w:t>
      </w:r>
      <w:r>
        <w:rPr>
          <w:b/>
          <w:bCs/>
        </w:rPr>
        <w:t>10</w:t>
      </w:r>
      <w:r w:rsidRPr="004471F3">
        <w:rPr>
          <w:b/>
          <w:bCs/>
        </w:rPr>
        <w:t>.</w:t>
      </w:r>
      <w:r w:rsidRPr="004471F3">
        <w:t xml:space="preserve"> Sensitivity analysis of the systematic removal of each trial for the effect of </w:t>
      </w:r>
      <w:r>
        <w:t xml:space="preserve">soy </w:t>
      </w:r>
      <w:r w:rsidRPr="004471F3">
        <w:t xml:space="preserve">isoflavones on </w:t>
      </w:r>
      <w:r>
        <w:t>estradiol</w:t>
      </w:r>
      <w:bookmarkEnd w:id="31"/>
      <w:bookmarkEnd w:id="32"/>
    </w:p>
    <w:p w14:paraId="5A60EBBE" w14:textId="77777777" w:rsidR="004471F3" w:rsidRDefault="004471F3" w:rsidP="004471F3"/>
    <w:p w14:paraId="4E67A4C4" w14:textId="327F3CD0" w:rsidR="004471F3" w:rsidRDefault="004471F3">
      <w:pPr>
        <w:rPr>
          <w:b/>
          <w:bCs/>
        </w:rPr>
      </w:pPr>
      <w:r>
        <w:rPr>
          <w:b/>
          <w:bCs/>
          <w:noProof/>
        </w:rPr>
        <w:drawing>
          <wp:inline distT="0" distB="0" distL="0" distR="0" wp14:anchorId="3E14A1D0" wp14:editId="746456AC">
            <wp:extent cx="5902580" cy="7395882"/>
            <wp:effectExtent l="0" t="0" r="317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31">
                      <a:extLst>
                        <a:ext uri="{28A0092B-C50C-407E-A947-70E740481C1C}">
                          <a14:useLocalDpi xmlns:a14="http://schemas.microsoft.com/office/drawing/2010/main" val="0"/>
                        </a:ext>
                      </a:extLst>
                    </a:blip>
                    <a:stretch>
                      <a:fillRect/>
                    </a:stretch>
                  </pic:blipFill>
                  <pic:spPr>
                    <a:xfrm>
                      <a:off x="0" y="0"/>
                      <a:ext cx="5906676" cy="7401014"/>
                    </a:xfrm>
                    <a:prstGeom prst="rect">
                      <a:avLst/>
                    </a:prstGeom>
                  </pic:spPr>
                </pic:pic>
              </a:graphicData>
            </a:graphic>
          </wp:inline>
        </w:drawing>
      </w:r>
    </w:p>
    <w:p w14:paraId="5EDD329A" w14:textId="66EB2AF7" w:rsidR="004471F3" w:rsidRDefault="004471F3">
      <w:pPr>
        <w:rPr>
          <w:b/>
          <w:bCs/>
        </w:rPr>
      </w:pPr>
    </w:p>
    <w:p w14:paraId="275A82B4" w14:textId="77777777" w:rsidR="004471F3" w:rsidRDefault="004471F3" w:rsidP="004471F3">
      <w:pPr>
        <w:rPr>
          <w:sz w:val="16"/>
          <w:szCs w:val="16"/>
        </w:rPr>
      </w:pPr>
      <w:r>
        <w:rPr>
          <w:sz w:val="16"/>
          <w:szCs w:val="16"/>
        </w:rPr>
        <w:t>CI, confidence interval</w:t>
      </w:r>
    </w:p>
    <w:p w14:paraId="28D6C14B" w14:textId="1AEEDAE4" w:rsidR="00F31633" w:rsidRPr="00F31633" w:rsidRDefault="00F31633" w:rsidP="00CB4744">
      <w:pPr>
        <w:pStyle w:val="Heading1"/>
      </w:pPr>
      <w:bookmarkStart w:id="33" w:name="_Toc152764301"/>
      <w:bookmarkStart w:id="34" w:name="_Toc153356558"/>
      <w:r w:rsidRPr="004471F3">
        <w:rPr>
          <w:b/>
          <w:bCs/>
        </w:rPr>
        <w:lastRenderedPageBreak/>
        <w:t>Supplementa</w:t>
      </w:r>
      <w:r w:rsidR="005C5F52">
        <w:rPr>
          <w:b/>
          <w:bCs/>
        </w:rPr>
        <w:t>l</w:t>
      </w:r>
      <w:r w:rsidRPr="004471F3">
        <w:rPr>
          <w:b/>
          <w:bCs/>
        </w:rPr>
        <w:t xml:space="preserve"> Figure </w:t>
      </w:r>
      <w:r>
        <w:rPr>
          <w:b/>
          <w:bCs/>
        </w:rPr>
        <w:t>11</w:t>
      </w:r>
      <w:r w:rsidRPr="004471F3">
        <w:rPr>
          <w:b/>
          <w:bCs/>
        </w:rPr>
        <w:t>.</w:t>
      </w:r>
      <w:r w:rsidRPr="004471F3">
        <w:t xml:space="preserve"> </w:t>
      </w:r>
      <w:r w:rsidRPr="00F31633">
        <w:t>Sensitivity analyses with the use of fixed effects models for the effect of</w:t>
      </w:r>
      <w:r>
        <w:t xml:space="preserve"> soy </w:t>
      </w:r>
      <w:r w:rsidRPr="00F31633">
        <w:t>isoflavones on endometrial thickness</w:t>
      </w:r>
      <w:bookmarkEnd w:id="33"/>
      <w:bookmarkEnd w:id="34"/>
      <w:r w:rsidRPr="00F31633">
        <w:t xml:space="preserve"> </w:t>
      </w:r>
    </w:p>
    <w:p w14:paraId="736FE6EA" w14:textId="51C2173D" w:rsidR="00F31633" w:rsidRPr="00F31633" w:rsidRDefault="00F31633" w:rsidP="00F31633"/>
    <w:p w14:paraId="66DC2A95" w14:textId="153B5FBA" w:rsidR="004471F3" w:rsidRDefault="00F31633">
      <w:pPr>
        <w:rPr>
          <w:b/>
          <w:bCs/>
        </w:rPr>
      </w:pPr>
      <w:r>
        <w:rPr>
          <w:b/>
          <w:bCs/>
          <w:noProof/>
        </w:rPr>
        <w:drawing>
          <wp:inline distT="0" distB="0" distL="0" distR="0" wp14:anchorId="6D71863D" wp14:editId="7E296602">
            <wp:extent cx="5943600" cy="5755005"/>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pic:cNvPicPr/>
                  </pic:nvPicPr>
                  <pic:blipFill>
                    <a:blip r:embed="rId32">
                      <a:extLst>
                        <a:ext uri="{28A0092B-C50C-407E-A947-70E740481C1C}">
                          <a14:useLocalDpi xmlns:a14="http://schemas.microsoft.com/office/drawing/2010/main" val="0"/>
                        </a:ext>
                      </a:extLst>
                    </a:blip>
                    <a:stretch>
                      <a:fillRect/>
                    </a:stretch>
                  </pic:blipFill>
                  <pic:spPr>
                    <a:xfrm>
                      <a:off x="0" y="0"/>
                      <a:ext cx="5943600" cy="5755005"/>
                    </a:xfrm>
                    <a:prstGeom prst="rect">
                      <a:avLst/>
                    </a:prstGeom>
                  </pic:spPr>
                </pic:pic>
              </a:graphicData>
            </a:graphic>
          </wp:inline>
        </w:drawing>
      </w:r>
    </w:p>
    <w:p w14:paraId="21D425EF" w14:textId="62C0009D" w:rsidR="00F31633" w:rsidRDefault="00F31633">
      <w:pPr>
        <w:rPr>
          <w:b/>
          <w:bCs/>
        </w:rPr>
      </w:pPr>
    </w:p>
    <w:p w14:paraId="18565B02" w14:textId="77777777" w:rsidR="00446178" w:rsidRPr="00023AEE" w:rsidRDefault="00446178" w:rsidP="00446178">
      <w:pPr>
        <w:rPr>
          <w:sz w:val="16"/>
          <w:szCs w:val="16"/>
        </w:rPr>
      </w:pPr>
      <w:r w:rsidRPr="00023AEE">
        <w:rPr>
          <w:color w:val="000000"/>
          <w:sz w:val="16"/>
          <w:szCs w:val="16"/>
        </w:rPr>
        <w:t>Pooled effect estimates for each subgroup and overall effect are represented by the diamonds. Data are expressed as weighted mean differences with 95% confidence intervals using the generic inverse-variance method and random effects DerSimonian-Laird model. Paired analyses were applied to all crossover trials. Inter‐study heterogeneity was assessed using the Cochrane Q statistic and quantified using the I</w:t>
      </w:r>
      <w:r w:rsidRPr="00446178">
        <w:rPr>
          <w:color w:val="000000"/>
          <w:sz w:val="16"/>
          <w:szCs w:val="16"/>
          <w:vertAlign w:val="superscript"/>
        </w:rPr>
        <w:t>2</w:t>
      </w:r>
      <w:r w:rsidRPr="00023AEE">
        <w:rPr>
          <w:color w:val="000000"/>
          <w:sz w:val="16"/>
          <w:szCs w:val="16"/>
        </w:rPr>
        <w:t xml:space="preserve"> statistic, with significance set at p&lt;0.100 and I</w:t>
      </w:r>
      <w:r w:rsidRPr="00446178">
        <w:rPr>
          <w:color w:val="000000"/>
          <w:sz w:val="16"/>
          <w:szCs w:val="16"/>
          <w:vertAlign w:val="superscript"/>
        </w:rPr>
        <w:t>2</w:t>
      </w:r>
      <w:r w:rsidRPr="00023AEE">
        <w:rPr>
          <w:color w:val="000000"/>
          <w:sz w:val="16"/>
          <w:szCs w:val="16"/>
        </w:rPr>
        <w:t>≥50% considered to be evidence of substantial heterogeneity. </w:t>
      </w:r>
    </w:p>
    <w:p w14:paraId="43EE278E" w14:textId="77777777" w:rsidR="00446178" w:rsidRPr="00023AEE" w:rsidRDefault="00446178" w:rsidP="00446178">
      <w:pPr>
        <w:rPr>
          <w:sz w:val="16"/>
          <w:szCs w:val="16"/>
        </w:rPr>
      </w:pPr>
      <w:r w:rsidRPr="00023AEE">
        <w:rPr>
          <w:color w:val="000000"/>
          <w:sz w:val="16"/>
          <w:szCs w:val="16"/>
        </w:rPr>
        <w:t>Risk of Bias Legend: (H) High Risk; (L) Low Risk; (S) Some concerns. The letters represent the following risk of bias domains: A, randomization process; B, bias arising from period and carryover effects; C, deviations from intended intervention; D, missing outcome data; E, measurement of the outcome; F, selection of the reported result; and G, overall bias. Risk of bias arising from period and carryover effects was only applicable to crossover trials.</w:t>
      </w:r>
    </w:p>
    <w:p w14:paraId="22704589" w14:textId="77777777" w:rsidR="00446178" w:rsidRDefault="00446178" w:rsidP="00446178">
      <w:pPr>
        <w:rPr>
          <w:color w:val="000000"/>
          <w:sz w:val="16"/>
          <w:szCs w:val="16"/>
        </w:rPr>
      </w:pPr>
      <w:r w:rsidRPr="00023AEE">
        <w:rPr>
          <w:color w:val="000000"/>
          <w:sz w:val="16"/>
          <w:szCs w:val="16"/>
        </w:rPr>
        <w:t xml:space="preserve">The pooled effect summary was calculated with the </w:t>
      </w:r>
      <w:r w:rsidRPr="00023AEE">
        <w:rPr>
          <w:color w:val="202122"/>
          <w:sz w:val="16"/>
          <w:szCs w:val="16"/>
        </w:rPr>
        <w:t>χ</w:t>
      </w:r>
      <w:r w:rsidRPr="00023AEE">
        <w:rPr>
          <w:color w:val="202122"/>
          <w:sz w:val="16"/>
          <w:szCs w:val="16"/>
          <w:vertAlign w:val="superscript"/>
        </w:rPr>
        <w:t>2</w:t>
      </w:r>
      <w:r w:rsidRPr="00023AEE">
        <w:rPr>
          <w:color w:val="000000"/>
          <w:sz w:val="16"/>
          <w:szCs w:val="16"/>
        </w:rPr>
        <w:t xml:space="preserve"> test. The test for group differences was calculated with meta-regression, which uses the Wald test. </w:t>
      </w:r>
    </w:p>
    <w:p w14:paraId="6D428F91" w14:textId="59C52C8F" w:rsidR="00F31633" w:rsidRDefault="00F31633" w:rsidP="00F31633">
      <w:pPr>
        <w:rPr>
          <w:sz w:val="16"/>
          <w:szCs w:val="16"/>
        </w:rPr>
      </w:pPr>
      <w:r w:rsidRPr="00F31633">
        <w:rPr>
          <w:sz w:val="16"/>
          <w:szCs w:val="16"/>
        </w:rPr>
        <w:t>CI, confidence interval</w:t>
      </w:r>
    </w:p>
    <w:p w14:paraId="7C4B614E" w14:textId="77777777" w:rsidR="00F31633" w:rsidRDefault="00F31633">
      <w:pPr>
        <w:rPr>
          <w:sz w:val="16"/>
          <w:szCs w:val="16"/>
        </w:rPr>
      </w:pPr>
      <w:r>
        <w:rPr>
          <w:sz w:val="16"/>
          <w:szCs w:val="16"/>
        </w:rPr>
        <w:br w:type="page"/>
      </w:r>
    </w:p>
    <w:p w14:paraId="72E0FB19" w14:textId="754F18B2" w:rsidR="00F31633" w:rsidRPr="00F31633" w:rsidRDefault="00F31633" w:rsidP="00CB4744">
      <w:pPr>
        <w:pStyle w:val="Heading1"/>
      </w:pPr>
      <w:bookmarkStart w:id="35" w:name="_Toc152764302"/>
      <w:bookmarkStart w:id="36" w:name="_Toc153356559"/>
      <w:r w:rsidRPr="004471F3">
        <w:rPr>
          <w:b/>
          <w:bCs/>
        </w:rPr>
        <w:lastRenderedPageBreak/>
        <w:t>Supplementa</w:t>
      </w:r>
      <w:r w:rsidR="005C5F52">
        <w:rPr>
          <w:b/>
          <w:bCs/>
        </w:rPr>
        <w:t>l</w:t>
      </w:r>
      <w:r w:rsidRPr="004471F3">
        <w:rPr>
          <w:b/>
          <w:bCs/>
        </w:rPr>
        <w:t xml:space="preserve"> Figure </w:t>
      </w:r>
      <w:r>
        <w:rPr>
          <w:b/>
          <w:bCs/>
        </w:rPr>
        <w:t>12</w:t>
      </w:r>
      <w:r w:rsidRPr="004471F3">
        <w:rPr>
          <w:b/>
          <w:bCs/>
        </w:rPr>
        <w:t>.</w:t>
      </w:r>
      <w:r w:rsidRPr="004471F3">
        <w:t xml:space="preserve"> </w:t>
      </w:r>
      <w:r w:rsidRPr="00F31633">
        <w:t>Sensitivity analyses with the use of fixed effects models for the effect of</w:t>
      </w:r>
      <w:r>
        <w:t xml:space="preserve"> soy </w:t>
      </w:r>
      <w:r w:rsidRPr="00F31633">
        <w:t xml:space="preserve">isoflavones on </w:t>
      </w:r>
      <w:r>
        <w:t>vaginal maturation index</w:t>
      </w:r>
      <w:bookmarkEnd w:id="35"/>
      <w:bookmarkEnd w:id="36"/>
    </w:p>
    <w:p w14:paraId="2D8AA8DC" w14:textId="77777777" w:rsidR="00F31633" w:rsidRPr="00F31633" w:rsidRDefault="00F31633" w:rsidP="00F31633"/>
    <w:p w14:paraId="7AE4691D" w14:textId="3B961D43" w:rsidR="00F31633" w:rsidRDefault="00F31633">
      <w:pPr>
        <w:rPr>
          <w:b/>
          <w:bCs/>
        </w:rPr>
      </w:pPr>
      <w:r>
        <w:rPr>
          <w:b/>
          <w:bCs/>
          <w:noProof/>
        </w:rPr>
        <w:drawing>
          <wp:inline distT="0" distB="0" distL="0" distR="0" wp14:anchorId="14E9F20A" wp14:editId="5AEBD635">
            <wp:extent cx="5943600" cy="4826635"/>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33">
                      <a:extLst>
                        <a:ext uri="{28A0092B-C50C-407E-A947-70E740481C1C}">
                          <a14:useLocalDpi xmlns:a14="http://schemas.microsoft.com/office/drawing/2010/main" val="0"/>
                        </a:ext>
                      </a:extLst>
                    </a:blip>
                    <a:stretch>
                      <a:fillRect/>
                    </a:stretch>
                  </pic:blipFill>
                  <pic:spPr>
                    <a:xfrm>
                      <a:off x="0" y="0"/>
                      <a:ext cx="5943600" cy="4826635"/>
                    </a:xfrm>
                    <a:prstGeom prst="rect">
                      <a:avLst/>
                    </a:prstGeom>
                  </pic:spPr>
                </pic:pic>
              </a:graphicData>
            </a:graphic>
          </wp:inline>
        </w:drawing>
      </w:r>
    </w:p>
    <w:p w14:paraId="08ED7533" w14:textId="4311F7BC" w:rsidR="00F31633" w:rsidRDefault="00F31633">
      <w:pPr>
        <w:rPr>
          <w:b/>
          <w:bCs/>
        </w:rPr>
      </w:pPr>
    </w:p>
    <w:p w14:paraId="4E4FE72A" w14:textId="77777777" w:rsidR="00446178" w:rsidRPr="00023AEE" w:rsidRDefault="00446178" w:rsidP="00446178">
      <w:pPr>
        <w:rPr>
          <w:sz w:val="16"/>
          <w:szCs w:val="16"/>
        </w:rPr>
      </w:pPr>
      <w:r w:rsidRPr="00023AEE">
        <w:rPr>
          <w:color w:val="000000"/>
          <w:sz w:val="16"/>
          <w:szCs w:val="16"/>
        </w:rPr>
        <w:t>Pooled effect estimates for each subgroup and overall effect are represented by the diamonds. Data are expressed as weighted mean differences with 95% confidence intervals using the generic inverse-variance method and random effects DerSimonian-Laird model. Paired analyses were applied to all crossover trials. Inter‐study heterogeneity was assessed using the Cochrane Q statistic and quantified using the I</w:t>
      </w:r>
      <w:r w:rsidRPr="00446178">
        <w:rPr>
          <w:color w:val="000000"/>
          <w:sz w:val="16"/>
          <w:szCs w:val="16"/>
          <w:vertAlign w:val="superscript"/>
        </w:rPr>
        <w:t>2</w:t>
      </w:r>
      <w:r w:rsidRPr="00023AEE">
        <w:rPr>
          <w:color w:val="000000"/>
          <w:sz w:val="16"/>
          <w:szCs w:val="16"/>
        </w:rPr>
        <w:t xml:space="preserve"> statistic, with significance set at p&lt;0.100 and I</w:t>
      </w:r>
      <w:r w:rsidRPr="00446178">
        <w:rPr>
          <w:color w:val="000000"/>
          <w:sz w:val="16"/>
          <w:szCs w:val="16"/>
          <w:vertAlign w:val="superscript"/>
        </w:rPr>
        <w:t>2</w:t>
      </w:r>
      <w:r w:rsidRPr="00023AEE">
        <w:rPr>
          <w:color w:val="000000"/>
          <w:sz w:val="16"/>
          <w:szCs w:val="16"/>
        </w:rPr>
        <w:t>≥50% considered to be evidence of substantial heterogeneity. </w:t>
      </w:r>
    </w:p>
    <w:p w14:paraId="6A64174A" w14:textId="77777777" w:rsidR="00446178" w:rsidRPr="00023AEE" w:rsidRDefault="00446178" w:rsidP="00446178">
      <w:pPr>
        <w:rPr>
          <w:sz w:val="16"/>
          <w:szCs w:val="16"/>
        </w:rPr>
      </w:pPr>
      <w:r w:rsidRPr="00023AEE">
        <w:rPr>
          <w:color w:val="000000"/>
          <w:sz w:val="16"/>
          <w:szCs w:val="16"/>
        </w:rPr>
        <w:t>Risk of Bias Legend: (H) High Risk; (L) Low Risk; (S) Some concerns. The letters represent the following risk of bias domains: A, randomization process; B, bias arising from period and carryover effects; C, deviations from intended intervention; D, missing outcome data; E, measurement of the outcome; F, selection of the reported result; and G, overall bias. Risk of bias arising from period and carryover effects was only applicable to crossover trials.</w:t>
      </w:r>
    </w:p>
    <w:p w14:paraId="1CDE5457" w14:textId="77777777" w:rsidR="00446178" w:rsidRDefault="00446178" w:rsidP="00446178">
      <w:pPr>
        <w:rPr>
          <w:color w:val="000000"/>
          <w:sz w:val="16"/>
          <w:szCs w:val="16"/>
        </w:rPr>
      </w:pPr>
      <w:r w:rsidRPr="00023AEE">
        <w:rPr>
          <w:color w:val="000000"/>
          <w:sz w:val="16"/>
          <w:szCs w:val="16"/>
        </w:rPr>
        <w:t xml:space="preserve">The pooled effect summary was calculated with the </w:t>
      </w:r>
      <w:r w:rsidRPr="00023AEE">
        <w:rPr>
          <w:color w:val="202122"/>
          <w:sz w:val="16"/>
          <w:szCs w:val="16"/>
        </w:rPr>
        <w:t>χ</w:t>
      </w:r>
      <w:r w:rsidRPr="00023AEE">
        <w:rPr>
          <w:color w:val="202122"/>
          <w:sz w:val="16"/>
          <w:szCs w:val="16"/>
          <w:vertAlign w:val="superscript"/>
        </w:rPr>
        <w:t>2</w:t>
      </w:r>
      <w:r w:rsidRPr="00023AEE">
        <w:rPr>
          <w:color w:val="000000"/>
          <w:sz w:val="16"/>
          <w:szCs w:val="16"/>
        </w:rPr>
        <w:t xml:space="preserve"> test. The test for group differences was calculated with meta-regression, which uses the Wald test. </w:t>
      </w:r>
    </w:p>
    <w:p w14:paraId="51386B01" w14:textId="77777777" w:rsidR="00F31633" w:rsidRDefault="00F31633" w:rsidP="00F31633">
      <w:pPr>
        <w:rPr>
          <w:sz w:val="16"/>
          <w:szCs w:val="16"/>
        </w:rPr>
      </w:pPr>
      <w:r w:rsidRPr="00F31633">
        <w:rPr>
          <w:sz w:val="16"/>
          <w:szCs w:val="16"/>
        </w:rPr>
        <w:t>CI, confidence interval</w:t>
      </w:r>
    </w:p>
    <w:p w14:paraId="7C6DF05C" w14:textId="77777777" w:rsidR="00F31633" w:rsidRDefault="00F31633" w:rsidP="00F31633">
      <w:pPr>
        <w:rPr>
          <w:sz w:val="16"/>
          <w:szCs w:val="16"/>
        </w:rPr>
      </w:pPr>
      <w:r>
        <w:rPr>
          <w:sz w:val="16"/>
          <w:szCs w:val="16"/>
        </w:rPr>
        <w:br w:type="page"/>
      </w:r>
    </w:p>
    <w:p w14:paraId="56AAE9BD" w14:textId="4126BD1C" w:rsidR="00F31633" w:rsidRDefault="00F31633" w:rsidP="00CB4744">
      <w:pPr>
        <w:pStyle w:val="Heading1"/>
      </w:pPr>
      <w:bookmarkStart w:id="37" w:name="_Toc152764303"/>
      <w:bookmarkStart w:id="38" w:name="_Toc153356560"/>
      <w:r w:rsidRPr="004471F3">
        <w:rPr>
          <w:b/>
          <w:bCs/>
        </w:rPr>
        <w:lastRenderedPageBreak/>
        <w:t>Supplementa</w:t>
      </w:r>
      <w:r w:rsidR="005C5F52">
        <w:rPr>
          <w:b/>
          <w:bCs/>
        </w:rPr>
        <w:t>l</w:t>
      </w:r>
      <w:r w:rsidRPr="004471F3">
        <w:rPr>
          <w:b/>
          <w:bCs/>
        </w:rPr>
        <w:t xml:space="preserve"> Figure </w:t>
      </w:r>
      <w:r>
        <w:rPr>
          <w:b/>
          <w:bCs/>
        </w:rPr>
        <w:t>13</w:t>
      </w:r>
      <w:r w:rsidRPr="004471F3">
        <w:rPr>
          <w:b/>
          <w:bCs/>
        </w:rPr>
        <w:t>.</w:t>
      </w:r>
      <w:r w:rsidRPr="004471F3">
        <w:t xml:space="preserve"> </w:t>
      </w:r>
      <w:r w:rsidRPr="00F31633">
        <w:t>Sensitivity analyses with the use of fixed effects models for the effect of</w:t>
      </w:r>
      <w:r>
        <w:t xml:space="preserve"> soy </w:t>
      </w:r>
      <w:r w:rsidRPr="00F31633">
        <w:t xml:space="preserve">isoflavones on </w:t>
      </w:r>
      <w:r>
        <w:t>follicle-stimulating hormone</w:t>
      </w:r>
      <w:bookmarkEnd w:id="37"/>
      <w:bookmarkEnd w:id="38"/>
    </w:p>
    <w:p w14:paraId="34C92DDD" w14:textId="77777777" w:rsidR="00F31633" w:rsidRPr="00F31633" w:rsidRDefault="00F31633" w:rsidP="00F31633"/>
    <w:p w14:paraId="2359C795" w14:textId="0D0B7032" w:rsidR="00F31633" w:rsidRDefault="00F31633">
      <w:pPr>
        <w:rPr>
          <w:b/>
          <w:bCs/>
        </w:rPr>
      </w:pPr>
      <w:r>
        <w:rPr>
          <w:b/>
          <w:bCs/>
          <w:noProof/>
        </w:rPr>
        <w:drawing>
          <wp:inline distT="0" distB="0" distL="0" distR="0" wp14:anchorId="50EFD286" wp14:editId="07B3853F">
            <wp:extent cx="5136776" cy="7671423"/>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r:embed="rId34">
                      <a:extLst>
                        <a:ext uri="{28A0092B-C50C-407E-A947-70E740481C1C}">
                          <a14:useLocalDpi xmlns:a14="http://schemas.microsoft.com/office/drawing/2010/main" val="0"/>
                        </a:ext>
                      </a:extLst>
                    </a:blip>
                    <a:stretch>
                      <a:fillRect/>
                    </a:stretch>
                  </pic:blipFill>
                  <pic:spPr>
                    <a:xfrm>
                      <a:off x="0" y="0"/>
                      <a:ext cx="5149352" cy="7690205"/>
                    </a:xfrm>
                    <a:prstGeom prst="rect">
                      <a:avLst/>
                    </a:prstGeom>
                  </pic:spPr>
                </pic:pic>
              </a:graphicData>
            </a:graphic>
          </wp:inline>
        </w:drawing>
      </w:r>
    </w:p>
    <w:p w14:paraId="46FDDBB5" w14:textId="77777777" w:rsidR="00446178" w:rsidRPr="00023AEE" w:rsidRDefault="00446178" w:rsidP="00446178">
      <w:pPr>
        <w:rPr>
          <w:sz w:val="16"/>
          <w:szCs w:val="16"/>
        </w:rPr>
      </w:pPr>
      <w:r w:rsidRPr="00023AEE">
        <w:rPr>
          <w:color w:val="000000"/>
          <w:sz w:val="16"/>
          <w:szCs w:val="16"/>
        </w:rPr>
        <w:lastRenderedPageBreak/>
        <w:t>Pooled effect estimates for each subgroup and overall effect are represented by the diamonds. Data are expressed as weighted mean differences with 95% confidence intervals using the generic inverse-variance method and random effects DerSimonian-Laird model. Paired analyses were applied to all crossover trials. Inter‐study heterogeneity was assessed using the Cochrane Q statistic and quantified using the I</w:t>
      </w:r>
      <w:r w:rsidRPr="00446178">
        <w:rPr>
          <w:color w:val="000000"/>
          <w:sz w:val="16"/>
          <w:szCs w:val="16"/>
          <w:vertAlign w:val="superscript"/>
        </w:rPr>
        <w:t>2</w:t>
      </w:r>
      <w:r w:rsidRPr="00023AEE">
        <w:rPr>
          <w:color w:val="000000"/>
          <w:sz w:val="16"/>
          <w:szCs w:val="16"/>
        </w:rPr>
        <w:t xml:space="preserve"> statistic, with significance set at p&lt;0.100 and I</w:t>
      </w:r>
      <w:r w:rsidRPr="00446178">
        <w:rPr>
          <w:color w:val="000000"/>
          <w:sz w:val="16"/>
          <w:szCs w:val="16"/>
          <w:vertAlign w:val="superscript"/>
        </w:rPr>
        <w:t>2</w:t>
      </w:r>
      <w:r w:rsidRPr="00023AEE">
        <w:rPr>
          <w:color w:val="000000"/>
          <w:sz w:val="16"/>
          <w:szCs w:val="16"/>
        </w:rPr>
        <w:t>≥50% considered to be evidence of substantial heterogeneity. </w:t>
      </w:r>
    </w:p>
    <w:p w14:paraId="13E27CFB" w14:textId="77777777" w:rsidR="00446178" w:rsidRPr="00023AEE" w:rsidRDefault="00446178" w:rsidP="00446178">
      <w:pPr>
        <w:rPr>
          <w:sz w:val="16"/>
          <w:szCs w:val="16"/>
        </w:rPr>
      </w:pPr>
      <w:r w:rsidRPr="00023AEE">
        <w:rPr>
          <w:color w:val="000000"/>
          <w:sz w:val="16"/>
          <w:szCs w:val="16"/>
        </w:rPr>
        <w:t>Risk of Bias Legend: (H) High Risk; (L) Low Risk; (S) Some concerns. The letters represent the following risk of bias domains: A, randomization process; B, bias arising from period and carryover effects; C, deviations from intended intervention; D, missing outcome data; E, measurement of the outcome; F, selection of the reported result; and G, overall bias. Risk of bias arising from period and carryover effects was only applicable to crossover trials.</w:t>
      </w:r>
    </w:p>
    <w:p w14:paraId="72E174EF" w14:textId="77777777" w:rsidR="00446178" w:rsidRDefault="00446178" w:rsidP="00446178">
      <w:pPr>
        <w:rPr>
          <w:color w:val="000000"/>
          <w:sz w:val="16"/>
          <w:szCs w:val="16"/>
        </w:rPr>
      </w:pPr>
      <w:r w:rsidRPr="00023AEE">
        <w:rPr>
          <w:color w:val="000000"/>
          <w:sz w:val="16"/>
          <w:szCs w:val="16"/>
        </w:rPr>
        <w:t xml:space="preserve">The pooled effect summary was calculated with the </w:t>
      </w:r>
      <w:r w:rsidRPr="00023AEE">
        <w:rPr>
          <w:color w:val="202122"/>
          <w:sz w:val="16"/>
          <w:szCs w:val="16"/>
        </w:rPr>
        <w:t>χ</w:t>
      </w:r>
      <w:r w:rsidRPr="00023AEE">
        <w:rPr>
          <w:color w:val="202122"/>
          <w:sz w:val="16"/>
          <w:szCs w:val="16"/>
          <w:vertAlign w:val="superscript"/>
        </w:rPr>
        <w:t>2</w:t>
      </w:r>
      <w:r w:rsidRPr="00023AEE">
        <w:rPr>
          <w:color w:val="000000"/>
          <w:sz w:val="16"/>
          <w:szCs w:val="16"/>
        </w:rPr>
        <w:t xml:space="preserve"> test. The test for group differences was calculated with meta-regression, which uses the Wald test. </w:t>
      </w:r>
    </w:p>
    <w:p w14:paraId="21B77A49" w14:textId="77777777" w:rsidR="00F31633" w:rsidRDefault="00F31633" w:rsidP="00F31633">
      <w:pPr>
        <w:rPr>
          <w:sz w:val="16"/>
          <w:szCs w:val="16"/>
        </w:rPr>
      </w:pPr>
      <w:r w:rsidRPr="00F31633">
        <w:rPr>
          <w:sz w:val="16"/>
          <w:szCs w:val="16"/>
        </w:rPr>
        <w:t>CI, confidence interval</w:t>
      </w:r>
    </w:p>
    <w:p w14:paraId="16DAF6AC" w14:textId="77777777" w:rsidR="00F31633" w:rsidRDefault="00F31633" w:rsidP="00F31633">
      <w:pPr>
        <w:rPr>
          <w:sz w:val="16"/>
          <w:szCs w:val="16"/>
        </w:rPr>
      </w:pPr>
      <w:r>
        <w:rPr>
          <w:sz w:val="16"/>
          <w:szCs w:val="16"/>
        </w:rPr>
        <w:br w:type="page"/>
      </w:r>
    </w:p>
    <w:p w14:paraId="727116AC" w14:textId="36AA4ED6" w:rsidR="00FC7D22" w:rsidRDefault="00FC7D22" w:rsidP="00CB4744">
      <w:pPr>
        <w:pStyle w:val="Heading1"/>
      </w:pPr>
      <w:bookmarkStart w:id="39" w:name="_Toc152764304"/>
      <w:bookmarkStart w:id="40" w:name="_Toc153356561"/>
      <w:r w:rsidRPr="004471F3">
        <w:rPr>
          <w:b/>
          <w:bCs/>
        </w:rPr>
        <w:lastRenderedPageBreak/>
        <w:t>Supplementa</w:t>
      </w:r>
      <w:r w:rsidR="005C5F52">
        <w:rPr>
          <w:b/>
          <w:bCs/>
        </w:rPr>
        <w:t>l</w:t>
      </w:r>
      <w:r w:rsidRPr="004471F3">
        <w:rPr>
          <w:b/>
          <w:bCs/>
        </w:rPr>
        <w:t xml:space="preserve"> Figure </w:t>
      </w:r>
      <w:r>
        <w:rPr>
          <w:b/>
          <w:bCs/>
        </w:rPr>
        <w:t>14</w:t>
      </w:r>
      <w:r w:rsidRPr="004471F3">
        <w:rPr>
          <w:b/>
          <w:bCs/>
        </w:rPr>
        <w:t>.</w:t>
      </w:r>
      <w:r w:rsidRPr="004471F3">
        <w:t xml:space="preserve"> </w:t>
      </w:r>
      <w:r w:rsidRPr="00F31633">
        <w:t>Sensitivity analyses with the use of fixed effects models for the effect of</w:t>
      </w:r>
      <w:r>
        <w:t xml:space="preserve"> soy </w:t>
      </w:r>
      <w:r w:rsidRPr="00F31633">
        <w:t xml:space="preserve">isoflavones on </w:t>
      </w:r>
      <w:r>
        <w:t>estradiol</w:t>
      </w:r>
      <w:bookmarkEnd w:id="39"/>
      <w:bookmarkEnd w:id="40"/>
    </w:p>
    <w:p w14:paraId="41715DC0" w14:textId="77777777" w:rsidR="00FC7D22" w:rsidRDefault="00FC7D22" w:rsidP="00FC7D22"/>
    <w:p w14:paraId="0ADBEB62" w14:textId="78FF6BCE" w:rsidR="00F31633" w:rsidRDefault="00FC7D22">
      <w:pPr>
        <w:rPr>
          <w:b/>
          <w:bCs/>
        </w:rPr>
      </w:pPr>
      <w:r>
        <w:rPr>
          <w:b/>
          <w:bCs/>
          <w:noProof/>
        </w:rPr>
        <w:drawing>
          <wp:inline distT="0" distB="0" distL="0" distR="0" wp14:anchorId="430C1541" wp14:editId="6297EA2B">
            <wp:extent cx="5567082" cy="7677340"/>
            <wp:effectExtent l="0" t="0" r="0" b="635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35">
                      <a:extLst>
                        <a:ext uri="{28A0092B-C50C-407E-A947-70E740481C1C}">
                          <a14:useLocalDpi xmlns:a14="http://schemas.microsoft.com/office/drawing/2010/main" val="0"/>
                        </a:ext>
                      </a:extLst>
                    </a:blip>
                    <a:stretch>
                      <a:fillRect/>
                    </a:stretch>
                  </pic:blipFill>
                  <pic:spPr>
                    <a:xfrm>
                      <a:off x="0" y="0"/>
                      <a:ext cx="5576781" cy="7690715"/>
                    </a:xfrm>
                    <a:prstGeom prst="rect">
                      <a:avLst/>
                    </a:prstGeom>
                  </pic:spPr>
                </pic:pic>
              </a:graphicData>
            </a:graphic>
          </wp:inline>
        </w:drawing>
      </w:r>
    </w:p>
    <w:p w14:paraId="28321ECE" w14:textId="77777777" w:rsidR="00446178" w:rsidRPr="00023AEE" w:rsidRDefault="00446178" w:rsidP="00446178">
      <w:pPr>
        <w:rPr>
          <w:sz w:val="16"/>
          <w:szCs w:val="16"/>
        </w:rPr>
      </w:pPr>
      <w:r w:rsidRPr="00023AEE">
        <w:rPr>
          <w:color w:val="000000"/>
          <w:sz w:val="16"/>
          <w:szCs w:val="16"/>
        </w:rPr>
        <w:lastRenderedPageBreak/>
        <w:t>Pooled effect estimates for each subgroup and overall effect are represented by the diamonds. Data are expressed as weighted mean differences with 95% confidence intervals using the generic inverse-variance method and random effects DerSimonian-Laird model. Paired analyses were applied to all crossover trials. Inter‐study heterogeneity was assessed using the Cochrane Q statistic and quantified using the I</w:t>
      </w:r>
      <w:r w:rsidRPr="00446178">
        <w:rPr>
          <w:color w:val="000000"/>
          <w:sz w:val="16"/>
          <w:szCs w:val="16"/>
          <w:vertAlign w:val="superscript"/>
        </w:rPr>
        <w:t>2</w:t>
      </w:r>
      <w:r w:rsidRPr="00023AEE">
        <w:rPr>
          <w:color w:val="000000"/>
          <w:sz w:val="16"/>
          <w:szCs w:val="16"/>
        </w:rPr>
        <w:t xml:space="preserve"> statistic, with significance set at p&lt;0.100 and I</w:t>
      </w:r>
      <w:r w:rsidRPr="00446178">
        <w:rPr>
          <w:color w:val="000000"/>
          <w:sz w:val="16"/>
          <w:szCs w:val="16"/>
          <w:vertAlign w:val="superscript"/>
        </w:rPr>
        <w:t>2</w:t>
      </w:r>
      <w:r w:rsidRPr="00023AEE">
        <w:rPr>
          <w:color w:val="000000"/>
          <w:sz w:val="16"/>
          <w:szCs w:val="16"/>
        </w:rPr>
        <w:t>≥50% considered to be evidence of substantial heterogeneity. </w:t>
      </w:r>
    </w:p>
    <w:p w14:paraId="25D49EAD" w14:textId="77777777" w:rsidR="00446178" w:rsidRPr="00023AEE" w:rsidRDefault="00446178" w:rsidP="00446178">
      <w:pPr>
        <w:rPr>
          <w:sz w:val="16"/>
          <w:szCs w:val="16"/>
        </w:rPr>
      </w:pPr>
      <w:r w:rsidRPr="00023AEE">
        <w:rPr>
          <w:color w:val="000000"/>
          <w:sz w:val="16"/>
          <w:szCs w:val="16"/>
        </w:rPr>
        <w:t>Risk of Bias Legend: (H) High Risk; (L) Low Risk; (S) Some concerns. The letters represent the following risk of bias domains: A, randomization process; B, bias arising from period and carryover effects; C, deviations from intended intervention; D, missing outcome data; E, measurement of the outcome; F, selection of the reported result; and G, overall bias. Risk of bias arising from period and carryover effects was only applicable to crossover trials.</w:t>
      </w:r>
    </w:p>
    <w:p w14:paraId="68D82484" w14:textId="77777777" w:rsidR="00446178" w:rsidRDefault="00446178" w:rsidP="00446178">
      <w:pPr>
        <w:rPr>
          <w:color w:val="000000"/>
          <w:sz w:val="16"/>
          <w:szCs w:val="16"/>
        </w:rPr>
      </w:pPr>
      <w:r w:rsidRPr="00023AEE">
        <w:rPr>
          <w:color w:val="000000"/>
          <w:sz w:val="16"/>
          <w:szCs w:val="16"/>
        </w:rPr>
        <w:t xml:space="preserve">The pooled effect summary was calculated with the </w:t>
      </w:r>
      <w:r w:rsidRPr="00023AEE">
        <w:rPr>
          <w:color w:val="202122"/>
          <w:sz w:val="16"/>
          <w:szCs w:val="16"/>
        </w:rPr>
        <w:t>χ</w:t>
      </w:r>
      <w:r w:rsidRPr="00023AEE">
        <w:rPr>
          <w:color w:val="202122"/>
          <w:sz w:val="16"/>
          <w:szCs w:val="16"/>
          <w:vertAlign w:val="superscript"/>
        </w:rPr>
        <w:t>2</w:t>
      </w:r>
      <w:r w:rsidRPr="00023AEE">
        <w:rPr>
          <w:color w:val="000000"/>
          <w:sz w:val="16"/>
          <w:szCs w:val="16"/>
        </w:rPr>
        <w:t xml:space="preserve"> test. The test for group differences was calculated with meta-regression, which uses the Wald test. </w:t>
      </w:r>
    </w:p>
    <w:p w14:paraId="01DFDE7D" w14:textId="77777777" w:rsidR="00FC7D22" w:rsidRDefault="00FC7D22" w:rsidP="00FC7D22">
      <w:pPr>
        <w:rPr>
          <w:sz w:val="16"/>
          <w:szCs w:val="16"/>
        </w:rPr>
      </w:pPr>
      <w:r w:rsidRPr="00F31633">
        <w:rPr>
          <w:sz w:val="16"/>
          <w:szCs w:val="16"/>
        </w:rPr>
        <w:t>CI, confidence interval</w:t>
      </w:r>
    </w:p>
    <w:p w14:paraId="04670F1F" w14:textId="77777777" w:rsidR="00FC7D22" w:rsidRDefault="00FC7D22" w:rsidP="00FC7D22">
      <w:pPr>
        <w:rPr>
          <w:sz w:val="16"/>
          <w:szCs w:val="16"/>
        </w:rPr>
      </w:pPr>
      <w:r>
        <w:rPr>
          <w:sz w:val="16"/>
          <w:szCs w:val="16"/>
        </w:rPr>
        <w:br w:type="page"/>
      </w:r>
    </w:p>
    <w:p w14:paraId="4F40DE07" w14:textId="6B894B1A" w:rsidR="00FC7D22" w:rsidRDefault="00FC7D22" w:rsidP="00CB4744">
      <w:pPr>
        <w:pStyle w:val="Heading1"/>
      </w:pPr>
      <w:bookmarkStart w:id="41" w:name="_Toc152764305"/>
      <w:bookmarkStart w:id="42" w:name="_Toc153356562"/>
      <w:r w:rsidRPr="004471F3">
        <w:rPr>
          <w:b/>
          <w:bCs/>
        </w:rPr>
        <w:lastRenderedPageBreak/>
        <w:t>Supplementa</w:t>
      </w:r>
      <w:r w:rsidR="005C5F52">
        <w:rPr>
          <w:b/>
          <w:bCs/>
        </w:rPr>
        <w:t>l</w:t>
      </w:r>
      <w:r w:rsidRPr="004471F3">
        <w:rPr>
          <w:b/>
          <w:bCs/>
        </w:rPr>
        <w:t xml:space="preserve"> Figure </w:t>
      </w:r>
      <w:r>
        <w:rPr>
          <w:b/>
          <w:bCs/>
        </w:rPr>
        <w:t>15 (1 of 3)</w:t>
      </w:r>
      <w:r w:rsidRPr="004471F3">
        <w:rPr>
          <w:b/>
          <w:bCs/>
        </w:rPr>
        <w:t>.</w:t>
      </w:r>
      <w:r w:rsidRPr="004471F3">
        <w:t xml:space="preserve"> </w:t>
      </w:r>
      <w:r>
        <w:t xml:space="preserve">Subgroup analyses </w:t>
      </w:r>
      <w:r w:rsidRPr="00F31633">
        <w:t>for the effect of</w:t>
      </w:r>
      <w:r>
        <w:t xml:space="preserve"> soy </w:t>
      </w:r>
      <w:r w:rsidRPr="00F31633">
        <w:t xml:space="preserve">isoflavones on </w:t>
      </w:r>
      <w:r>
        <w:t>endometrial thickness*</w:t>
      </w:r>
      <w:bookmarkEnd w:id="41"/>
      <w:bookmarkEnd w:id="42"/>
    </w:p>
    <w:p w14:paraId="79D7A529" w14:textId="4A6919B8" w:rsidR="00FC7D22" w:rsidRDefault="00FC7D22">
      <w:pPr>
        <w:rPr>
          <w:b/>
          <w:bCs/>
        </w:rPr>
      </w:pPr>
    </w:p>
    <w:p w14:paraId="3D0C8F9F" w14:textId="51E1BB18" w:rsidR="00FC7D22" w:rsidRDefault="00F73EE3">
      <w:pPr>
        <w:rPr>
          <w:b/>
          <w:bCs/>
        </w:rPr>
      </w:pPr>
      <w:r>
        <w:rPr>
          <w:b/>
          <w:bCs/>
          <w:noProof/>
        </w:rPr>
        <mc:AlternateContent>
          <mc:Choice Requires="wps">
            <w:drawing>
              <wp:anchor distT="0" distB="0" distL="114300" distR="114300" simplePos="0" relativeHeight="251697152" behindDoc="0" locked="0" layoutInCell="1" allowOverlap="1" wp14:anchorId="5BD3623C" wp14:editId="00DE2EBF">
                <wp:simplePos x="0" y="0"/>
                <wp:positionH relativeFrom="column">
                  <wp:posOffset>3260852</wp:posOffset>
                </wp:positionH>
                <wp:positionV relativeFrom="paragraph">
                  <wp:posOffset>1711071</wp:posOffset>
                </wp:positionV>
                <wp:extent cx="725424" cy="140208"/>
                <wp:effectExtent l="0" t="0" r="11430" b="12700"/>
                <wp:wrapNone/>
                <wp:docPr id="1198265715" name="Rectangle 1"/>
                <wp:cNvGraphicFramePr/>
                <a:graphic xmlns:a="http://schemas.openxmlformats.org/drawingml/2006/main">
                  <a:graphicData uri="http://schemas.microsoft.com/office/word/2010/wordprocessingShape">
                    <wps:wsp>
                      <wps:cNvSpPr/>
                      <wps:spPr>
                        <a:xfrm>
                          <a:off x="0" y="0"/>
                          <a:ext cx="725424" cy="140208"/>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57FB6F9" id="Rectangle 1" o:spid="_x0000_s1026" style="position:absolute;margin-left:256.75pt;margin-top:134.75pt;width:57.1pt;height:11.05pt;z-index:251697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" fillcolor="white [3212]" strokecolor="white [3212]" strokeweight="1pt"/>
            </w:pict>
          </mc:Fallback>
        </mc:AlternateContent>
      </w:r>
      <w:r>
        <w:rPr>
          <w:b/>
          <w:bCs/>
          <w:noProof/>
        </w:rPr>
        <mc:AlternateContent>
          <mc:Choice Requires="wps">
            <w:drawing>
              <wp:anchor distT="0" distB="0" distL="114300" distR="114300" simplePos="0" relativeHeight="251695104" behindDoc="0" locked="0" layoutInCell="1" allowOverlap="1" wp14:anchorId="44C4F723" wp14:editId="1EEEF619">
                <wp:simplePos x="0" y="0"/>
                <wp:positionH relativeFrom="column">
                  <wp:posOffset>4088511</wp:posOffset>
                </wp:positionH>
                <wp:positionV relativeFrom="paragraph">
                  <wp:posOffset>2649855</wp:posOffset>
                </wp:positionV>
                <wp:extent cx="725424" cy="140208"/>
                <wp:effectExtent l="0" t="0" r="11430" b="12700"/>
                <wp:wrapNone/>
                <wp:docPr id="1780734197" name="Rectangle 1"/>
                <wp:cNvGraphicFramePr/>
                <a:graphic xmlns:a="http://schemas.openxmlformats.org/drawingml/2006/main">
                  <a:graphicData uri="http://schemas.microsoft.com/office/word/2010/wordprocessingShape">
                    <wps:wsp>
                      <wps:cNvSpPr/>
                      <wps:spPr>
                        <a:xfrm>
                          <a:off x="0" y="0"/>
                          <a:ext cx="725424" cy="140208"/>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3814369" id="Rectangle 1" o:spid="_x0000_s1026" style="position:absolute;margin-left:321.95pt;margin-top:208.65pt;width:57.1pt;height:11.05pt;z-index:251695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" fillcolor="white [3212]" strokecolor="white [3212]" strokeweight="1pt"/>
            </w:pict>
          </mc:Fallback>
        </mc:AlternateContent>
      </w:r>
      <w:r>
        <w:rPr>
          <w:b/>
          <w:bCs/>
          <w:noProof/>
        </w:rPr>
        <mc:AlternateContent>
          <mc:Choice Requires="wps">
            <w:drawing>
              <wp:anchor distT="0" distB="0" distL="114300" distR="114300" simplePos="0" relativeHeight="251693056" behindDoc="0" locked="0" layoutInCell="1" allowOverlap="1" wp14:anchorId="7ADAA43E" wp14:editId="51DC38EC">
                <wp:simplePos x="0" y="0"/>
                <wp:positionH relativeFrom="column">
                  <wp:posOffset>3340608</wp:posOffset>
                </wp:positionH>
                <wp:positionV relativeFrom="paragraph">
                  <wp:posOffset>2650236</wp:posOffset>
                </wp:positionV>
                <wp:extent cx="725424" cy="140208"/>
                <wp:effectExtent l="0" t="0" r="11430" b="12700"/>
                <wp:wrapNone/>
                <wp:docPr id="702597673" name="Rectangle 1"/>
                <wp:cNvGraphicFramePr/>
                <a:graphic xmlns:a="http://schemas.openxmlformats.org/drawingml/2006/main">
                  <a:graphicData uri="http://schemas.microsoft.com/office/word/2010/wordprocessingShape">
                    <wps:wsp>
                      <wps:cNvSpPr/>
                      <wps:spPr>
                        <a:xfrm>
                          <a:off x="0" y="0"/>
                          <a:ext cx="725424" cy="140208"/>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E4615EB" id="Rectangle 1" o:spid="_x0000_s1026" style="position:absolute;margin-left:263.05pt;margin-top:208.7pt;width:57.1pt;height:11.05pt;z-index:2516930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" fillcolor="white [3212]" strokecolor="white [3212]" strokeweight="1pt"/>
            </w:pict>
          </mc:Fallback>
        </mc:AlternateContent>
      </w:r>
      <w:r w:rsidR="00FC7D22">
        <w:rPr>
          <w:b/>
          <w:bCs/>
          <w:noProof/>
        </w:rPr>
        <w:drawing>
          <wp:inline distT="0" distB="0" distL="0" distR="0" wp14:anchorId="3F6B249D" wp14:editId="3380DEFF">
            <wp:extent cx="5576047" cy="7698043"/>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37"/>
                    <pic:cNvPicPr/>
                  </pic:nvPicPr>
                  <pic:blipFill>
                    <a:blip r:embed="rId36">
                      <a:extLst>
                        <a:ext uri="{28A0092B-C50C-407E-A947-70E740481C1C}">
                          <a14:useLocalDpi xmlns:a14="http://schemas.microsoft.com/office/drawing/2010/main" val="0"/>
                        </a:ext>
                      </a:extLst>
                    </a:blip>
                    <a:stretch>
                      <a:fillRect/>
                    </a:stretch>
                  </pic:blipFill>
                  <pic:spPr>
                    <a:xfrm>
                      <a:off x="0" y="0"/>
                      <a:ext cx="5584081" cy="7709135"/>
                    </a:xfrm>
                    <a:prstGeom prst="rect">
                      <a:avLst/>
                    </a:prstGeom>
                  </pic:spPr>
                </pic:pic>
              </a:graphicData>
            </a:graphic>
          </wp:inline>
        </w:drawing>
      </w:r>
    </w:p>
    <w:p w14:paraId="46F1E6E7" w14:textId="77777777" w:rsidR="00446178" w:rsidRPr="00023AEE" w:rsidRDefault="00446178" w:rsidP="00446178">
      <w:pPr>
        <w:rPr>
          <w:sz w:val="16"/>
          <w:szCs w:val="16"/>
        </w:rPr>
      </w:pPr>
      <w:r w:rsidRPr="00023AEE">
        <w:rPr>
          <w:color w:val="000000"/>
          <w:sz w:val="16"/>
          <w:szCs w:val="16"/>
        </w:rPr>
        <w:lastRenderedPageBreak/>
        <w:t>Pooled effect estimates for each subgroup and overall effect are represented by the diamonds. Data are expressed as weighted mean differences with 95% confidence intervals using the generic inverse-variance method and random effects DerSimonian-Laird model. Paired analyses were applied to all crossover trials. Inter‐study heterogeneity was assessed using the Cochrane Q statistic and quantified using the I</w:t>
      </w:r>
      <w:r w:rsidRPr="00446178">
        <w:rPr>
          <w:color w:val="000000"/>
          <w:sz w:val="16"/>
          <w:szCs w:val="16"/>
          <w:vertAlign w:val="superscript"/>
        </w:rPr>
        <w:t>2</w:t>
      </w:r>
      <w:r w:rsidRPr="00023AEE">
        <w:rPr>
          <w:color w:val="000000"/>
          <w:sz w:val="16"/>
          <w:szCs w:val="16"/>
        </w:rPr>
        <w:t xml:space="preserve"> statistic, with significance set at p&lt;0.100 and I</w:t>
      </w:r>
      <w:r w:rsidRPr="00446178">
        <w:rPr>
          <w:color w:val="000000"/>
          <w:sz w:val="16"/>
          <w:szCs w:val="16"/>
          <w:vertAlign w:val="superscript"/>
        </w:rPr>
        <w:t>2</w:t>
      </w:r>
      <w:r w:rsidRPr="00023AEE">
        <w:rPr>
          <w:color w:val="000000"/>
          <w:sz w:val="16"/>
          <w:szCs w:val="16"/>
        </w:rPr>
        <w:t>≥50% considered to be evidence of substantial heterogeneity. </w:t>
      </w:r>
    </w:p>
    <w:p w14:paraId="49340814" w14:textId="77777777" w:rsidR="00446178" w:rsidRPr="00023AEE" w:rsidRDefault="00446178" w:rsidP="00446178">
      <w:pPr>
        <w:rPr>
          <w:sz w:val="16"/>
          <w:szCs w:val="16"/>
        </w:rPr>
      </w:pPr>
      <w:r w:rsidRPr="00023AEE">
        <w:rPr>
          <w:color w:val="000000"/>
          <w:sz w:val="16"/>
          <w:szCs w:val="16"/>
        </w:rPr>
        <w:t>Risk of Bias Legend: (H) High Risk; (L) Low Risk; (S) Some concerns. The letters represent the following risk of bias domains: A, randomization process; B, bias arising from period and carryover effects; C, deviations from intended intervention; D, missing outcome data; E, measurement of the outcome; F, selection of the reported result; and G, overall bias. Risk of bias arising from period and carryover effects was only applicable to crossover trials.</w:t>
      </w:r>
    </w:p>
    <w:p w14:paraId="6C26D123" w14:textId="77777777" w:rsidR="00446178" w:rsidRDefault="00446178" w:rsidP="00446178">
      <w:pPr>
        <w:rPr>
          <w:color w:val="000000"/>
          <w:sz w:val="16"/>
          <w:szCs w:val="16"/>
        </w:rPr>
      </w:pPr>
      <w:r w:rsidRPr="00023AEE">
        <w:rPr>
          <w:color w:val="000000"/>
          <w:sz w:val="16"/>
          <w:szCs w:val="16"/>
        </w:rPr>
        <w:t xml:space="preserve">The pooled effect summary was calculated with the </w:t>
      </w:r>
      <w:r w:rsidRPr="00023AEE">
        <w:rPr>
          <w:color w:val="202122"/>
          <w:sz w:val="16"/>
          <w:szCs w:val="16"/>
        </w:rPr>
        <w:t>χ</w:t>
      </w:r>
      <w:r w:rsidRPr="00023AEE">
        <w:rPr>
          <w:color w:val="202122"/>
          <w:sz w:val="16"/>
          <w:szCs w:val="16"/>
          <w:vertAlign w:val="superscript"/>
        </w:rPr>
        <w:t>2</w:t>
      </w:r>
      <w:r w:rsidRPr="00023AEE">
        <w:rPr>
          <w:color w:val="000000"/>
          <w:sz w:val="16"/>
          <w:szCs w:val="16"/>
        </w:rPr>
        <w:t xml:space="preserve"> test. The test for group differences was calculated with meta-regression, which uses the Wald test. </w:t>
      </w:r>
    </w:p>
    <w:p w14:paraId="2A5AAD9E" w14:textId="73C34B41" w:rsidR="002820C3" w:rsidRDefault="002820C3" w:rsidP="00FC7D22">
      <w:pPr>
        <w:rPr>
          <w:color w:val="000000"/>
          <w:sz w:val="16"/>
          <w:szCs w:val="16"/>
        </w:rPr>
      </w:pPr>
    </w:p>
    <w:p w14:paraId="262AFA0C" w14:textId="674C19D5" w:rsidR="002820C3" w:rsidRDefault="002820C3" w:rsidP="00FC7D22">
      <w:pPr>
        <w:rPr>
          <w:color w:val="000000"/>
          <w:sz w:val="16"/>
          <w:szCs w:val="16"/>
        </w:rPr>
      </w:pPr>
      <w:r w:rsidRPr="002820C3">
        <w:rPr>
          <w:rFonts w:ascii="Arial" w:hAnsi="Arial" w:cs="Arial"/>
          <w:color w:val="000000"/>
          <w:sz w:val="16"/>
          <w:szCs w:val="16"/>
        </w:rPr>
        <w:t>†</w:t>
      </w:r>
      <w:r>
        <w:rPr>
          <w:color w:val="000000"/>
          <w:sz w:val="16"/>
          <w:szCs w:val="16"/>
        </w:rPr>
        <w:t>Post-hoc subgroup analysis by continent</w:t>
      </w:r>
    </w:p>
    <w:p w14:paraId="0A562FD0" w14:textId="2774E9A6" w:rsidR="00FC7D22" w:rsidRDefault="00FC7D22" w:rsidP="00FC7D22">
      <w:pPr>
        <w:rPr>
          <w:color w:val="000000"/>
          <w:sz w:val="16"/>
          <w:szCs w:val="16"/>
        </w:rPr>
      </w:pPr>
    </w:p>
    <w:p w14:paraId="3411B589" w14:textId="3C68D242" w:rsidR="00FC7D22" w:rsidRDefault="00FC7D22" w:rsidP="00FC7D22">
      <w:pPr>
        <w:rPr>
          <w:color w:val="000000"/>
          <w:sz w:val="16"/>
          <w:szCs w:val="16"/>
        </w:rPr>
      </w:pPr>
      <w:r>
        <w:rPr>
          <w:color w:val="000000"/>
          <w:sz w:val="16"/>
          <w:szCs w:val="16"/>
        </w:rPr>
        <w:t>*N=</w:t>
      </w:r>
      <w:r w:rsidR="001F1A0F">
        <w:rPr>
          <w:color w:val="000000"/>
          <w:sz w:val="16"/>
          <w:szCs w:val="16"/>
        </w:rPr>
        <w:t>2</w:t>
      </w:r>
      <w:r>
        <w:rPr>
          <w:color w:val="000000"/>
          <w:sz w:val="16"/>
          <w:szCs w:val="16"/>
        </w:rPr>
        <w:t xml:space="preserve"> </w:t>
      </w:r>
      <w:r w:rsidR="001F1A0F">
        <w:rPr>
          <w:color w:val="000000"/>
          <w:sz w:val="16"/>
          <w:szCs w:val="16"/>
        </w:rPr>
        <w:t xml:space="preserve">trial </w:t>
      </w:r>
      <w:r>
        <w:rPr>
          <w:color w:val="000000"/>
          <w:sz w:val="16"/>
          <w:szCs w:val="16"/>
        </w:rPr>
        <w:t xml:space="preserve">comparisons missing data for </w:t>
      </w:r>
      <w:r w:rsidR="001F1A0F">
        <w:rPr>
          <w:color w:val="000000"/>
          <w:sz w:val="16"/>
          <w:szCs w:val="16"/>
        </w:rPr>
        <w:t>age, and N=3 trial comparisons missing data for years since menopause</w:t>
      </w:r>
    </w:p>
    <w:p w14:paraId="690799CB" w14:textId="77777777" w:rsidR="00FC7D22" w:rsidRPr="00023AEE" w:rsidRDefault="00FC7D22" w:rsidP="00FC7D22">
      <w:pPr>
        <w:rPr>
          <w:sz w:val="16"/>
          <w:szCs w:val="16"/>
        </w:rPr>
      </w:pPr>
    </w:p>
    <w:p w14:paraId="417919D3" w14:textId="32E91562" w:rsidR="00FC7D22" w:rsidRDefault="00A8204E" w:rsidP="00FC7D22">
      <w:pPr>
        <w:rPr>
          <w:color w:val="000000"/>
          <w:sz w:val="16"/>
          <w:szCs w:val="16"/>
        </w:rPr>
      </w:pPr>
      <w:r w:rsidRPr="00023AEE">
        <w:rPr>
          <w:color w:val="000000"/>
          <w:sz w:val="16"/>
          <w:szCs w:val="16"/>
        </w:rPr>
        <w:t>CI, confidence interval</w:t>
      </w:r>
      <w:r>
        <w:rPr>
          <w:color w:val="000000"/>
          <w:sz w:val="16"/>
          <w:szCs w:val="16"/>
        </w:rPr>
        <w:t xml:space="preserve">: </w:t>
      </w:r>
      <w:r w:rsidR="008B1B2B">
        <w:rPr>
          <w:color w:val="000000"/>
          <w:sz w:val="16"/>
          <w:szCs w:val="16"/>
        </w:rPr>
        <w:t>MD, mean difference</w:t>
      </w:r>
    </w:p>
    <w:p w14:paraId="0F8DA42C" w14:textId="77777777" w:rsidR="00FC7D22" w:rsidRDefault="00FC7D22">
      <w:pPr>
        <w:rPr>
          <w:color w:val="000000"/>
          <w:sz w:val="16"/>
          <w:szCs w:val="16"/>
        </w:rPr>
      </w:pPr>
      <w:r>
        <w:rPr>
          <w:color w:val="000000"/>
          <w:sz w:val="16"/>
          <w:szCs w:val="16"/>
        </w:rPr>
        <w:br w:type="page"/>
      </w:r>
    </w:p>
    <w:p w14:paraId="47DFF5CA" w14:textId="04784D8C" w:rsidR="00FC7D22" w:rsidRDefault="00FC7D22" w:rsidP="00CB4744">
      <w:pPr>
        <w:pStyle w:val="Heading1"/>
      </w:pPr>
      <w:bookmarkStart w:id="43" w:name="_Toc152764306"/>
      <w:bookmarkStart w:id="44" w:name="_Toc153356563"/>
      <w:r w:rsidRPr="004471F3">
        <w:rPr>
          <w:b/>
          <w:bCs/>
        </w:rPr>
        <w:lastRenderedPageBreak/>
        <w:t>Supplementa</w:t>
      </w:r>
      <w:r w:rsidR="005C5F52">
        <w:rPr>
          <w:b/>
          <w:bCs/>
        </w:rPr>
        <w:t>l</w:t>
      </w:r>
      <w:r w:rsidRPr="004471F3">
        <w:rPr>
          <w:b/>
          <w:bCs/>
        </w:rPr>
        <w:t xml:space="preserve"> Figure </w:t>
      </w:r>
      <w:r>
        <w:rPr>
          <w:b/>
          <w:bCs/>
        </w:rPr>
        <w:t>15 (2 of 3)</w:t>
      </w:r>
      <w:r w:rsidRPr="004471F3">
        <w:rPr>
          <w:b/>
          <w:bCs/>
        </w:rPr>
        <w:t>.</w:t>
      </w:r>
      <w:r w:rsidRPr="004471F3">
        <w:t xml:space="preserve"> </w:t>
      </w:r>
      <w:r>
        <w:t xml:space="preserve">Subgroup analyses </w:t>
      </w:r>
      <w:r w:rsidRPr="00F31633">
        <w:t>for the effect of</w:t>
      </w:r>
      <w:r>
        <w:t xml:space="preserve"> soy </w:t>
      </w:r>
      <w:r w:rsidRPr="00F31633">
        <w:t xml:space="preserve">isoflavones on </w:t>
      </w:r>
      <w:r>
        <w:t>endometrial thickness*</w:t>
      </w:r>
      <w:bookmarkEnd w:id="43"/>
      <w:bookmarkEnd w:id="44"/>
    </w:p>
    <w:p w14:paraId="3CBC78AC" w14:textId="77777777" w:rsidR="00FC7D22" w:rsidRPr="00FC7D22" w:rsidRDefault="00FC7D22" w:rsidP="00FC7D22">
      <w:pPr>
        <w:rPr>
          <w:color w:val="000000"/>
        </w:rPr>
      </w:pPr>
    </w:p>
    <w:p w14:paraId="44519853" w14:textId="2DE9C1FD" w:rsidR="00FC7D22" w:rsidRDefault="00D201D3">
      <w:pPr>
        <w:rPr>
          <w:b/>
          <w:bCs/>
        </w:rPr>
      </w:pPr>
      <w:r>
        <w:rPr>
          <w:b/>
          <w:bCs/>
          <w:noProof/>
        </w:rPr>
        <mc:AlternateContent>
          <mc:Choice Requires="wps">
            <w:drawing>
              <wp:anchor distT="0" distB="0" distL="114300" distR="114300" simplePos="0" relativeHeight="251661312" behindDoc="0" locked="0" layoutInCell="1" allowOverlap="1" wp14:anchorId="7BC3CBC4" wp14:editId="7972783E">
                <wp:simplePos x="0" y="0"/>
                <wp:positionH relativeFrom="column">
                  <wp:posOffset>4671695</wp:posOffset>
                </wp:positionH>
                <wp:positionV relativeFrom="paragraph">
                  <wp:posOffset>1845945</wp:posOffset>
                </wp:positionV>
                <wp:extent cx="202096" cy="122583"/>
                <wp:effectExtent l="0" t="0" r="13970" b="17145"/>
                <wp:wrapNone/>
                <wp:docPr id="1143330065" name="Rectangle 1"/>
                <wp:cNvGraphicFramePr/>
                <a:graphic xmlns:a="http://schemas.openxmlformats.org/drawingml/2006/main">
                  <a:graphicData uri="http://schemas.microsoft.com/office/word/2010/wordprocessingShape">
                    <wps:wsp>
                      <wps:cNvSpPr/>
                      <wps:spPr>
                        <a:xfrm>
                          <a:off x="0" y="0"/>
                          <a:ext cx="202096" cy="122583"/>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C6CCF72" id="Rectangle 1" o:spid="_x0000_s1026" style="position:absolute;margin-left:367.85pt;margin-top:145.35pt;width:15.9pt;height:9.6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" fillcolor="white [3212]" strokecolor="white [3212]" strokeweight="1pt"/>
            </w:pict>
          </mc:Fallback>
        </mc:AlternateContent>
      </w:r>
      <w:r>
        <w:rPr>
          <w:b/>
          <w:bCs/>
          <w:noProof/>
        </w:rPr>
        <mc:AlternateContent>
          <mc:Choice Requires="wps">
            <w:drawing>
              <wp:anchor distT="0" distB="0" distL="114300" distR="114300" simplePos="0" relativeHeight="251659264" behindDoc="0" locked="0" layoutInCell="1" allowOverlap="1" wp14:anchorId="03141EF2" wp14:editId="64150DD8">
                <wp:simplePos x="0" y="0"/>
                <wp:positionH relativeFrom="column">
                  <wp:posOffset>3445372</wp:posOffset>
                </wp:positionH>
                <wp:positionV relativeFrom="paragraph">
                  <wp:posOffset>1845945</wp:posOffset>
                </wp:positionV>
                <wp:extent cx="1202635" cy="122583"/>
                <wp:effectExtent l="0" t="0" r="17145" b="17145"/>
                <wp:wrapNone/>
                <wp:docPr id="614640858" name="Rectangle 1"/>
                <wp:cNvGraphicFramePr/>
                <a:graphic xmlns:a="http://schemas.openxmlformats.org/drawingml/2006/main">
                  <a:graphicData uri="http://schemas.microsoft.com/office/word/2010/wordprocessingShape">
                    <wps:wsp>
                      <wps:cNvSpPr/>
                      <wps:spPr>
                        <a:xfrm>
                          <a:off x="0" y="0"/>
                          <a:ext cx="1202635" cy="122583"/>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F727855" id="Rectangle 1" o:spid="_x0000_s1026" style="position:absolute;margin-left:271.3pt;margin-top:145.35pt;width:94.7pt;height:9.6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" fillcolor="white [3212]" strokecolor="white [3212]" strokeweight="1pt"/>
            </w:pict>
          </mc:Fallback>
        </mc:AlternateContent>
      </w:r>
      <w:r w:rsidR="00FC7D22">
        <w:rPr>
          <w:b/>
          <w:bCs/>
          <w:noProof/>
        </w:rPr>
        <w:drawing>
          <wp:inline distT="0" distB="0" distL="0" distR="0" wp14:anchorId="606F5EBE" wp14:editId="488CFD24">
            <wp:extent cx="5943600" cy="565404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pic:nvPicPr>
                  <pic:blipFill>
                    <a:blip r:embed="rId37">
                      <a:extLst>
                        <a:ext uri="{28A0092B-C50C-407E-A947-70E740481C1C}">
                          <a14:useLocalDpi xmlns:a14="http://schemas.microsoft.com/office/drawing/2010/main" val="0"/>
                        </a:ext>
                      </a:extLst>
                    </a:blip>
                    <a:stretch>
                      <a:fillRect/>
                    </a:stretch>
                  </pic:blipFill>
                  <pic:spPr>
                    <a:xfrm>
                      <a:off x="0" y="0"/>
                      <a:ext cx="5943600" cy="5654040"/>
                    </a:xfrm>
                    <a:prstGeom prst="rect">
                      <a:avLst/>
                    </a:prstGeom>
                  </pic:spPr>
                </pic:pic>
              </a:graphicData>
            </a:graphic>
          </wp:inline>
        </w:drawing>
      </w:r>
    </w:p>
    <w:p w14:paraId="799C7037" w14:textId="09B6C1EF" w:rsidR="00FC7D22" w:rsidRDefault="00FC7D22">
      <w:pPr>
        <w:rPr>
          <w:b/>
          <w:bCs/>
        </w:rPr>
      </w:pPr>
    </w:p>
    <w:p w14:paraId="30D690D4" w14:textId="77777777" w:rsidR="00446178" w:rsidRPr="00023AEE" w:rsidRDefault="00446178" w:rsidP="00446178">
      <w:pPr>
        <w:rPr>
          <w:sz w:val="16"/>
          <w:szCs w:val="16"/>
        </w:rPr>
      </w:pPr>
      <w:r w:rsidRPr="00023AEE">
        <w:rPr>
          <w:color w:val="000000"/>
          <w:sz w:val="16"/>
          <w:szCs w:val="16"/>
        </w:rPr>
        <w:t>Pooled effect estimates for each subgroup and overall effect are represented by the diamonds. Data are expressed as weighted mean differences with 95% confidence intervals using the generic inverse-variance method and random effects DerSimonian-Laird model. Paired analyses were applied to all crossover trials. Inter‐study heterogeneity was assessed using the Cochrane Q statistic and quantified using the I</w:t>
      </w:r>
      <w:r w:rsidRPr="00446178">
        <w:rPr>
          <w:color w:val="000000"/>
          <w:sz w:val="16"/>
          <w:szCs w:val="16"/>
          <w:vertAlign w:val="superscript"/>
        </w:rPr>
        <w:t>2</w:t>
      </w:r>
      <w:r w:rsidRPr="00023AEE">
        <w:rPr>
          <w:color w:val="000000"/>
          <w:sz w:val="16"/>
          <w:szCs w:val="16"/>
        </w:rPr>
        <w:t xml:space="preserve"> statistic, with significance set at p&lt;0.100 and I</w:t>
      </w:r>
      <w:r w:rsidRPr="00446178">
        <w:rPr>
          <w:color w:val="000000"/>
          <w:sz w:val="16"/>
          <w:szCs w:val="16"/>
          <w:vertAlign w:val="superscript"/>
        </w:rPr>
        <w:t>2</w:t>
      </w:r>
      <w:r w:rsidRPr="00023AEE">
        <w:rPr>
          <w:color w:val="000000"/>
          <w:sz w:val="16"/>
          <w:szCs w:val="16"/>
        </w:rPr>
        <w:t>≥50% considered to be evidence of substantial heterogeneity. </w:t>
      </w:r>
    </w:p>
    <w:p w14:paraId="327EED22" w14:textId="77777777" w:rsidR="00446178" w:rsidRPr="00023AEE" w:rsidRDefault="00446178" w:rsidP="00446178">
      <w:pPr>
        <w:rPr>
          <w:sz w:val="16"/>
          <w:szCs w:val="16"/>
        </w:rPr>
      </w:pPr>
      <w:r w:rsidRPr="00023AEE">
        <w:rPr>
          <w:color w:val="000000"/>
          <w:sz w:val="16"/>
          <w:szCs w:val="16"/>
        </w:rPr>
        <w:t>Risk of Bias Legend: (H) High Risk; (L) Low Risk; (S) Some concerns. The letters represent the following risk of bias domains: A, randomization process; B, bias arising from period and carryover effects; C, deviations from intended intervention; D, missing outcome data; E, measurement of the outcome; F, selection of the reported result; and G, overall bias. Risk of bias arising from period and carryover effects was only applicable to crossover trials.</w:t>
      </w:r>
    </w:p>
    <w:p w14:paraId="4A5BFC34" w14:textId="77777777" w:rsidR="00446178" w:rsidRDefault="00446178" w:rsidP="00446178">
      <w:pPr>
        <w:rPr>
          <w:color w:val="000000"/>
          <w:sz w:val="16"/>
          <w:szCs w:val="16"/>
        </w:rPr>
      </w:pPr>
      <w:r w:rsidRPr="00023AEE">
        <w:rPr>
          <w:color w:val="000000"/>
          <w:sz w:val="16"/>
          <w:szCs w:val="16"/>
        </w:rPr>
        <w:t xml:space="preserve">The pooled effect summary was calculated with the </w:t>
      </w:r>
      <w:r w:rsidRPr="00023AEE">
        <w:rPr>
          <w:color w:val="202122"/>
          <w:sz w:val="16"/>
          <w:szCs w:val="16"/>
        </w:rPr>
        <w:t>χ</w:t>
      </w:r>
      <w:r w:rsidRPr="00023AEE">
        <w:rPr>
          <w:color w:val="202122"/>
          <w:sz w:val="16"/>
          <w:szCs w:val="16"/>
          <w:vertAlign w:val="superscript"/>
        </w:rPr>
        <w:t>2</w:t>
      </w:r>
      <w:r w:rsidRPr="00023AEE">
        <w:rPr>
          <w:color w:val="000000"/>
          <w:sz w:val="16"/>
          <w:szCs w:val="16"/>
        </w:rPr>
        <w:t xml:space="preserve"> test. The test for group differences was calculated with meta-regression, which uses the Wald test. </w:t>
      </w:r>
    </w:p>
    <w:p w14:paraId="24C641D2" w14:textId="64D7CA69" w:rsidR="002820C3" w:rsidRDefault="002820C3" w:rsidP="00FC7D22">
      <w:pPr>
        <w:rPr>
          <w:color w:val="000000"/>
          <w:sz w:val="16"/>
          <w:szCs w:val="16"/>
        </w:rPr>
      </w:pPr>
    </w:p>
    <w:p w14:paraId="457D1608" w14:textId="130BA87F" w:rsidR="002820C3" w:rsidRDefault="002820C3" w:rsidP="00FC7D22">
      <w:pPr>
        <w:rPr>
          <w:color w:val="000000"/>
          <w:sz w:val="16"/>
          <w:szCs w:val="16"/>
        </w:rPr>
      </w:pPr>
      <w:r w:rsidRPr="002820C3">
        <w:rPr>
          <w:rFonts w:ascii="Arial" w:hAnsi="Arial" w:cs="Arial"/>
          <w:color w:val="000000"/>
          <w:sz w:val="16"/>
          <w:szCs w:val="16"/>
        </w:rPr>
        <w:t>†</w:t>
      </w:r>
      <w:r>
        <w:rPr>
          <w:color w:val="000000"/>
          <w:sz w:val="16"/>
          <w:szCs w:val="16"/>
        </w:rPr>
        <w:t>Post-hoc subgroup analysis by soy protein containing comparator and baseline BMI</w:t>
      </w:r>
    </w:p>
    <w:p w14:paraId="7A456FF7" w14:textId="77777777" w:rsidR="00FC7D22" w:rsidRDefault="00FC7D22" w:rsidP="00FC7D22">
      <w:pPr>
        <w:rPr>
          <w:color w:val="000000"/>
          <w:sz w:val="16"/>
          <w:szCs w:val="16"/>
        </w:rPr>
      </w:pPr>
    </w:p>
    <w:p w14:paraId="54E5561C" w14:textId="0E127D9D" w:rsidR="00FC7D22" w:rsidRDefault="00FC7D22" w:rsidP="00FC7D22">
      <w:pPr>
        <w:rPr>
          <w:color w:val="000000"/>
          <w:sz w:val="16"/>
          <w:szCs w:val="16"/>
        </w:rPr>
      </w:pPr>
      <w:r>
        <w:rPr>
          <w:color w:val="000000"/>
          <w:sz w:val="16"/>
          <w:szCs w:val="16"/>
        </w:rPr>
        <w:t xml:space="preserve">*N=3 </w:t>
      </w:r>
      <w:r w:rsidR="001F1A0F">
        <w:rPr>
          <w:color w:val="000000"/>
          <w:sz w:val="16"/>
          <w:szCs w:val="16"/>
        </w:rPr>
        <w:t xml:space="preserve">trial </w:t>
      </w:r>
      <w:r>
        <w:rPr>
          <w:color w:val="000000"/>
          <w:sz w:val="16"/>
          <w:szCs w:val="16"/>
        </w:rPr>
        <w:t>comparisons missing data for BMI</w:t>
      </w:r>
    </w:p>
    <w:p w14:paraId="7D2541EA" w14:textId="77777777" w:rsidR="00FC7D22" w:rsidRPr="00023AEE" w:rsidRDefault="00FC7D22" w:rsidP="00FC7D22">
      <w:pPr>
        <w:rPr>
          <w:sz w:val="16"/>
          <w:szCs w:val="16"/>
        </w:rPr>
      </w:pPr>
    </w:p>
    <w:p w14:paraId="247C1302" w14:textId="120C6C14" w:rsidR="00446178" w:rsidRDefault="00A8204E" w:rsidP="00FC7D22">
      <w:pPr>
        <w:rPr>
          <w:color w:val="000000"/>
          <w:sz w:val="16"/>
          <w:szCs w:val="16"/>
        </w:rPr>
      </w:pPr>
      <w:r>
        <w:rPr>
          <w:color w:val="000000"/>
          <w:sz w:val="16"/>
          <w:szCs w:val="16"/>
        </w:rPr>
        <w:t xml:space="preserve">BMI, body mass index; </w:t>
      </w:r>
      <w:r w:rsidRPr="00023AEE">
        <w:rPr>
          <w:color w:val="000000"/>
          <w:sz w:val="16"/>
          <w:szCs w:val="16"/>
        </w:rPr>
        <w:t>CI, confidence interval</w:t>
      </w:r>
      <w:r>
        <w:rPr>
          <w:color w:val="000000"/>
          <w:sz w:val="16"/>
          <w:szCs w:val="16"/>
        </w:rPr>
        <w:t xml:space="preserve">; </w:t>
      </w:r>
      <w:r w:rsidR="008B1B2B">
        <w:rPr>
          <w:color w:val="000000"/>
          <w:sz w:val="16"/>
          <w:szCs w:val="16"/>
        </w:rPr>
        <w:t>MD, mean difference</w:t>
      </w:r>
    </w:p>
    <w:p w14:paraId="2430B983" w14:textId="77A47ED1" w:rsidR="00FC7D22" w:rsidRPr="00446178" w:rsidRDefault="00FC7D22" w:rsidP="00CB4744">
      <w:pPr>
        <w:pStyle w:val="Heading1"/>
        <w:rPr>
          <w:color w:val="000000"/>
          <w:sz w:val="16"/>
          <w:szCs w:val="16"/>
        </w:rPr>
      </w:pPr>
      <w:bookmarkStart w:id="45" w:name="_Toc152764307"/>
      <w:bookmarkStart w:id="46" w:name="_Toc153356564"/>
      <w:r w:rsidRPr="004471F3">
        <w:rPr>
          <w:b/>
          <w:bCs/>
        </w:rPr>
        <w:lastRenderedPageBreak/>
        <w:t xml:space="preserve">Supplementary Figure </w:t>
      </w:r>
      <w:r>
        <w:rPr>
          <w:b/>
          <w:bCs/>
        </w:rPr>
        <w:t>15 (3 of 3)</w:t>
      </w:r>
      <w:r w:rsidRPr="004471F3">
        <w:rPr>
          <w:b/>
          <w:bCs/>
        </w:rPr>
        <w:t>.</w:t>
      </w:r>
      <w:r w:rsidRPr="004471F3">
        <w:t xml:space="preserve"> </w:t>
      </w:r>
      <w:r>
        <w:t xml:space="preserve">Subgroup analyses </w:t>
      </w:r>
      <w:r w:rsidRPr="00F31633">
        <w:t>for the effect of</w:t>
      </w:r>
      <w:r>
        <w:t xml:space="preserve"> soy </w:t>
      </w:r>
      <w:r w:rsidRPr="00F31633">
        <w:t xml:space="preserve">isoflavones on </w:t>
      </w:r>
      <w:r>
        <w:t>endometrial thickness</w:t>
      </w:r>
      <w:bookmarkEnd w:id="45"/>
      <w:bookmarkEnd w:id="46"/>
    </w:p>
    <w:p w14:paraId="34D34E75" w14:textId="77777777" w:rsidR="00FC7D22" w:rsidRPr="00FC7D22" w:rsidRDefault="00FC7D22" w:rsidP="00FC7D22">
      <w:pPr>
        <w:rPr>
          <w:color w:val="000000"/>
        </w:rPr>
      </w:pPr>
    </w:p>
    <w:p w14:paraId="56BEC95F" w14:textId="77777777" w:rsidR="00FC7D22" w:rsidRDefault="00FC7D22">
      <w:pPr>
        <w:rPr>
          <w:color w:val="000000"/>
          <w:sz w:val="16"/>
          <w:szCs w:val="16"/>
        </w:rPr>
      </w:pPr>
      <w:r>
        <w:rPr>
          <w:noProof/>
          <w:color w:val="000000"/>
          <w:sz w:val="16"/>
          <w:szCs w:val="16"/>
        </w:rPr>
        <w:drawing>
          <wp:inline distT="0" distB="0" distL="0" distR="0" wp14:anchorId="3233B0F0" wp14:editId="62EF897F">
            <wp:extent cx="5285467" cy="592074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pic:cNvPicPr/>
                  </pic:nvPicPr>
                  <pic:blipFill>
                    <a:blip r:embed="rId38">
                      <a:extLst>
                        <a:ext uri="{28A0092B-C50C-407E-A947-70E740481C1C}">
                          <a14:useLocalDpi xmlns:a14="http://schemas.microsoft.com/office/drawing/2010/main" val="0"/>
                        </a:ext>
                      </a:extLst>
                    </a:blip>
                    <a:stretch>
                      <a:fillRect/>
                    </a:stretch>
                  </pic:blipFill>
                  <pic:spPr>
                    <a:xfrm>
                      <a:off x="0" y="0"/>
                      <a:ext cx="5317918" cy="5957092"/>
                    </a:xfrm>
                    <a:prstGeom prst="rect">
                      <a:avLst/>
                    </a:prstGeom>
                  </pic:spPr>
                </pic:pic>
              </a:graphicData>
            </a:graphic>
          </wp:inline>
        </w:drawing>
      </w:r>
    </w:p>
    <w:p w14:paraId="667D1C55" w14:textId="77777777" w:rsidR="00FC7D22" w:rsidRDefault="00FC7D22">
      <w:pPr>
        <w:rPr>
          <w:color w:val="000000"/>
          <w:sz w:val="16"/>
          <w:szCs w:val="16"/>
        </w:rPr>
      </w:pPr>
    </w:p>
    <w:p w14:paraId="03A5B4A5" w14:textId="77777777" w:rsidR="00FC7D22" w:rsidRPr="00023AEE" w:rsidRDefault="00FC7D22" w:rsidP="00FC7D22">
      <w:pPr>
        <w:rPr>
          <w:sz w:val="16"/>
          <w:szCs w:val="16"/>
        </w:rPr>
      </w:pPr>
      <w:r w:rsidRPr="00023AEE">
        <w:rPr>
          <w:color w:val="000000"/>
          <w:sz w:val="16"/>
          <w:szCs w:val="16"/>
        </w:rPr>
        <w:t>Pooled effect estimates for each subgroup and overall effect are represented by the diamonds. Data are expressed as weighted mean differences with 95% confidence intervals using the generic inverse-variance method and random effects DerSimonian-Laird model. Paired analyses were applied to all crossover trials. Inter‐study heterogeneity was assessed using the Cochrane Q statistic and quantified using the I</w:t>
      </w:r>
      <w:r w:rsidRPr="00446178">
        <w:rPr>
          <w:color w:val="000000"/>
          <w:sz w:val="16"/>
          <w:szCs w:val="16"/>
          <w:vertAlign w:val="superscript"/>
        </w:rPr>
        <w:t>2</w:t>
      </w:r>
      <w:r w:rsidRPr="00023AEE">
        <w:rPr>
          <w:color w:val="000000"/>
          <w:sz w:val="16"/>
          <w:szCs w:val="16"/>
        </w:rPr>
        <w:t xml:space="preserve"> statistic, with significance set at p&lt;0.100 and I</w:t>
      </w:r>
      <w:r w:rsidRPr="00446178">
        <w:rPr>
          <w:color w:val="000000"/>
          <w:sz w:val="16"/>
          <w:szCs w:val="16"/>
          <w:vertAlign w:val="superscript"/>
        </w:rPr>
        <w:t>2</w:t>
      </w:r>
      <w:r w:rsidRPr="00023AEE">
        <w:rPr>
          <w:color w:val="000000"/>
          <w:sz w:val="16"/>
          <w:szCs w:val="16"/>
        </w:rPr>
        <w:t>≥50% considered to be evidence of substantial heterogeneity. </w:t>
      </w:r>
    </w:p>
    <w:p w14:paraId="070FC74E" w14:textId="77777777" w:rsidR="00FC7D22" w:rsidRPr="00023AEE" w:rsidRDefault="00FC7D22" w:rsidP="00FC7D22">
      <w:pPr>
        <w:rPr>
          <w:sz w:val="16"/>
          <w:szCs w:val="16"/>
        </w:rPr>
      </w:pPr>
      <w:r w:rsidRPr="00023AEE">
        <w:rPr>
          <w:color w:val="000000"/>
          <w:sz w:val="16"/>
          <w:szCs w:val="16"/>
        </w:rPr>
        <w:t>Risk of Bias Legend: (H) High Risk; (L) Low Risk; (S) Some concerns. The letters represent the following risk of bias domains: A, randomization process; B, bias arising from period and carryover effects; C, deviations from intended intervention; D, missing outcome data; E, measurement of the outcome; F, selection of the reported result; and G, overall bias. Risk of bias arising from period and carryover effects was only applicable to crossover trials.</w:t>
      </w:r>
    </w:p>
    <w:p w14:paraId="035DB902" w14:textId="16900230" w:rsidR="00FC7D22" w:rsidRDefault="00FC7D22" w:rsidP="00FC7D22">
      <w:pPr>
        <w:rPr>
          <w:color w:val="000000"/>
          <w:sz w:val="16"/>
          <w:szCs w:val="16"/>
        </w:rPr>
      </w:pPr>
      <w:r w:rsidRPr="00023AEE">
        <w:rPr>
          <w:color w:val="000000"/>
          <w:sz w:val="16"/>
          <w:szCs w:val="16"/>
        </w:rPr>
        <w:t xml:space="preserve">The pooled effect summary was calculated with the </w:t>
      </w:r>
      <w:r w:rsidRPr="00023AEE">
        <w:rPr>
          <w:color w:val="202122"/>
          <w:sz w:val="16"/>
          <w:szCs w:val="16"/>
        </w:rPr>
        <w:t>χ</w:t>
      </w:r>
      <w:r w:rsidRPr="00023AEE">
        <w:rPr>
          <w:color w:val="202122"/>
          <w:sz w:val="16"/>
          <w:szCs w:val="16"/>
          <w:vertAlign w:val="superscript"/>
        </w:rPr>
        <w:t>2</w:t>
      </w:r>
      <w:r w:rsidRPr="00023AEE">
        <w:rPr>
          <w:color w:val="000000"/>
          <w:sz w:val="16"/>
          <w:szCs w:val="16"/>
        </w:rPr>
        <w:t xml:space="preserve"> test. The test for group differences was calculated with meta-regression, which uses the Wald test. </w:t>
      </w:r>
    </w:p>
    <w:p w14:paraId="2DB0A5A9" w14:textId="6CCFFD0A" w:rsidR="002820C3" w:rsidRDefault="002820C3" w:rsidP="00FC7D22">
      <w:pPr>
        <w:rPr>
          <w:color w:val="000000"/>
          <w:sz w:val="16"/>
          <w:szCs w:val="16"/>
        </w:rPr>
      </w:pPr>
    </w:p>
    <w:p w14:paraId="022B4EC4" w14:textId="2B473AE9" w:rsidR="002820C3" w:rsidRDefault="002820C3" w:rsidP="00FC7D22">
      <w:pPr>
        <w:rPr>
          <w:color w:val="000000"/>
          <w:sz w:val="16"/>
          <w:szCs w:val="16"/>
        </w:rPr>
      </w:pPr>
      <w:r w:rsidRPr="002820C3">
        <w:rPr>
          <w:rFonts w:ascii="Arial" w:hAnsi="Arial" w:cs="Arial"/>
          <w:color w:val="000000"/>
          <w:sz w:val="16"/>
          <w:szCs w:val="16"/>
        </w:rPr>
        <w:t>†</w:t>
      </w:r>
      <w:r>
        <w:rPr>
          <w:color w:val="000000"/>
          <w:sz w:val="16"/>
          <w:szCs w:val="16"/>
        </w:rPr>
        <w:t>Post-hoc subgroup analysis by type MD</w:t>
      </w:r>
    </w:p>
    <w:p w14:paraId="2D8EC13E" w14:textId="77777777" w:rsidR="00FC7D22" w:rsidRPr="00023AEE" w:rsidRDefault="00FC7D22" w:rsidP="00FC7D22">
      <w:pPr>
        <w:rPr>
          <w:sz w:val="16"/>
          <w:szCs w:val="16"/>
        </w:rPr>
      </w:pPr>
    </w:p>
    <w:p w14:paraId="589820B1" w14:textId="4E04610D" w:rsidR="008B1B2B" w:rsidRDefault="00A8204E" w:rsidP="00FC7D22">
      <w:pPr>
        <w:rPr>
          <w:color w:val="000000"/>
          <w:sz w:val="16"/>
          <w:szCs w:val="16"/>
        </w:rPr>
      </w:pPr>
      <w:r w:rsidRPr="00023AEE">
        <w:rPr>
          <w:color w:val="000000"/>
          <w:sz w:val="16"/>
          <w:szCs w:val="16"/>
        </w:rPr>
        <w:t>CI, confidence interval</w:t>
      </w:r>
      <w:r>
        <w:rPr>
          <w:color w:val="000000"/>
          <w:sz w:val="16"/>
          <w:szCs w:val="16"/>
        </w:rPr>
        <w:t xml:space="preserve">; </w:t>
      </w:r>
      <w:r w:rsidR="008B1B2B">
        <w:rPr>
          <w:color w:val="000000"/>
          <w:sz w:val="16"/>
          <w:szCs w:val="16"/>
        </w:rPr>
        <w:t>MD, mean difference</w:t>
      </w:r>
    </w:p>
    <w:p w14:paraId="406E8BD2" w14:textId="1A7AA721" w:rsidR="008B1B2B" w:rsidRPr="00D201D3" w:rsidRDefault="008B1B2B" w:rsidP="00D201D3">
      <w:pPr>
        <w:rPr>
          <w:color w:val="000000"/>
          <w:sz w:val="16"/>
          <w:szCs w:val="16"/>
        </w:rPr>
      </w:pPr>
      <w:r>
        <w:rPr>
          <w:color w:val="000000"/>
          <w:sz w:val="16"/>
          <w:szCs w:val="16"/>
        </w:rPr>
        <w:br w:type="page"/>
      </w:r>
      <w:bookmarkStart w:id="47" w:name="_Toc152764308"/>
      <w:bookmarkStart w:id="48" w:name="_Toc153356565"/>
      <w:r w:rsidRPr="004471F3">
        <w:rPr>
          <w:b/>
          <w:bCs/>
        </w:rPr>
        <w:lastRenderedPageBreak/>
        <w:t>Supplementa</w:t>
      </w:r>
      <w:r w:rsidR="005C5F52">
        <w:rPr>
          <w:b/>
          <w:bCs/>
        </w:rPr>
        <w:t>l</w:t>
      </w:r>
      <w:r w:rsidRPr="004471F3">
        <w:rPr>
          <w:b/>
          <w:bCs/>
        </w:rPr>
        <w:t xml:space="preserve"> Figure </w:t>
      </w:r>
      <w:r>
        <w:rPr>
          <w:b/>
          <w:bCs/>
        </w:rPr>
        <w:t>16 (1 of 3)</w:t>
      </w:r>
      <w:r w:rsidRPr="004471F3">
        <w:rPr>
          <w:b/>
          <w:bCs/>
        </w:rPr>
        <w:t>.</w:t>
      </w:r>
      <w:r w:rsidRPr="004471F3">
        <w:t xml:space="preserve"> </w:t>
      </w:r>
      <w:r>
        <w:t xml:space="preserve">Subgroup analyses </w:t>
      </w:r>
      <w:r w:rsidRPr="00F31633">
        <w:t>for the effect of</w:t>
      </w:r>
      <w:r>
        <w:t xml:space="preserve"> soy </w:t>
      </w:r>
      <w:r w:rsidRPr="00F31633">
        <w:t xml:space="preserve">isoflavones on </w:t>
      </w:r>
      <w:r>
        <w:t>follicle-stimulating hormone*</w:t>
      </w:r>
      <w:bookmarkEnd w:id="47"/>
      <w:bookmarkEnd w:id="48"/>
    </w:p>
    <w:p w14:paraId="031C8446" w14:textId="780B1E3C" w:rsidR="008B1B2B" w:rsidRDefault="008B1B2B" w:rsidP="008B1B2B"/>
    <w:p w14:paraId="5D93D577" w14:textId="6941ED40" w:rsidR="008B1B2B" w:rsidRDefault="00D201D3" w:rsidP="008B1B2B">
      <w:r>
        <w:rPr>
          <w:b/>
          <w:bCs/>
          <w:noProof/>
        </w:rPr>
        <mc:AlternateContent>
          <mc:Choice Requires="wps">
            <w:drawing>
              <wp:anchor distT="0" distB="0" distL="114300" distR="114300" simplePos="0" relativeHeight="251663360" behindDoc="0" locked="0" layoutInCell="1" allowOverlap="1" wp14:anchorId="6A871DA7" wp14:editId="6C90D0D1">
                <wp:simplePos x="0" y="0"/>
                <wp:positionH relativeFrom="column">
                  <wp:posOffset>3048635</wp:posOffset>
                </wp:positionH>
                <wp:positionV relativeFrom="paragraph">
                  <wp:posOffset>2209165</wp:posOffset>
                </wp:positionV>
                <wp:extent cx="558800" cy="122555"/>
                <wp:effectExtent l="0" t="0" r="12700" b="17145"/>
                <wp:wrapNone/>
                <wp:docPr id="1736306720" name="Rectangle 1"/>
                <wp:cNvGraphicFramePr/>
                <a:graphic xmlns:a="http://schemas.openxmlformats.org/drawingml/2006/main">
                  <a:graphicData uri="http://schemas.microsoft.com/office/word/2010/wordprocessingShape">
                    <wps:wsp>
                      <wps:cNvSpPr/>
                      <wps:spPr>
                        <a:xfrm>
                          <a:off x="0" y="0"/>
                          <a:ext cx="558800" cy="122555"/>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A11088D" id="Rectangle 1" o:spid="_x0000_s1026" style="position:absolute;margin-left:240.05pt;margin-top:173.95pt;width:44pt;height:9.6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" fillcolor="white [3212]" strokecolor="white [3212]" strokeweight="1pt"/>
            </w:pict>
          </mc:Fallback>
        </mc:AlternateContent>
      </w:r>
      <w:r>
        <w:rPr>
          <w:b/>
          <w:bCs/>
          <w:noProof/>
        </w:rPr>
        <mc:AlternateContent>
          <mc:Choice Requires="wps">
            <w:drawing>
              <wp:anchor distT="0" distB="0" distL="114300" distR="114300" simplePos="0" relativeHeight="251665408" behindDoc="0" locked="0" layoutInCell="1" allowOverlap="1" wp14:anchorId="461E5323" wp14:editId="21379661">
                <wp:simplePos x="0" y="0"/>
                <wp:positionH relativeFrom="column">
                  <wp:posOffset>3626011</wp:posOffset>
                </wp:positionH>
                <wp:positionV relativeFrom="paragraph">
                  <wp:posOffset>2209165</wp:posOffset>
                </wp:positionV>
                <wp:extent cx="558875" cy="122583"/>
                <wp:effectExtent l="0" t="0" r="12700" b="17145"/>
                <wp:wrapNone/>
                <wp:docPr id="1843395269" name="Rectangle 1"/>
                <wp:cNvGraphicFramePr/>
                <a:graphic xmlns:a="http://schemas.openxmlformats.org/drawingml/2006/main">
                  <a:graphicData uri="http://schemas.microsoft.com/office/word/2010/wordprocessingShape">
                    <wps:wsp>
                      <wps:cNvSpPr/>
                      <wps:spPr>
                        <a:xfrm>
                          <a:off x="0" y="0"/>
                          <a:ext cx="558875" cy="122583"/>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940BA0B" id="Rectangle 1" o:spid="_x0000_s1026" style="position:absolute;margin-left:285.5pt;margin-top:173.95pt;width:44pt;height:9.6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" fillcolor="white [3212]" strokecolor="white [3212]" strokeweight="1pt"/>
            </w:pict>
          </mc:Fallback>
        </mc:AlternateContent>
      </w:r>
      <w:r w:rsidR="008B1B2B">
        <w:rPr>
          <w:noProof/>
        </w:rPr>
        <w:drawing>
          <wp:inline distT="0" distB="0" distL="0" distR="0" wp14:anchorId="28199B70" wp14:editId="0C721590">
            <wp:extent cx="5038165" cy="7677204"/>
            <wp:effectExtent l="0" t="0" r="381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pic:nvPicPr>
                  <pic:blipFill>
                    <a:blip r:embed="rId39">
                      <a:extLst>
                        <a:ext uri="{28A0092B-C50C-407E-A947-70E740481C1C}">
                          <a14:useLocalDpi xmlns:a14="http://schemas.microsoft.com/office/drawing/2010/main" val="0"/>
                        </a:ext>
                      </a:extLst>
                    </a:blip>
                    <a:stretch>
                      <a:fillRect/>
                    </a:stretch>
                  </pic:blipFill>
                  <pic:spPr>
                    <a:xfrm>
                      <a:off x="0" y="0"/>
                      <a:ext cx="5047155" cy="7690903"/>
                    </a:xfrm>
                    <a:prstGeom prst="rect">
                      <a:avLst/>
                    </a:prstGeom>
                  </pic:spPr>
                </pic:pic>
              </a:graphicData>
            </a:graphic>
          </wp:inline>
        </w:drawing>
      </w:r>
    </w:p>
    <w:p w14:paraId="0A998FBD" w14:textId="77777777" w:rsidR="00446178" w:rsidRPr="00023AEE" w:rsidRDefault="00446178" w:rsidP="00446178">
      <w:pPr>
        <w:rPr>
          <w:sz w:val="16"/>
          <w:szCs w:val="16"/>
        </w:rPr>
      </w:pPr>
      <w:r w:rsidRPr="00023AEE">
        <w:rPr>
          <w:color w:val="000000"/>
          <w:sz w:val="16"/>
          <w:szCs w:val="16"/>
        </w:rPr>
        <w:lastRenderedPageBreak/>
        <w:t>Pooled effect estimates for each subgroup and overall effect are represented by the diamonds. Data are expressed as weighted mean differences with 95% confidence intervals using the generic inverse-variance method and random effects DerSimonian-Laird model. Paired analyses were applied to all crossover trials. Inter‐study heterogeneity was assessed using the Cochrane Q statistic and quantified using the I</w:t>
      </w:r>
      <w:r w:rsidRPr="00446178">
        <w:rPr>
          <w:color w:val="000000"/>
          <w:sz w:val="16"/>
          <w:szCs w:val="16"/>
          <w:vertAlign w:val="superscript"/>
        </w:rPr>
        <w:t>2</w:t>
      </w:r>
      <w:r w:rsidRPr="00023AEE">
        <w:rPr>
          <w:color w:val="000000"/>
          <w:sz w:val="16"/>
          <w:szCs w:val="16"/>
        </w:rPr>
        <w:t xml:space="preserve"> statistic, with significance set at p&lt;0.100 and I</w:t>
      </w:r>
      <w:r w:rsidRPr="00446178">
        <w:rPr>
          <w:color w:val="000000"/>
          <w:sz w:val="16"/>
          <w:szCs w:val="16"/>
          <w:vertAlign w:val="superscript"/>
        </w:rPr>
        <w:t>2</w:t>
      </w:r>
      <w:r w:rsidRPr="00023AEE">
        <w:rPr>
          <w:color w:val="000000"/>
          <w:sz w:val="16"/>
          <w:szCs w:val="16"/>
        </w:rPr>
        <w:t>≥50% considered to be evidence of substantial heterogeneity. </w:t>
      </w:r>
    </w:p>
    <w:p w14:paraId="402BEF82" w14:textId="77777777" w:rsidR="00446178" w:rsidRPr="00023AEE" w:rsidRDefault="00446178" w:rsidP="00446178">
      <w:pPr>
        <w:rPr>
          <w:sz w:val="16"/>
          <w:szCs w:val="16"/>
        </w:rPr>
      </w:pPr>
      <w:r w:rsidRPr="00023AEE">
        <w:rPr>
          <w:color w:val="000000"/>
          <w:sz w:val="16"/>
          <w:szCs w:val="16"/>
        </w:rPr>
        <w:t>Risk of Bias Legend: (H) High Risk; (L) Low Risk; (S) Some concerns. The letters represent the following risk of bias domains: A, randomization process; B, bias arising from period and carryover effects; C, deviations from intended intervention; D, missing outcome data; E, measurement of the outcome; F, selection of the reported result; and G, overall bias. Risk of bias arising from period and carryover effects was only applicable to crossover trials.</w:t>
      </w:r>
    </w:p>
    <w:p w14:paraId="70902601" w14:textId="77777777" w:rsidR="00446178" w:rsidRDefault="00446178" w:rsidP="00446178">
      <w:pPr>
        <w:rPr>
          <w:color w:val="000000"/>
          <w:sz w:val="16"/>
          <w:szCs w:val="16"/>
        </w:rPr>
      </w:pPr>
      <w:r w:rsidRPr="00023AEE">
        <w:rPr>
          <w:color w:val="000000"/>
          <w:sz w:val="16"/>
          <w:szCs w:val="16"/>
        </w:rPr>
        <w:t xml:space="preserve">The pooled effect summary was calculated with the </w:t>
      </w:r>
      <w:r w:rsidRPr="00023AEE">
        <w:rPr>
          <w:color w:val="202122"/>
          <w:sz w:val="16"/>
          <w:szCs w:val="16"/>
        </w:rPr>
        <w:t>χ</w:t>
      </w:r>
      <w:r w:rsidRPr="00023AEE">
        <w:rPr>
          <w:color w:val="202122"/>
          <w:sz w:val="16"/>
          <w:szCs w:val="16"/>
          <w:vertAlign w:val="superscript"/>
        </w:rPr>
        <w:t>2</w:t>
      </w:r>
      <w:r w:rsidRPr="00023AEE">
        <w:rPr>
          <w:color w:val="000000"/>
          <w:sz w:val="16"/>
          <w:szCs w:val="16"/>
        </w:rPr>
        <w:t xml:space="preserve"> test. The test for group differences was calculated with meta-regression, which uses the Wald test. </w:t>
      </w:r>
    </w:p>
    <w:p w14:paraId="27BECD21" w14:textId="5DD02030" w:rsidR="002820C3" w:rsidRDefault="002820C3" w:rsidP="008B1B2B">
      <w:pPr>
        <w:rPr>
          <w:color w:val="000000"/>
          <w:sz w:val="16"/>
          <w:szCs w:val="16"/>
        </w:rPr>
      </w:pPr>
    </w:p>
    <w:p w14:paraId="146FA9EE" w14:textId="3EFB0097" w:rsidR="002820C3" w:rsidRDefault="002820C3" w:rsidP="008B1B2B">
      <w:pPr>
        <w:rPr>
          <w:color w:val="000000"/>
          <w:sz w:val="16"/>
          <w:szCs w:val="16"/>
        </w:rPr>
      </w:pPr>
      <w:r w:rsidRPr="002820C3">
        <w:rPr>
          <w:rFonts w:ascii="Arial" w:hAnsi="Arial" w:cs="Arial"/>
          <w:color w:val="000000"/>
          <w:sz w:val="16"/>
          <w:szCs w:val="16"/>
        </w:rPr>
        <w:t>†</w:t>
      </w:r>
      <w:r>
        <w:rPr>
          <w:color w:val="000000"/>
          <w:sz w:val="16"/>
          <w:szCs w:val="16"/>
        </w:rPr>
        <w:t>Post-hoc subgroup analysis by continent</w:t>
      </w:r>
    </w:p>
    <w:p w14:paraId="412E25BF" w14:textId="77777777" w:rsidR="008B1B2B" w:rsidRDefault="008B1B2B" w:rsidP="008B1B2B">
      <w:pPr>
        <w:rPr>
          <w:color w:val="000000"/>
          <w:sz w:val="16"/>
          <w:szCs w:val="16"/>
        </w:rPr>
      </w:pPr>
    </w:p>
    <w:p w14:paraId="226AF88A" w14:textId="6257D8E0" w:rsidR="008B1B2B" w:rsidRDefault="008B1B2B" w:rsidP="008B1B2B">
      <w:pPr>
        <w:rPr>
          <w:color w:val="000000"/>
          <w:sz w:val="16"/>
          <w:szCs w:val="16"/>
        </w:rPr>
      </w:pPr>
      <w:r>
        <w:rPr>
          <w:color w:val="000000"/>
          <w:sz w:val="16"/>
          <w:szCs w:val="16"/>
        </w:rPr>
        <w:t xml:space="preserve">*N=6 </w:t>
      </w:r>
      <w:r w:rsidR="001F1A0F">
        <w:rPr>
          <w:color w:val="000000"/>
          <w:sz w:val="16"/>
          <w:szCs w:val="16"/>
        </w:rPr>
        <w:t xml:space="preserve">trial </w:t>
      </w:r>
      <w:r>
        <w:rPr>
          <w:color w:val="000000"/>
          <w:sz w:val="16"/>
          <w:szCs w:val="16"/>
        </w:rPr>
        <w:t>comparisons missing data for years since menopause</w:t>
      </w:r>
    </w:p>
    <w:p w14:paraId="5C9C4FBD" w14:textId="77777777" w:rsidR="00ED0C75" w:rsidRDefault="00ED0C75" w:rsidP="008B1B2B">
      <w:pPr>
        <w:rPr>
          <w:color w:val="000000"/>
          <w:sz w:val="16"/>
          <w:szCs w:val="16"/>
          <w:highlight w:val="yellow"/>
          <w:vertAlign w:val="superscript"/>
        </w:rPr>
      </w:pPr>
    </w:p>
    <w:p w14:paraId="559F7359" w14:textId="43D0E19F" w:rsidR="002D504C" w:rsidRDefault="00856F8C" w:rsidP="008B1B2B">
      <w:pPr>
        <w:rPr>
          <w:color w:val="000000"/>
          <w:sz w:val="16"/>
          <w:szCs w:val="16"/>
        </w:rPr>
      </w:pPr>
      <w:r w:rsidRPr="00856F8C">
        <w:rPr>
          <w:color w:val="000000"/>
          <w:sz w:val="16"/>
          <w:szCs w:val="16"/>
          <w:vertAlign w:val="superscript"/>
        </w:rPr>
        <w:t xml:space="preserve">a </w:t>
      </w:r>
      <w:r w:rsidR="002D504C" w:rsidRPr="00856F8C">
        <w:rPr>
          <w:color w:val="000000"/>
          <w:sz w:val="16"/>
          <w:szCs w:val="16"/>
        </w:rPr>
        <w:t>Pairwise between-subgroup mean differences (95% CIs) for Continent were as follows</w:t>
      </w:r>
      <w:r w:rsidR="00ED0C75" w:rsidRPr="00856F8C">
        <w:rPr>
          <w:color w:val="000000"/>
          <w:sz w:val="16"/>
          <w:szCs w:val="16"/>
        </w:rPr>
        <w:t xml:space="preserve">: -14.8 (-21.6, -8.09) (4 vs 1); </w:t>
      </w:r>
      <w:r w:rsidRPr="00856F8C">
        <w:rPr>
          <w:color w:val="000000"/>
          <w:sz w:val="16"/>
          <w:szCs w:val="16"/>
        </w:rPr>
        <w:t>-10.9 (-19.1, -2.64) (4 vs 2); -11.8 (-20.7, -2.81) (4 vs 3); 19.7 (8.85, 30.6) (5 vs 4); 13.9 (4.86, 22.9) (6 vs 4)</w:t>
      </w:r>
    </w:p>
    <w:p w14:paraId="46F86689" w14:textId="6CCEE8CC" w:rsidR="002D504C" w:rsidRDefault="00856F8C" w:rsidP="002D504C">
      <w:pPr>
        <w:rPr>
          <w:color w:val="000000"/>
          <w:sz w:val="16"/>
          <w:szCs w:val="16"/>
        </w:rPr>
      </w:pPr>
      <w:r w:rsidRPr="00856F8C">
        <w:rPr>
          <w:color w:val="000000"/>
          <w:sz w:val="16"/>
          <w:szCs w:val="16"/>
          <w:vertAlign w:val="superscript"/>
        </w:rPr>
        <w:t>b</w:t>
      </w:r>
      <w:r w:rsidR="002D504C" w:rsidRPr="00856F8C">
        <w:rPr>
          <w:color w:val="000000"/>
          <w:sz w:val="16"/>
          <w:szCs w:val="16"/>
          <w:vertAlign w:val="superscript"/>
        </w:rPr>
        <w:t xml:space="preserve"> </w:t>
      </w:r>
      <w:r w:rsidR="002D504C" w:rsidRPr="00856F8C">
        <w:rPr>
          <w:color w:val="000000"/>
          <w:sz w:val="16"/>
          <w:szCs w:val="16"/>
        </w:rPr>
        <w:t>Pairwise between-subgroup mean differences (95% CIs) for Intervention type were as follows:</w:t>
      </w:r>
      <w:r w:rsidRPr="00856F8C">
        <w:rPr>
          <w:color w:val="000000"/>
          <w:sz w:val="16"/>
          <w:szCs w:val="16"/>
        </w:rPr>
        <w:t xml:space="preserve"> -18.1 (-30, -6.08) (2 vs 1); 19.9 (7.81, 32) (3 vs 2); 18.8 (0.377, 37.3) (4 vs 2)</w:t>
      </w:r>
      <w:r>
        <w:rPr>
          <w:color w:val="000000"/>
          <w:sz w:val="16"/>
          <w:szCs w:val="16"/>
        </w:rPr>
        <w:t xml:space="preserve"> </w:t>
      </w:r>
    </w:p>
    <w:p w14:paraId="7CCD8C0A" w14:textId="77777777" w:rsidR="008B1B2B" w:rsidRPr="00023AEE" w:rsidRDefault="008B1B2B" w:rsidP="008B1B2B">
      <w:pPr>
        <w:rPr>
          <w:sz w:val="16"/>
          <w:szCs w:val="16"/>
        </w:rPr>
      </w:pPr>
    </w:p>
    <w:p w14:paraId="74824787" w14:textId="20D89E25" w:rsidR="008B1B2B" w:rsidRDefault="00A8204E" w:rsidP="008B1B2B">
      <w:pPr>
        <w:rPr>
          <w:color w:val="000000"/>
          <w:sz w:val="16"/>
          <w:szCs w:val="16"/>
        </w:rPr>
      </w:pPr>
      <w:r w:rsidRPr="00023AEE">
        <w:rPr>
          <w:color w:val="000000"/>
          <w:sz w:val="16"/>
          <w:szCs w:val="16"/>
        </w:rPr>
        <w:t>CI, confidence interval</w:t>
      </w:r>
      <w:r>
        <w:rPr>
          <w:color w:val="000000"/>
          <w:sz w:val="16"/>
          <w:szCs w:val="16"/>
        </w:rPr>
        <w:t xml:space="preserve">; </w:t>
      </w:r>
      <w:r w:rsidR="008B1B2B">
        <w:rPr>
          <w:color w:val="000000"/>
          <w:sz w:val="16"/>
          <w:szCs w:val="16"/>
        </w:rPr>
        <w:t>MD, mean difference</w:t>
      </w:r>
    </w:p>
    <w:p w14:paraId="4A0B5356" w14:textId="77777777" w:rsidR="008B1B2B" w:rsidRDefault="008B1B2B">
      <w:pPr>
        <w:rPr>
          <w:color w:val="000000"/>
          <w:sz w:val="16"/>
          <w:szCs w:val="16"/>
        </w:rPr>
      </w:pPr>
      <w:r>
        <w:rPr>
          <w:color w:val="000000"/>
          <w:sz w:val="16"/>
          <w:szCs w:val="16"/>
        </w:rPr>
        <w:br w:type="page"/>
      </w:r>
    </w:p>
    <w:p w14:paraId="2F88F88A" w14:textId="56C2AF9E" w:rsidR="008B1B2B" w:rsidRDefault="008B1B2B" w:rsidP="00CB4744">
      <w:pPr>
        <w:pStyle w:val="Heading1"/>
      </w:pPr>
      <w:bookmarkStart w:id="49" w:name="_Toc152764309"/>
      <w:bookmarkStart w:id="50" w:name="_Toc153356566"/>
      <w:r w:rsidRPr="004471F3">
        <w:rPr>
          <w:b/>
          <w:bCs/>
        </w:rPr>
        <w:lastRenderedPageBreak/>
        <w:t>Supplementa</w:t>
      </w:r>
      <w:r w:rsidR="005C5F52">
        <w:rPr>
          <w:b/>
          <w:bCs/>
        </w:rPr>
        <w:t>l</w:t>
      </w:r>
      <w:r w:rsidRPr="004471F3">
        <w:rPr>
          <w:b/>
          <w:bCs/>
        </w:rPr>
        <w:t xml:space="preserve"> Figure </w:t>
      </w:r>
      <w:r>
        <w:rPr>
          <w:b/>
          <w:bCs/>
        </w:rPr>
        <w:t>16 (2 of 3)</w:t>
      </w:r>
      <w:r w:rsidRPr="004471F3">
        <w:rPr>
          <w:b/>
          <w:bCs/>
        </w:rPr>
        <w:t>.</w:t>
      </w:r>
      <w:r w:rsidRPr="004471F3">
        <w:t xml:space="preserve"> </w:t>
      </w:r>
      <w:r>
        <w:t xml:space="preserve">Subgroup analyses </w:t>
      </w:r>
      <w:r w:rsidRPr="00F31633">
        <w:t>for the effect of</w:t>
      </w:r>
      <w:r>
        <w:t xml:space="preserve"> soy </w:t>
      </w:r>
      <w:r w:rsidRPr="00F31633">
        <w:t xml:space="preserve">isoflavones on </w:t>
      </w:r>
      <w:r>
        <w:t>follicle-stimulating hormone*</w:t>
      </w:r>
      <w:bookmarkEnd w:id="49"/>
      <w:bookmarkEnd w:id="50"/>
    </w:p>
    <w:p w14:paraId="15451774" w14:textId="5A8B1290" w:rsidR="008B1B2B" w:rsidRDefault="008B1B2B" w:rsidP="008B1B2B">
      <w:pPr>
        <w:rPr>
          <w:color w:val="000000"/>
          <w:sz w:val="16"/>
          <w:szCs w:val="16"/>
        </w:rPr>
      </w:pPr>
    </w:p>
    <w:p w14:paraId="42526EC0" w14:textId="1326A0CE" w:rsidR="008B1B2B" w:rsidRDefault="00D201D3" w:rsidP="008B1B2B">
      <w:r>
        <w:rPr>
          <w:b/>
          <w:bCs/>
          <w:noProof/>
        </w:rPr>
        <mc:AlternateContent>
          <mc:Choice Requires="wps">
            <w:drawing>
              <wp:anchor distT="0" distB="0" distL="114300" distR="114300" simplePos="0" relativeHeight="251667456" behindDoc="0" locked="0" layoutInCell="1" allowOverlap="1" wp14:anchorId="43D01532" wp14:editId="5FCFEFF0">
                <wp:simplePos x="0" y="0"/>
                <wp:positionH relativeFrom="column">
                  <wp:posOffset>2967355</wp:posOffset>
                </wp:positionH>
                <wp:positionV relativeFrom="paragraph">
                  <wp:posOffset>1669415</wp:posOffset>
                </wp:positionV>
                <wp:extent cx="993140" cy="122555"/>
                <wp:effectExtent l="0" t="0" r="10160" b="17145"/>
                <wp:wrapNone/>
                <wp:docPr id="199250611" name="Rectangle 1"/>
                <wp:cNvGraphicFramePr/>
                <a:graphic xmlns:a="http://schemas.openxmlformats.org/drawingml/2006/main">
                  <a:graphicData uri="http://schemas.microsoft.com/office/word/2010/wordprocessingShape">
                    <wps:wsp>
                      <wps:cNvSpPr/>
                      <wps:spPr>
                        <a:xfrm>
                          <a:off x="0" y="0"/>
                          <a:ext cx="993140" cy="122555"/>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930BF51" id="Rectangle 1" o:spid="_x0000_s1026" style="position:absolute;margin-left:233.65pt;margin-top:131.45pt;width:78.2pt;height:9.65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" fillcolor="white [3212]" strokecolor="white [3212]" strokeweight="1pt"/>
            </w:pict>
          </mc:Fallback>
        </mc:AlternateContent>
      </w:r>
      <w:r>
        <w:rPr>
          <w:b/>
          <w:bCs/>
          <w:noProof/>
        </w:rPr>
        <mc:AlternateContent>
          <mc:Choice Requires="wps">
            <w:drawing>
              <wp:anchor distT="0" distB="0" distL="114300" distR="114300" simplePos="0" relativeHeight="251669504" behindDoc="0" locked="0" layoutInCell="1" allowOverlap="1" wp14:anchorId="5FE35CB5" wp14:editId="4BF3B768">
                <wp:simplePos x="0" y="0"/>
                <wp:positionH relativeFrom="column">
                  <wp:posOffset>3988435</wp:posOffset>
                </wp:positionH>
                <wp:positionV relativeFrom="paragraph">
                  <wp:posOffset>1667510</wp:posOffset>
                </wp:positionV>
                <wp:extent cx="558800" cy="122555"/>
                <wp:effectExtent l="0" t="0" r="12700" b="17145"/>
                <wp:wrapNone/>
                <wp:docPr id="1488178781" name="Rectangle 1"/>
                <wp:cNvGraphicFramePr/>
                <a:graphic xmlns:a="http://schemas.openxmlformats.org/drawingml/2006/main">
                  <a:graphicData uri="http://schemas.microsoft.com/office/word/2010/wordprocessingShape">
                    <wps:wsp>
                      <wps:cNvSpPr/>
                      <wps:spPr>
                        <a:xfrm>
                          <a:off x="0" y="0"/>
                          <a:ext cx="558800" cy="122555"/>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C33FE52" id="Rectangle 1" o:spid="_x0000_s1026" style="position:absolute;margin-left:314.05pt;margin-top:131.3pt;width:44pt;height:9.65pt;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" fillcolor="white [3212]" strokecolor="white [3212]" strokeweight="1pt"/>
            </w:pict>
          </mc:Fallback>
        </mc:AlternateContent>
      </w:r>
      <w:r w:rsidR="008B1B2B">
        <w:rPr>
          <w:noProof/>
        </w:rPr>
        <w:drawing>
          <wp:inline distT="0" distB="0" distL="0" distR="0" wp14:anchorId="71C4C648" wp14:editId="2C937C90">
            <wp:extent cx="5516880" cy="5326501"/>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pic:cNvPicPr/>
                  </pic:nvPicPr>
                  <pic:blipFill>
                    <a:blip r:embed="rId40">
                      <a:extLst>
                        <a:ext uri="{28A0092B-C50C-407E-A947-70E740481C1C}">
                          <a14:useLocalDpi xmlns:a14="http://schemas.microsoft.com/office/drawing/2010/main" val="0"/>
                        </a:ext>
                      </a:extLst>
                    </a:blip>
                    <a:stretch>
                      <a:fillRect/>
                    </a:stretch>
                  </pic:blipFill>
                  <pic:spPr>
                    <a:xfrm>
                      <a:off x="0" y="0"/>
                      <a:ext cx="5525464" cy="5334789"/>
                    </a:xfrm>
                    <a:prstGeom prst="rect">
                      <a:avLst/>
                    </a:prstGeom>
                  </pic:spPr>
                </pic:pic>
              </a:graphicData>
            </a:graphic>
          </wp:inline>
        </w:drawing>
      </w:r>
    </w:p>
    <w:p w14:paraId="28CD1C61" w14:textId="47006FF2" w:rsidR="008B1B2B" w:rsidRDefault="008B1B2B" w:rsidP="008B1B2B"/>
    <w:p w14:paraId="04A40BDA" w14:textId="77777777" w:rsidR="00446178" w:rsidRPr="00023AEE" w:rsidRDefault="00446178" w:rsidP="00446178">
      <w:pPr>
        <w:rPr>
          <w:sz w:val="16"/>
          <w:szCs w:val="16"/>
        </w:rPr>
      </w:pPr>
      <w:r w:rsidRPr="00023AEE">
        <w:rPr>
          <w:color w:val="000000"/>
          <w:sz w:val="16"/>
          <w:szCs w:val="16"/>
        </w:rPr>
        <w:t>Pooled effect estimates for each subgroup and overall effect are represented by the diamonds. Data are expressed as weighted mean differences with 95% confidence intervals using the generic inverse-variance method and random effects DerSimonian-Laird model. Paired analyses were applied to all crossover trials. Inter‐study heterogeneity was assessed using the Cochrane Q statistic and quantified using the I</w:t>
      </w:r>
      <w:r w:rsidRPr="00446178">
        <w:rPr>
          <w:color w:val="000000"/>
          <w:sz w:val="16"/>
          <w:szCs w:val="16"/>
          <w:vertAlign w:val="superscript"/>
        </w:rPr>
        <w:t>2</w:t>
      </w:r>
      <w:r w:rsidRPr="00023AEE">
        <w:rPr>
          <w:color w:val="000000"/>
          <w:sz w:val="16"/>
          <w:szCs w:val="16"/>
        </w:rPr>
        <w:t xml:space="preserve"> statistic, with significance set at p&lt;0.100 and I</w:t>
      </w:r>
      <w:r w:rsidRPr="00446178">
        <w:rPr>
          <w:color w:val="000000"/>
          <w:sz w:val="16"/>
          <w:szCs w:val="16"/>
          <w:vertAlign w:val="superscript"/>
        </w:rPr>
        <w:t>2</w:t>
      </w:r>
      <w:r w:rsidRPr="00023AEE">
        <w:rPr>
          <w:color w:val="000000"/>
          <w:sz w:val="16"/>
          <w:szCs w:val="16"/>
        </w:rPr>
        <w:t>≥50% considered to be evidence of substantial heterogeneity. </w:t>
      </w:r>
    </w:p>
    <w:p w14:paraId="24674EBA" w14:textId="77777777" w:rsidR="00446178" w:rsidRPr="00023AEE" w:rsidRDefault="00446178" w:rsidP="00446178">
      <w:pPr>
        <w:rPr>
          <w:sz w:val="16"/>
          <w:szCs w:val="16"/>
        </w:rPr>
      </w:pPr>
      <w:r w:rsidRPr="00023AEE">
        <w:rPr>
          <w:color w:val="000000"/>
          <w:sz w:val="16"/>
          <w:szCs w:val="16"/>
        </w:rPr>
        <w:t>Risk of Bias Legend: (H) High Risk; (L) Low Risk; (S) Some concerns. The letters represent the following risk of bias domains: A, randomization process; B, bias arising from period and carryover effects; C, deviations from intended intervention; D, missing outcome data; E, measurement of the outcome; F, selection of the reported result; and G, overall bias. Risk of bias arising from period and carryover effects was only applicable to crossover trials.</w:t>
      </w:r>
    </w:p>
    <w:p w14:paraId="2A43EAF5" w14:textId="77777777" w:rsidR="00446178" w:rsidRDefault="00446178" w:rsidP="00446178">
      <w:pPr>
        <w:rPr>
          <w:color w:val="000000"/>
          <w:sz w:val="16"/>
          <w:szCs w:val="16"/>
        </w:rPr>
      </w:pPr>
      <w:r w:rsidRPr="00023AEE">
        <w:rPr>
          <w:color w:val="000000"/>
          <w:sz w:val="16"/>
          <w:szCs w:val="16"/>
        </w:rPr>
        <w:t xml:space="preserve">The pooled effect summary was calculated with the </w:t>
      </w:r>
      <w:r w:rsidRPr="00023AEE">
        <w:rPr>
          <w:color w:val="202122"/>
          <w:sz w:val="16"/>
          <w:szCs w:val="16"/>
        </w:rPr>
        <w:t>χ</w:t>
      </w:r>
      <w:r w:rsidRPr="00023AEE">
        <w:rPr>
          <w:color w:val="202122"/>
          <w:sz w:val="16"/>
          <w:szCs w:val="16"/>
          <w:vertAlign w:val="superscript"/>
        </w:rPr>
        <w:t>2</w:t>
      </w:r>
      <w:r w:rsidRPr="00023AEE">
        <w:rPr>
          <w:color w:val="000000"/>
          <w:sz w:val="16"/>
          <w:szCs w:val="16"/>
        </w:rPr>
        <w:t xml:space="preserve"> test. The test for group differences was calculated with meta-regression, which uses the Wald test. </w:t>
      </w:r>
    </w:p>
    <w:p w14:paraId="1B4D06A8" w14:textId="77777777" w:rsidR="00FF0F2F" w:rsidRDefault="00FF0F2F" w:rsidP="008B1B2B">
      <w:pPr>
        <w:rPr>
          <w:color w:val="000000"/>
          <w:sz w:val="16"/>
          <w:szCs w:val="16"/>
        </w:rPr>
      </w:pPr>
    </w:p>
    <w:p w14:paraId="0D1C1E33" w14:textId="0ABF346A" w:rsidR="00FF0F2F" w:rsidRDefault="00FF0F2F" w:rsidP="008B1B2B">
      <w:pPr>
        <w:rPr>
          <w:color w:val="000000"/>
          <w:sz w:val="16"/>
          <w:szCs w:val="16"/>
        </w:rPr>
      </w:pPr>
      <w:r w:rsidRPr="002820C3">
        <w:rPr>
          <w:rFonts w:ascii="Arial" w:hAnsi="Arial" w:cs="Arial"/>
          <w:color w:val="000000"/>
          <w:sz w:val="16"/>
          <w:szCs w:val="16"/>
        </w:rPr>
        <w:t>†</w:t>
      </w:r>
      <w:r>
        <w:rPr>
          <w:color w:val="000000"/>
          <w:sz w:val="16"/>
          <w:szCs w:val="16"/>
        </w:rPr>
        <w:t>Post-hoc subgroup analysis by soy protein containing comparator and baseline BMI</w:t>
      </w:r>
    </w:p>
    <w:p w14:paraId="6187CF8F" w14:textId="77777777" w:rsidR="008B1B2B" w:rsidRDefault="008B1B2B" w:rsidP="008B1B2B">
      <w:pPr>
        <w:rPr>
          <w:color w:val="000000"/>
          <w:sz w:val="16"/>
          <w:szCs w:val="16"/>
        </w:rPr>
      </w:pPr>
    </w:p>
    <w:p w14:paraId="323290D1" w14:textId="1D9A6746" w:rsidR="008B1B2B" w:rsidRDefault="008B1B2B" w:rsidP="008B1B2B">
      <w:pPr>
        <w:rPr>
          <w:color w:val="000000"/>
          <w:sz w:val="16"/>
          <w:szCs w:val="16"/>
        </w:rPr>
      </w:pPr>
      <w:r>
        <w:rPr>
          <w:color w:val="000000"/>
          <w:sz w:val="16"/>
          <w:szCs w:val="16"/>
        </w:rPr>
        <w:t xml:space="preserve">*N=1 </w:t>
      </w:r>
      <w:r w:rsidR="001F1A0F">
        <w:rPr>
          <w:color w:val="000000"/>
          <w:sz w:val="16"/>
          <w:szCs w:val="16"/>
        </w:rPr>
        <w:t xml:space="preserve">trial </w:t>
      </w:r>
      <w:r>
        <w:rPr>
          <w:color w:val="000000"/>
          <w:sz w:val="16"/>
          <w:szCs w:val="16"/>
        </w:rPr>
        <w:t>comparison missing data for BMI</w:t>
      </w:r>
    </w:p>
    <w:p w14:paraId="1D653314" w14:textId="4E6551DE" w:rsidR="00665857" w:rsidRDefault="00665857" w:rsidP="008B1B2B">
      <w:pPr>
        <w:rPr>
          <w:color w:val="000000"/>
          <w:sz w:val="16"/>
          <w:szCs w:val="16"/>
        </w:rPr>
      </w:pPr>
    </w:p>
    <w:p w14:paraId="2002960E" w14:textId="6CEFFB9F" w:rsidR="00665857" w:rsidRDefault="00665857" w:rsidP="008B1B2B">
      <w:pPr>
        <w:rPr>
          <w:color w:val="000000"/>
          <w:sz w:val="16"/>
          <w:szCs w:val="16"/>
        </w:rPr>
      </w:pPr>
      <w:r w:rsidRPr="00856F8C">
        <w:rPr>
          <w:color w:val="000000"/>
          <w:sz w:val="16"/>
          <w:szCs w:val="16"/>
          <w:vertAlign w:val="superscript"/>
        </w:rPr>
        <w:t xml:space="preserve">a </w:t>
      </w:r>
      <w:r w:rsidRPr="00856F8C">
        <w:rPr>
          <w:color w:val="000000"/>
          <w:sz w:val="16"/>
          <w:szCs w:val="16"/>
        </w:rPr>
        <w:t xml:space="preserve">Pairwise between-subgroup mean differences (95% CIs) for Energy control were as follows: </w:t>
      </w:r>
      <w:r w:rsidR="00856F8C" w:rsidRPr="00856F8C">
        <w:rPr>
          <w:color w:val="000000"/>
          <w:sz w:val="16"/>
          <w:szCs w:val="16"/>
        </w:rPr>
        <w:t>-19.3 (-30.8, -7.67) (2 vs 1); 20.1 (7.88, 32.3) (3 vs 2)</w:t>
      </w:r>
    </w:p>
    <w:p w14:paraId="58EA8308" w14:textId="77777777" w:rsidR="008B1B2B" w:rsidRPr="00023AEE" w:rsidRDefault="008B1B2B" w:rsidP="008B1B2B">
      <w:pPr>
        <w:rPr>
          <w:sz w:val="16"/>
          <w:szCs w:val="16"/>
        </w:rPr>
      </w:pPr>
    </w:p>
    <w:p w14:paraId="29D5E696" w14:textId="6602995D" w:rsidR="00856F8C" w:rsidRDefault="00A8204E" w:rsidP="00A8204E">
      <w:pPr>
        <w:rPr>
          <w:color w:val="000000"/>
          <w:sz w:val="16"/>
          <w:szCs w:val="16"/>
        </w:rPr>
      </w:pPr>
      <w:r>
        <w:rPr>
          <w:color w:val="000000"/>
          <w:sz w:val="16"/>
          <w:szCs w:val="16"/>
        </w:rPr>
        <w:t xml:space="preserve">BMI, body mass index; </w:t>
      </w:r>
      <w:r w:rsidRPr="00023AEE">
        <w:rPr>
          <w:color w:val="000000"/>
          <w:sz w:val="16"/>
          <w:szCs w:val="16"/>
        </w:rPr>
        <w:t>CI, confidence interval</w:t>
      </w:r>
      <w:r>
        <w:rPr>
          <w:color w:val="000000"/>
          <w:sz w:val="16"/>
          <w:szCs w:val="16"/>
        </w:rPr>
        <w:t xml:space="preserve">; </w:t>
      </w:r>
      <w:r w:rsidR="008B1B2B">
        <w:rPr>
          <w:color w:val="000000"/>
          <w:sz w:val="16"/>
          <w:szCs w:val="16"/>
        </w:rPr>
        <w:t>MD, mean difference</w:t>
      </w:r>
    </w:p>
    <w:p w14:paraId="577942AE" w14:textId="0ECA8FDA" w:rsidR="00665857" w:rsidRPr="00FF0F2F" w:rsidRDefault="00856F8C" w:rsidP="00CB4744">
      <w:pPr>
        <w:pStyle w:val="Heading1"/>
        <w:rPr>
          <w:color w:val="000000"/>
          <w:sz w:val="16"/>
          <w:szCs w:val="16"/>
        </w:rPr>
      </w:pPr>
      <w:r>
        <w:rPr>
          <w:color w:val="000000"/>
          <w:sz w:val="16"/>
          <w:szCs w:val="16"/>
        </w:rPr>
        <w:br w:type="page"/>
      </w:r>
      <w:bookmarkStart w:id="51" w:name="_Toc152764310"/>
      <w:bookmarkStart w:id="52" w:name="_Toc153356567"/>
      <w:r w:rsidR="00665857" w:rsidRPr="00CB4744">
        <w:rPr>
          <w:b/>
          <w:bCs/>
        </w:rPr>
        <w:lastRenderedPageBreak/>
        <w:t>Supplementa</w:t>
      </w:r>
      <w:r w:rsidR="005C5F52">
        <w:rPr>
          <w:b/>
          <w:bCs/>
        </w:rPr>
        <w:t>l</w:t>
      </w:r>
      <w:r w:rsidR="00665857" w:rsidRPr="00CB4744">
        <w:rPr>
          <w:b/>
          <w:bCs/>
        </w:rPr>
        <w:t xml:space="preserve"> Figure 16 (3 of 3).</w:t>
      </w:r>
      <w:r w:rsidR="00665857" w:rsidRPr="004471F3">
        <w:t xml:space="preserve"> </w:t>
      </w:r>
      <w:r w:rsidR="00665857">
        <w:t xml:space="preserve">Subgroup analyses </w:t>
      </w:r>
      <w:r w:rsidR="00665857" w:rsidRPr="00F31633">
        <w:t>for the effect of</w:t>
      </w:r>
      <w:r w:rsidR="00665857">
        <w:t xml:space="preserve"> soy </w:t>
      </w:r>
      <w:r w:rsidR="00665857" w:rsidRPr="00F31633">
        <w:t xml:space="preserve">isoflavones on </w:t>
      </w:r>
      <w:r w:rsidR="00665857">
        <w:t>follicle-stimulating hormone</w:t>
      </w:r>
      <w:bookmarkEnd w:id="51"/>
      <w:bookmarkEnd w:id="52"/>
    </w:p>
    <w:p w14:paraId="10102C1E" w14:textId="77777777" w:rsidR="00665857" w:rsidRPr="00665857" w:rsidRDefault="00665857" w:rsidP="008B1B2B">
      <w:pPr>
        <w:rPr>
          <w:color w:val="000000"/>
        </w:rPr>
      </w:pPr>
    </w:p>
    <w:p w14:paraId="76D37D0A" w14:textId="52FFFC84" w:rsidR="008B1B2B" w:rsidRDefault="00665857" w:rsidP="008B1B2B">
      <w:r>
        <w:rPr>
          <w:noProof/>
        </w:rPr>
        <w:drawing>
          <wp:inline distT="0" distB="0" distL="0" distR="0" wp14:anchorId="4E557D39" wp14:editId="743456DE">
            <wp:extent cx="5889812" cy="5729352"/>
            <wp:effectExtent l="0" t="0" r="317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pic:nvPicPr>
                  <pic:blipFill>
                    <a:blip r:embed="rId41">
                      <a:extLst>
                        <a:ext uri="{28A0092B-C50C-407E-A947-70E740481C1C}">
                          <a14:useLocalDpi xmlns:a14="http://schemas.microsoft.com/office/drawing/2010/main" val="0"/>
                        </a:ext>
                      </a:extLst>
                    </a:blip>
                    <a:stretch>
                      <a:fillRect/>
                    </a:stretch>
                  </pic:blipFill>
                  <pic:spPr>
                    <a:xfrm>
                      <a:off x="0" y="0"/>
                      <a:ext cx="5892214" cy="5731688"/>
                    </a:xfrm>
                    <a:prstGeom prst="rect">
                      <a:avLst/>
                    </a:prstGeom>
                  </pic:spPr>
                </pic:pic>
              </a:graphicData>
            </a:graphic>
          </wp:inline>
        </w:drawing>
      </w:r>
    </w:p>
    <w:p w14:paraId="41872C98" w14:textId="79C6987C" w:rsidR="00665857" w:rsidRDefault="00665857" w:rsidP="008B1B2B"/>
    <w:p w14:paraId="0618CC88" w14:textId="77777777" w:rsidR="00446178" w:rsidRPr="00023AEE" w:rsidRDefault="00446178" w:rsidP="00446178">
      <w:pPr>
        <w:rPr>
          <w:sz w:val="16"/>
          <w:szCs w:val="16"/>
        </w:rPr>
      </w:pPr>
      <w:r w:rsidRPr="00023AEE">
        <w:rPr>
          <w:color w:val="000000"/>
          <w:sz w:val="16"/>
          <w:szCs w:val="16"/>
        </w:rPr>
        <w:t>Pooled effect estimates for each subgroup and overall effect are represented by the diamonds. Data are expressed as weighted mean differences with 95% confidence intervals using the generic inverse-variance method and random effects DerSimonian-Laird model. Paired analyses were applied to all crossover trials. Inter‐study heterogeneity was assessed using the Cochrane Q statistic and quantified using the I</w:t>
      </w:r>
      <w:r w:rsidRPr="00446178">
        <w:rPr>
          <w:color w:val="000000"/>
          <w:sz w:val="16"/>
          <w:szCs w:val="16"/>
          <w:vertAlign w:val="superscript"/>
        </w:rPr>
        <w:t>2</w:t>
      </w:r>
      <w:r w:rsidRPr="00023AEE">
        <w:rPr>
          <w:color w:val="000000"/>
          <w:sz w:val="16"/>
          <w:szCs w:val="16"/>
        </w:rPr>
        <w:t xml:space="preserve"> statistic, with significance set at p&lt;0.100 and I</w:t>
      </w:r>
      <w:r w:rsidRPr="00446178">
        <w:rPr>
          <w:color w:val="000000"/>
          <w:sz w:val="16"/>
          <w:szCs w:val="16"/>
          <w:vertAlign w:val="superscript"/>
        </w:rPr>
        <w:t>2</w:t>
      </w:r>
      <w:r w:rsidRPr="00023AEE">
        <w:rPr>
          <w:color w:val="000000"/>
          <w:sz w:val="16"/>
          <w:szCs w:val="16"/>
        </w:rPr>
        <w:t>≥50% considered to be evidence of substantial heterogeneity. </w:t>
      </w:r>
    </w:p>
    <w:p w14:paraId="006B263F" w14:textId="77777777" w:rsidR="00446178" w:rsidRPr="00023AEE" w:rsidRDefault="00446178" w:rsidP="00446178">
      <w:pPr>
        <w:rPr>
          <w:sz w:val="16"/>
          <w:szCs w:val="16"/>
        </w:rPr>
      </w:pPr>
      <w:r w:rsidRPr="00023AEE">
        <w:rPr>
          <w:color w:val="000000"/>
          <w:sz w:val="16"/>
          <w:szCs w:val="16"/>
        </w:rPr>
        <w:t>Risk of Bias Legend: (H) High Risk; (L) Low Risk; (S) Some concerns. The letters represent the following risk of bias domains: A, randomization process; B, bias arising from period and carryover effects; C, deviations from intended intervention; D, missing outcome data; E, measurement of the outcome; F, selection of the reported result; and G, overall bias. Risk of bias arising from period and carryover effects was only applicable to crossover trials.</w:t>
      </w:r>
    </w:p>
    <w:p w14:paraId="29A6F224" w14:textId="77777777" w:rsidR="00446178" w:rsidRDefault="00446178" w:rsidP="00446178">
      <w:pPr>
        <w:rPr>
          <w:color w:val="000000"/>
          <w:sz w:val="16"/>
          <w:szCs w:val="16"/>
        </w:rPr>
      </w:pPr>
      <w:r w:rsidRPr="00023AEE">
        <w:rPr>
          <w:color w:val="000000"/>
          <w:sz w:val="16"/>
          <w:szCs w:val="16"/>
        </w:rPr>
        <w:t xml:space="preserve">The pooled effect summary was calculated with the </w:t>
      </w:r>
      <w:r w:rsidRPr="00023AEE">
        <w:rPr>
          <w:color w:val="202122"/>
          <w:sz w:val="16"/>
          <w:szCs w:val="16"/>
        </w:rPr>
        <w:t>χ</w:t>
      </w:r>
      <w:r w:rsidRPr="00023AEE">
        <w:rPr>
          <w:color w:val="202122"/>
          <w:sz w:val="16"/>
          <w:szCs w:val="16"/>
          <w:vertAlign w:val="superscript"/>
        </w:rPr>
        <w:t>2</w:t>
      </w:r>
      <w:r w:rsidRPr="00023AEE">
        <w:rPr>
          <w:color w:val="000000"/>
          <w:sz w:val="16"/>
          <w:szCs w:val="16"/>
        </w:rPr>
        <w:t xml:space="preserve"> test. The test for group differences was calculated with meta-regression, which uses the Wald test. </w:t>
      </w:r>
    </w:p>
    <w:p w14:paraId="671892C6" w14:textId="34C3B5C2" w:rsidR="00FF0F2F" w:rsidRDefault="00FF0F2F" w:rsidP="00665857">
      <w:pPr>
        <w:rPr>
          <w:color w:val="000000"/>
          <w:sz w:val="16"/>
          <w:szCs w:val="16"/>
        </w:rPr>
      </w:pPr>
    </w:p>
    <w:p w14:paraId="5320A8AB" w14:textId="3FE5F8E3" w:rsidR="00FF0F2F" w:rsidRDefault="00FF0F2F" w:rsidP="00665857">
      <w:pPr>
        <w:rPr>
          <w:color w:val="000000"/>
          <w:sz w:val="16"/>
          <w:szCs w:val="16"/>
        </w:rPr>
      </w:pPr>
      <w:r w:rsidRPr="002820C3">
        <w:rPr>
          <w:rFonts w:ascii="Arial" w:hAnsi="Arial" w:cs="Arial"/>
          <w:color w:val="000000"/>
          <w:sz w:val="16"/>
          <w:szCs w:val="16"/>
        </w:rPr>
        <w:t>†</w:t>
      </w:r>
      <w:r>
        <w:rPr>
          <w:color w:val="000000"/>
          <w:sz w:val="16"/>
          <w:szCs w:val="16"/>
        </w:rPr>
        <w:t>Post-hoc subgroup analysis by type MD</w:t>
      </w:r>
    </w:p>
    <w:p w14:paraId="6C700352" w14:textId="77777777" w:rsidR="00FF0F2F" w:rsidRDefault="00FF0F2F" w:rsidP="00665857">
      <w:pPr>
        <w:rPr>
          <w:sz w:val="16"/>
          <w:szCs w:val="16"/>
        </w:rPr>
      </w:pPr>
    </w:p>
    <w:p w14:paraId="52D4C202" w14:textId="784B3D3D" w:rsidR="00856F8C" w:rsidRDefault="00665857" w:rsidP="008B1B2B">
      <w:pPr>
        <w:rPr>
          <w:color w:val="000000"/>
          <w:sz w:val="16"/>
          <w:szCs w:val="16"/>
        </w:rPr>
      </w:pPr>
      <w:r>
        <w:rPr>
          <w:color w:val="000000"/>
          <w:sz w:val="16"/>
          <w:szCs w:val="16"/>
        </w:rPr>
        <w:t xml:space="preserve">MD, mean difference; </w:t>
      </w:r>
      <w:r w:rsidRPr="00023AEE">
        <w:rPr>
          <w:color w:val="000000"/>
          <w:sz w:val="16"/>
          <w:szCs w:val="16"/>
        </w:rPr>
        <w:t>CI, confidence interval</w:t>
      </w:r>
    </w:p>
    <w:p w14:paraId="797944D1" w14:textId="77777777" w:rsidR="00856F8C" w:rsidRDefault="00856F8C">
      <w:pPr>
        <w:rPr>
          <w:color w:val="000000"/>
          <w:sz w:val="16"/>
          <w:szCs w:val="16"/>
        </w:rPr>
      </w:pPr>
      <w:r>
        <w:rPr>
          <w:color w:val="000000"/>
          <w:sz w:val="16"/>
          <w:szCs w:val="16"/>
        </w:rPr>
        <w:br w:type="page"/>
      </w:r>
    </w:p>
    <w:p w14:paraId="0D92F995" w14:textId="1FEE20C1" w:rsidR="002D504C" w:rsidRDefault="002D504C" w:rsidP="00CB4744">
      <w:pPr>
        <w:pStyle w:val="Heading1"/>
      </w:pPr>
      <w:bookmarkStart w:id="53" w:name="_Toc152764311"/>
      <w:bookmarkStart w:id="54" w:name="_Toc153356568"/>
      <w:r w:rsidRPr="004471F3">
        <w:rPr>
          <w:b/>
          <w:bCs/>
        </w:rPr>
        <w:lastRenderedPageBreak/>
        <w:t>Supplementa</w:t>
      </w:r>
      <w:r w:rsidR="005C5F52">
        <w:rPr>
          <w:b/>
          <w:bCs/>
        </w:rPr>
        <w:t>l</w:t>
      </w:r>
      <w:r w:rsidRPr="004471F3">
        <w:rPr>
          <w:b/>
          <w:bCs/>
        </w:rPr>
        <w:t xml:space="preserve"> Figure </w:t>
      </w:r>
      <w:r>
        <w:rPr>
          <w:b/>
          <w:bCs/>
        </w:rPr>
        <w:t>17 (1 of 3)</w:t>
      </w:r>
      <w:r w:rsidRPr="004471F3">
        <w:rPr>
          <w:b/>
          <w:bCs/>
        </w:rPr>
        <w:t>.</w:t>
      </w:r>
      <w:r w:rsidRPr="004471F3">
        <w:t xml:space="preserve"> </w:t>
      </w:r>
      <w:r>
        <w:t xml:space="preserve">Subgroup analyses </w:t>
      </w:r>
      <w:r w:rsidRPr="00F31633">
        <w:t>for the effect of</w:t>
      </w:r>
      <w:r>
        <w:t xml:space="preserve"> soy </w:t>
      </w:r>
      <w:r w:rsidRPr="00F31633">
        <w:t xml:space="preserve">isoflavones on </w:t>
      </w:r>
      <w:r>
        <w:t>estradiol*</w:t>
      </w:r>
      <w:bookmarkEnd w:id="53"/>
      <w:bookmarkEnd w:id="54"/>
    </w:p>
    <w:p w14:paraId="3C292A79" w14:textId="124F437E" w:rsidR="002D504C" w:rsidRDefault="002D504C" w:rsidP="002D504C"/>
    <w:p w14:paraId="05DD02F5" w14:textId="1DD07132" w:rsidR="002D504C" w:rsidRDefault="009A677B" w:rsidP="002D504C">
      <w:r>
        <w:rPr>
          <w:noProof/>
        </w:rPr>
        <mc:AlternateContent>
          <mc:Choice Requires="wps">
            <w:drawing>
              <wp:anchor distT="0" distB="0" distL="114300" distR="114300" simplePos="0" relativeHeight="251672576" behindDoc="0" locked="0" layoutInCell="1" allowOverlap="1" wp14:anchorId="43235E80" wp14:editId="53EAF9F7">
                <wp:simplePos x="0" y="0"/>
                <wp:positionH relativeFrom="column">
                  <wp:posOffset>3490341</wp:posOffset>
                </wp:positionH>
                <wp:positionV relativeFrom="paragraph">
                  <wp:posOffset>1649095</wp:posOffset>
                </wp:positionV>
                <wp:extent cx="676910" cy="121920"/>
                <wp:effectExtent l="0" t="0" r="8890" b="17780"/>
                <wp:wrapNone/>
                <wp:docPr id="1366005770" name="Rectangle 2"/>
                <wp:cNvGraphicFramePr/>
                <a:graphic xmlns:a="http://schemas.openxmlformats.org/drawingml/2006/main">
                  <a:graphicData uri="http://schemas.microsoft.com/office/word/2010/wordprocessingShape">
                    <wps:wsp>
                      <wps:cNvSpPr/>
                      <wps:spPr>
                        <a:xfrm>
                          <a:off x="0" y="0"/>
                          <a:ext cx="676910" cy="12192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2DC2857" id="Rectangle 2" o:spid="_x0000_s1026" style="position:absolute;margin-left:274.85pt;margin-top:129.85pt;width:53.3pt;height:9.6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" fillcolor="white [3212]" strokecolor="white [3212]" strokeweight="1pt"/>
            </w:pict>
          </mc:Fallback>
        </mc:AlternateContent>
      </w:r>
      <w:r>
        <w:rPr>
          <w:noProof/>
        </w:rPr>
        <mc:AlternateContent>
          <mc:Choice Requires="wps">
            <w:drawing>
              <wp:anchor distT="0" distB="0" distL="114300" distR="114300" simplePos="0" relativeHeight="251670528" behindDoc="0" locked="0" layoutInCell="1" allowOverlap="1" wp14:anchorId="63C0471A" wp14:editId="62C38820">
                <wp:simplePos x="0" y="0"/>
                <wp:positionH relativeFrom="column">
                  <wp:posOffset>2635885</wp:posOffset>
                </wp:positionH>
                <wp:positionV relativeFrom="paragraph">
                  <wp:posOffset>1650365</wp:posOffset>
                </wp:positionV>
                <wp:extent cx="835025" cy="121920"/>
                <wp:effectExtent l="0" t="0" r="15875" b="17780"/>
                <wp:wrapNone/>
                <wp:docPr id="1004298485" name="Rectangle 2"/>
                <wp:cNvGraphicFramePr/>
                <a:graphic xmlns:a="http://schemas.openxmlformats.org/drawingml/2006/main">
                  <a:graphicData uri="http://schemas.microsoft.com/office/word/2010/wordprocessingShape">
                    <wps:wsp>
                      <wps:cNvSpPr/>
                      <wps:spPr>
                        <a:xfrm>
                          <a:off x="0" y="0"/>
                          <a:ext cx="835025" cy="12192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43958E6" id="Rectangle 2" o:spid="_x0000_s1026" style="position:absolute;margin-left:207.55pt;margin-top:129.95pt;width:65.75pt;height:9.6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" fillcolor="white [3212]" strokecolor="white [3212]" strokeweight="1pt"/>
            </w:pict>
          </mc:Fallback>
        </mc:AlternateContent>
      </w:r>
      <w:r w:rsidR="00D201D3">
        <w:rPr>
          <w:noProof/>
        </w:rPr>
        <mc:AlternateContent>
          <mc:Choice Requires="wps">
            <w:drawing>
              <wp:anchor distT="0" distB="0" distL="114300" distR="114300" simplePos="0" relativeHeight="251676672" behindDoc="0" locked="0" layoutInCell="1" allowOverlap="1" wp14:anchorId="117F1038" wp14:editId="61A79EB6">
                <wp:simplePos x="0" y="0"/>
                <wp:positionH relativeFrom="column">
                  <wp:posOffset>3491886</wp:posOffset>
                </wp:positionH>
                <wp:positionV relativeFrom="paragraph">
                  <wp:posOffset>2447279</wp:posOffset>
                </wp:positionV>
                <wp:extent cx="676910" cy="121920"/>
                <wp:effectExtent l="0" t="0" r="8890" b="17780"/>
                <wp:wrapNone/>
                <wp:docPr id="916322936" name="Rectangle 2"/>
                <wp:cNvGraphicFramePr/>
                <a:graphic xmlns:a="http://schemas.openxmlformats.org/drawingml/2006/main">
                  <a:graphicData uri="http://schemas.microsoft.com/office/word/2010/wordprocessingShape">
                    <wps:wsp>
                      <wps:cNvSpPr/>
                      <wps:spPr>
                        <a:xfrm>
                          <a:off x="0" y="0"/>
                          <a:ext cx="676910" cy="12192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12C0D38" id="Rectangle 2" o:spid="_x0000_s1026" style="position:absolute;margin-left:274.95pt;margin-top:192.7pt;width:53.3pt;height:9.6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" fillcolor="white [3212]" strokecolor="white [3212]" strokeweight="1pt"/>
            </w:pict>
          </mc:Fallback>
        </mc:AlternateContent>
      </w:r>
      <w:r w:rsidR="00D201D3">
        <w:rPr>
          <w:noProof/>
        </w:rPr>
        <mc:AlternateContent>
          <mc:Choice Requires="wps">
            <w:drawing>
              <wp:anchor distT="0" distB="0" distL="114300" distR="114300" simplePos="0" relativeHeight="251674624" behindDoc="0" locked="0" layoutInCell="1" allowOverlap="1" wp14:anchorId="118F5E37" wp14:editId="60934289">
                <wp:simplePos x="0" y="0"/>
                <wp:positionH relativeFrom="column">
                  <wp:posOffset>2632096</wp:posOffset>
                </wp:positionH>
                <wp:positionV relativeFrom="paragraph">
                  <wp:posOffset>2447214</wp:posOffset>
                </wp:positionV>
                <wp:extent cx="835025" cy="121920"/>
                <wp:effectExtent l="0" t="0" r="15875" b="17780"/>
                <wp:wrapNone/>
                <wp:docPr id="2029257921" name="Rectangle 2"/>
                <wp:cNvGraphicFramePr/>
                <a:graphic xmlns:a="http://schemas.openxmlformats.org/drawingml/2006/main">
                  <a:graphicData uri="http://schemas.microsoft.com/office/word/2010/wordprocessingShape">
                    <wps:wsp>
                      <wps:cNvSpPr/>
                      <wps:spPr>
                        <a:xfrm>
                          <a:off x="0" y="0"/>
                          <a:ext cx="835025" cy="12192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3707581" id="Rectangle 2" o:spid="_x0000_s1026" style="position:absolute;margin-left:207.25pt;margin-top:192.7pt;width:65.75pt;height:9.6pt;z-index:2516746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" fillcolor="white [3212]" strokecolor="white [3212]" strokeweight="1pt"/>
            </w:pict>
          </mc:Fallback>
        </mc:AlternateContent>
      </w:r>
      <w:r w:rsidR="002D504C">
        <w:rPr>
          <w:noProof/>
        </w:rPr>
        <w:drawing>
          <wp:inline distT="0" distB="0" distL="0" distR="0" wp14:anchorId="0CEADCE9" wp14:editId="55B1DD74">
            <wp:extent cx="4876800" cy="7684296"/>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pic:cNvPicPr/>
                  </pic:nvPicPr>
                  <pic:blipFill>
                    <a:blip r:embed="rId42">
                      <a:extLst>
                        <a:ext uri="{28A0092B-C50C-407E-A947-70E740481C1C}">
                          <a14:useLocalDpi xmlns:a14="http://schemas.microsoft.com/office/drawing/2010/main" val="0"/>
                        </a:ext>
                      </a:extLst>
                    </a:blip>
                    <a:stretch>
                      <a:fillRect/>
                    </a:stretch>
                  </pic:blipFill>
                  <pic:spPr>
                    <a:xfrm>
                      <a:off x="0" y="0"/>
                      <a:ext cx="4889932" cy="7704988"/>
                    </a:xfrm>
                    <a:prstGeom prst="rect">
                      <a:avLst/>
                    </a:prstGeom>
                  </pic:spPr>
                </pic:pic>
              </a:graphicData>
            </a:graphic>
          </wp:inline>
        </w:drawing>
      </w:r>
    </w:p>
    <w:p w14:paraId="55A14995" w14:textId="77777777" w:rsidR="00446178" w:rsidRPr="00023AEE" w:rsidRDefault="00446178" w:rsidP="00446178">
      <w:pPr>
        <w:rPr>
          <w:sz w:val="16"/>
          <w:szCs w:val="16"/>
        </w:rPr>
      </w:pPr>
      <w:r w:rsidRPr="00023AEE">
        <w:rPr>
          <w:color w:val="000000"/>
          <w:sz w:val="16"/>
          <w:szCs w:val="16"/>
        </w:rPr>
        <w:lastRenderedPageBreak/>
        <w:t>Pooled effect estimates for each subgroup and overall effect are represented by the diamonds. Data are expressed as weighted mean differences with 95% confidence intervals using the generic inverse-variance method and random effects DerSimonian-Laird model. Paired analyses were applied to all crossover trials. Inter‐study heterogeneity was assessed using the Cochrane Q statistic and quantified using the I</w:t>
      </w:r>
      <w:r w:rsidRPr="00446178">
        <w:rPr>
          <w:color w:val="000000"/>
          <w:sz w:val="16"/>
          <w:szCs w:val="16"/>
          <w:vertAlign w:val="superscript"/>
        </w:rPr>
        <w:t>2</w:t>
      </w:r>
      <w:r w:rsidRPr="00023AEE">
        <w:rPr>
          <w:color w:val="000000"/>
          <w:sz w:val="16"/>
          <w:szCs w:val="16"/>
        </w:rPr>
        <w:t xml:space="preserve"> statistic, with significance set at p&lt;0.100 and I</w:t>
      </w:r>
      <w:r w:rsidRPr="00446178">
        <w:rPr>
          <w:color w:val="000000"/>
          <w:sz w:val="16"/>
          <w:szCs w:val="16"/>
          <w:vertAlign w:val="superscript"/>
        </w:rPr>
        <w:t>2</w:t>
      </w:r>
      <w:r w:rsidRPr="00023AEE">
        <w:rPr>
          <w:color w:val="000000"/>
          <w:sz w:val="16"/>
          <w:szCs w:val="16"/>
        </w:rPr>
        <w:t>≥50% considered to be evidence of substantial heterogeneity. </w:t>
      </w:r>
    </w:p>
    <w:p w14:paraId="2790AB7A" w14:textId="77777777" w:rsidR="00446178" w:rsidRPr="00023AEE" w:rsidRDefault="00446178" w:rsidP="00446178">
      <w:pPr>
        <w:rPr>
          <w:sz w:val="16"/>
          <w:szCs w:val="16"/>
        </w:rPr>
      </w:pPr>
      <w:r w:rsidRPr="00023AEE">
        <w:rPr>
          <w:color w:val="000000"/>
          <w:sz w:val="16"/>
          <w:szCs w:val="16"/>
        </w:rPr>
        <w:t>Risk of Bias Legend: (H) High Risk; (L) Low Risk; (S) Some concerns. The letters represent the following risk of bias domains: A, randomization process; B, bias arising from period and carryover effects; C, deviations from intended intervention; D, missing outcome data; E, measurement of the outcome; F, selection of the reported result; and G, overall bias. Risk of bias arising from period and carryover effects was only applicable to crossover trials.</w:t>
      </w:r>
    </w:p>
    <w:p w14:paraId="740F32B2" w14:textId="77777777" w:rsidR="00446178" w:rsidRDefault="00446178" w:rsidP="00446178">
      <w:pPr>
        <w:rPr>
          <w:color w:val="000000"/>
          <w:sz w:val="16"/>
          <w:szCs w:val="16"/>
        </w:rPr>
      </w:pPr>
      <w:r w:rsidRPr="00023AEE">
        <w:rPr>
          <w:color w:val="000000"/>
          <w:sz w:val="16"/>
          <w:szCs w:val="16"/>
        </w:rPr>
        <w:t xml:space="preserve">The pooled effect summary was calculated with the </w:t>
      </w:r>
      <w:r w:rsidRPr="00023AEE">
        <w:rPr>
          <w:color w:val="202122"/>
          <w:sz w:val="16"/>
          <w:szCs w:val="16"/>
        </w:rPr>
        <w:t>χ</w:t>
      </w:r>
      <w:r w:rsidRPr="00023AEE">
        <w:rPr>
          <w:color w:val="202122"/>
          <w:sz w:val="16"/>
          <w:szCs w:val="16"/>
          <w:vertAlign w:val="superscript"/>
        </w:rPr>
        <w:t>2</w:t>
      </w:r>
      <w:r w:rsidRPr="00023AEE">
        <w:rPr>
          <w:color w:val="000000"/>
          <w:sz w:val="16"/>
          <w:szCs w:val="16"/>
        </w:rPr>
        <w:t xml:space="preserve"> test. The test for group differences was calculated with meta-regression, which uses the Wald test. </w:t>
      </w:r>
    </w:p>
    <w:p w14:paraId="7A799004" w14:textId="2496F56C" w:rsidR="002820C3" w:rsidRDefault="002820C3" w:rsidP="002D504C">
      <w:pPr>
        <w:rPr>
          <w:color w:val="000000"/>
          <w:sz w:val="16"/>
          <w:szCs w:val="16"/>
        </w:rPr>
      </w:pPr>
    </w:p>
    <w:p w14:paraId="4E51EF66" w14:textId="6EF03BB7" w:rsidR="002820C3" w:rsidRDefault="002820C3" w:rsidP="002D504C">
      <w:pPr>
        <w:rPr>
          <w:color w:val="000000"/>
          <w:sz w:val="16"/>
          <w:szCs w:val="16"/>
        </w:rPr>
      </w:pPr>
      <w:r w:rsidRPr="002820C3">
        <w:rPr>
          <w:rFonts w:ascii="Arial" w:hAnsi="Arial" w:cs="Arial"/>
          <w:color w:val="000000"/>
          <w:sz w:val="16"/>
          <w:szCs w:val="16"/>
        </w:rPr>
        <w:t>†</w:t>
      </w:r>
      <w:r>
        <w:rPr>
          <w:color w:val="000000"/>
          <w:sz w:val="16"/>
          <w:szCs w:val="16"/>
        </w:rPr>
        <w:t>Post-hoc subgroup analysis by continent</w:t>
      </w:r>
    </w:p>
    <w:p w14:paraId="746D6481" w14:textId="77777777" w:rsidR="002D504C" w:rsidRDefault="002D504C" w:rsidP="002D504C">
      <w:pPr>
        <w:rPr>
          <w:color w:val="000000"/>
          <w:sz w:val="16"/>
          <w:szCs w:val="16"/>
        </w:rPr>
      </w:pPr>
    </w:p>
    <w:p w14:paraId="23B5ACF7" w14:textId="7A5BA04C" w:rsidR="002D504C" w:rsidRDefault="002D504C" w:rsidP="002D504C">
      <w:pPr>
        <w:rPr>
          <w:color w:val="000000"/>
          <w:sz w:val="16"/>
          <w:szCs w:val="16"/>
        </w:rPr>
      </w:pPr>
      <w:r>
        <w:rPr>
          <w:color w:val="000000"/>
          <w:sz w:val="16"/>
          <w:szCs w:val="16"/>
        </w:rPr>
        <w:t xml:space="preserve">*N=2 </w:t>
      </w:r>
      <w:r w:rsidR="001F1A0F">
        <w:rPr>
          <w:color w:val="000000"/>
          <w:sz w:val="16"/>
          <w:szCs w:val="16"/>
        </w:rPr>
        <w:t xml:space="preserve">trial </w:t>
      </w:r>
      <w:r>
        <w:rPr>
          <w:color w:val="000000"/>
          <w:sz w:val="16"/>
          <w:szCs w:val="16"/>
        </w:rPr>
        <w:t xml:space="preserve">comparisons missing data for age, and N=6 </w:t>
      </w:r>
      <w:r w:rsidR="001F1A0F">
        <w:rPr>
          <w:color w:val="000000"/>
          <w:sz w:val="16"/>
          <w:szCs w:val="16"/>
        </w:rPr>
        <w:t xml:space="preserve">trial </w:t>
      </w:r>
      <w:r>
        <w:rPr>
          <w:color w:val="000000"/>
          <w:sz w:val="16"/>
          <w:szCs w:val="16"/>
        </w:rPr>
        <w:t>comparisons for years since menopause</w:t>
      </w:r>
    </w:p>
    <w:p w14:paraId="0BB93C33" w14:textId="77777777" w:rsidR="002D504C" w:rsidRDefault="002D504C" w:rsidP="002D504C">
      <w:pPr>
        <w:rPr>
          <w:color w:val="000000"/>
          <w:sz w:val="16"/>
          <w:szCs w:val="16"/>
        </w:rPr>
      </w:pPr>
    </w:p>
    <w:p w14:paraId="5C473A68" w14:textId="5BEA8B42" w:rsidR="002D504C" w:rsidRDefault="002D504C" w:rsidP="002D504C">
      <w:pPr>
        <w:rPr>
          <w:color w:val="000000"/>
          <w:sz w:val="16"/>
          <w:szCs w:val="16"/>
        </w:rPr>
      </w:pPr>
      <w:r w:rsidRPr="007E32E0">
        <w:rPr>
          <w:color w:val="000000"/>
          <w:sz w:val="16"/>
          <w:szCs w:val="16"/>
          <w:vertAlign w:val="superscript"/>
        </w:rPr>
        <w:t xml:space="preserve">a </w:t>
      </w:r>
      <w:r w:rsidRPr="007E32E0">
        <w:rPr>
          <w:color w:val="000000"/>
          <w:sz w:val="16"/>
          <w:szCs w:val="16"/>
        </w:rPr>
        <w:t xml:space="preserve">Pairwise between-subgroup mean differences (95% CIs) for Comparator were as follows: </w:t>
      </w:r>
      <w:r w:rsidR="00856F8C" w:rsidRPr="007E32E0">
        <w:rPr>
          <w:color w:val="000000"/>
          <w:sz w:val="16"/>
          <w:szCs w:val="16"/>
        </w:rPr>
        <w:t xml:space="preserve">47 (6.46, 87.6) (6 vs 1); 12.1 (0.585, 23.6) (5 vs 3); 35.2 (16.9, 53.5) (6 vs 3); 31.6 (13.9, 49.3) (6 vs 4); </w:t>
      </w:r>
      <w:r w:rsidR="007E32E0" w:rsidRPr="007E32E0">
        <w:rPr>
          <w:color w:val="000000"/>
          <w:sz w:val="16"/>
          <w:szCs w:val="16"/>
        </w:rPr>
        <w:t>23.1 (4.08, 42.1) (6 vs 5); -18.6 (-34.4, -2.68) (15 vs 5); -31.4 (-48.6, -14.3) (7 vs 6); -25.2 (</w:t>
      </w:r>
      <w:r w:rsidR="007E32E0">
        <w:rPr>
          <w:color w:val="000000"/>
          <w:sz w:val="16"/>
          <w:szCs w:val="16"/>
        </w:rPr>
        <w:t>-</w:t>
      </w:r>
      <w:r w:rsidR="007E32E0" w:rsidRPr="007E32E0">
        <w:rPr>
          <w:color w:val="000000"/>
          <w:sz w:val="16"/>
          <w:szCs w:val="16"/>
        </w:rPr>
        <w:t>43.8, -6.66) (9 vs 6); -30 (-57, -3.01) (11 vs 6); -36 (-56.5, -15.4) (13 vs 6); -33.4 (-51.1, -15.8) (14 vs 6); -41.7 (-62.9, -20.4) (15 vs 6); -16.4 (-31.8, -1.09) (15 vs 9); -32.1 (-62.9, -1.36) (15 vs 12)</w:t>
      </w:r>
    </w:p>
    <w:p w14:paraId="4AA6643F" w14:textId="77777777" w:rsidR="002D504C" w:rsidRPr="00023AEE" w:rsidRDefault="002D504C" w:rsidP="002D504C">
      <w:pPr>
        <w:rPr>
          <w:sz w:val="16"/>
          <w:szCs w:val="16"/>
        </w:rPr>
      </w:pPr>
    </w:p>
    <w:p w14:paraId="6C60A5EB" w14:textId="6A768D1B" w:rsidR="002D504C" w:rsidRDefault="007E32E0" w:rsidP="002D504C">
      <w:pPr>
        <w:rPr>
          <w:color w:val="000000"/>
          <w:sz w:val="16"/>
          <w:szCs w:val="16"/>
        </w:rPr>
      </w:pPr>
      <w:r w:rsidRPr="00023AEE">
        <w:rPr>
          <w:color w:val="000000"/>
          <w:sz w:val="16"/>
          <w:szCs w:val="16"/>
        </w:rPr>
        <w:t>CI, confidence interval</w:t>
      </w:r>
      <w:r>
        <w:rPr>
          <w:color w:val="000000"/>
          <w:sz w:val="16"/>
          <w:szCs w:val="16"/>
        </w:rPr>
        <w:t xml:space="preserve">; </w:t>
      </w:r>
      <w:r w:rsidR="002D504C">
        <w:rPr>
          <w:color w:val="000000"/>
          <w:sz w:val="16"/>
          <w:szCs w:val="16"/>
        </w:rPr>
        <w:t>MD, mean difference</w:t>
      </w:r>
    </w:p>
    <w:p w14:paraId="512DE518" w14:textId="77777777" w:rsidR="002D504C" w:rsidRDefault="002D504C">
      <w:pPr>
        <w:rPr>
          <w:color w:val="000000"/>
          <w:sz w:val="16"/>
          <w:szCs w:val="16"/>
        </w:rPr>
      </w:pPr>
      <w:r>
        <w:rPr>
          <w:color w:val="000000"/>
          <w:sz w:val="16"/>
          <w:szCs w:val="16"/>
        </w:rPr>
        <w:br w:type="page"/>
      </w:r>
    </w:p>
    <w:p w14:paraId="5BBF8F82" w14:textId="5ED19068" w:rsidR="002D504C" w:rsidRDefault="002D504C" w:rsidP="00CB4744">
      <w:pPr>
        <w:pStyle w:val="Heading1"/>
      </w:pPr>
      <w:bookmarkStart w:id="55" w:name="_Toc152764312"/>
      <w:bookmarkStart w:id="56" w:name="_Toc153356569"/>
      <w:r w:rsidRPr="004471F3">
        <w:rPr>
          <w:b/>
          <w:bCs/>
        </w:rPr>
        <w:lastRenderedPageBreak/>
        <w:t>Supplementa</w:t>
      </w:r>
      <w:r w:rsidR="005C5F52">
        <w:rPr>
          <w:b/>
          <w:bCs/>
        </w:rPr>
        <w:t>l</w:t>
      </w:r>
      <w:r w:rsidRPr="004471F3">
        <w:rPr>
          <w:b/>
          <w:bCs/>
        </w:rPr>
        <w:t xml:space="preserve"> Figure </w:t>
      </w:r>
      <w:r>
        <w:rPr>
          <w:b/>
          <w:bCs/>
        </w:rPr>
        <w:t>17 (2 of 3)</w:t>
      </w:r>
      <w:r w:rsidRPr="004471F3">
        <w:rPr>
          <w:b/>
          <w:bCs/>
        </w:rPr>
        <w:t>.</w:t>
      </w:r>
      <w:r w:rsidRPr="004471F3">
        <w:t xml:space="preserve"> </w:t>
      </w:r>
      <w:r>
        <w:t xml:space="preserve">Subgroup analyses </w:t>
      </w:r>
      <w:r w:rsidRPr="00F31633">
        <w:t>for the effect of</w:t>
      </w:r>
      <w:r>
        <w:t xml:space="preserve"> soy </w:t>
      </w:r>
      <w:r w:rsidRPr="00F31633">
        <w:t xml:space="preserve">isoflavones on </w:t>
      </w:r>
      <w:r>
        <w:t>estradiol*</w:t>
      </w:r>
      <w:bookmarkEnd w:id="55"/>
      <w:bookmarkEnd w:id="56"/>
    </w:p>
    <w:p w14:paraId="5896DFE8" w14:textId="2F18A83D" w:rsidR="002D504C" w:rsidRDefault="002D504C" w:rsidP="002D504C"/>
    <w:p w14:paraId="5FFB07A5" w14:textId="79AA70CD" w:rsidR="002D504C" w:rsidRDefault="00D201D3" w:rsidP="002D504C">
      <w:r>
        <w:rPr>
          <w:noProof/>
        </w:rPr>
        <mc:AlternateContent>
          <mc:Choice Requires="wps">
            <w:drawing>
              <wp:anchor distT="0" distB="0" distL="114300" distR="114300" simplePos="0" relativeHeight="251679744" behindDoc="0" locked="0" layoutInCell="1" allowOverlap="1" wp14:anchorId="1AB67378" wp14:editId="00E6D8F4">
                <wp:simplePos x="0" y="0"/>
                <wp:positionH relativeFrom="column">
                  <wp:posOffset>4174380</wp:posOffset>
                </wp:positionH>
                <wp:positionV relativeFrom="paragraph">
                  <wp:posOffset>1814830</wp:posOffset>
                </wp:positionV>
                <wp:extent cx="685800" cy="129209"/>
                <wp:effectExtent l="0" t="0" r="12700" b="10795"/>
                <wp:wrapNone/>
                <wp:docPr id="1708477041" name="Rectangle 3"/>
                <wp:cNvGraphicFramePr/>
                <a:graphic xmlns:a="http://schemas.openxmlformats.org/drawingml/2006/main">
                  <a:graphicData uri="http://schemas.microsoft.com/office/word/2010/wordprocessingShape">
                    <wps:wsp>
                      <wps:cNvSpPr/>
                      <wps:spPr>
                        <a:xfrm>
                          <a:off x="0" y="0"/>
                          <a:ext cx="685800" cy="129209"/>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58B4BF8A" id="Rectangle 3" o:spid="_x0000_s1026" style="position:absolute;margin-left:328.7pt;margin-top:142.9pt;width:54pt;height:10.15pt;z-index:2516797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" fillcolor="white [3212]" strokecolor="white [3212]" strokeweight="1pt"/>
            </w:pict>
          </mc:Fallback>
        </mc:AlternateContent>
      </w:r>
      <w:r>
        <w:rPr>
          <w:noProof/>
        </w:rPr>
        <mc:AlternateContent>
          <mc:Choice Requires="wps">
            <w:drawing>
              <wp:anchor distT="0" distB="0" distL="114300" distR="114300" simplePos="0" relativeHeight="251677696" behindDoc="0" locked="0" layoutInCell="1" allowOverlap="1" wp14:anchorId="25CEACC4" wp14:editId="1F10A059">
                <wp:simplePos x="0" y="0"/>
                <wp:positionH relativeFrom="column">
                  <wp:posOffset>3140765</wp:posOffset>
                </wp:positionH>
                <wp:positionV relativeFrom="paragraph">
                  <wp:posOffset>1790037</wp:posOffset>
                </wp:positionV>
                <wp:extent cx="1008822" cy="129209"/>
                <wp:effectExtent l="0" t="0" r="7620" b="10795"/>
                <wp:wrapNone/>
                <wp:docPr id="1938469070" name="Rectangle 3"/>
                <wp:cNvGraphicFramePr/>
                <a:graphic xmlns:a="http://schemas.openxmlformats.org/drawingml/2006/main">
                  <a:graphicData uri="http://schemas.microsoft.com/office/word/2010/wordprocessingShape">
                    <wps:wsp>
                      <wps:cNvSpPr/>
                      <wps:spPr>
                        <a:xfrm>
                          <a:off x="0" y="0"/>
                          <a:ext cx="1008822" cy="129209"/>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60D33F0" id="Rectangle 3" o:spid="_x0000_s1026" style="position:absolute;margin-left:247.3pt;margin-top:140.95pt;width:79.45pt;height:10.1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" fillcolor="white [3212]" strokecolor="white [3212]" strokeweight="1pt"/>
            </w:pict>
          </mc:Fallback>
        </mc:AlternateContent>
      </w:r>
      <w:r w:rsidR="002D504C">
        <w:rPr>
          <w:noProof/>
        </w:rPr>
        <w:drawing>
          <wp:inline distT="0" distB="0" distL="0" distR="0" wp14:anchorId="5DF802B0" wp14:editId="7123AB37">
            <wp:extent cx="5746376" cy="5525361"/>
            <wp:effectExtent l="0" t="0" r="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pic:cNvPicPr/>
                  </pic:nvPicPr>
                  <pic:blipFill>
                    <a:blip r:embed="rId43">
                      <a:extLst>
                        <a:ext uri="{28A0092B-C50C-407E-A947-70E740481C1C}">
                          <a14:useLocalDpi xmlns:a14="http://schemas.microsoft.com/office/drawing/2010/main" val="0"/>
                        </a:ext>
                      </a:extLst>
                    </a:blip>
                    <a:stretch>
                      <a:fillRect/>
                    </a:stretch>
                  </pic:blipFill>
                  <pic:spPr>
                    <a:xfrm>
                      <a:off x="0" y="0"/>
                      <a:ext cx="5755802" cy="5534425"/>
                    </a:xfrm>
                    <a:prstGeom prst="rect">
                      <a:avLst/>
                    </a:prstGeom>
                  </pic:spPr>
                </pic:pic>
              </a:graphicData>
            </a:graphic>
          </wp:inline>
        </w:drawing>
      </w:r>
    </w:p>
    <w:p w14:paraId="29E85D76" w14:textId="77777777" w:rsidR="002D504C" w:rsidRDefault="002D504C" w:rsidP="002D504C">
      <w:pPr>
        <w:rPr>
          <w:color w:val="000000"/>
          <w:sz w:val="16"/>
          <w:szCs w:val="16"/>
        </w:rPr>
      </w:pPr>
    </w:p>
    <w:p w14:paraId="23E40313" w14:textId="77777777" w:rsidR="00FC7D22" w:rsidRDefault="00FC7D22" w:rsidP="00FC7D22">
      <w:pPr>
        <w:rPr>
          <w:color w:val="000000"/>
          <w:sz w:val="16"/>
          <w:szCs w:val="16"/>
        </w:rPr>
      </w:pPr>
    </w:p>
    <w:p w14:paraId="795D6A0C" w14:textId="77777777" w:rsidR="00446178" w:rsidRPr="00023AEE" w:rsidRDefault="00446178" w:rsidP="00446178">
      <w:pPr>
        <w:rPr>
          <w:sz w:val="16"/>
          <w:szCs w:val="16"/>
        </w:rPr>
      </w:pPr>
      <w:r w:rsidRPr="00023AEE">
        <w:rPr>
          <w:color w:val="000000"/>
          <w:sz w:val="16"/>
          <w:szCs w:val="16"/>
        </w:rPr>
        <w:t>Pooled effect estimates for each subgroup and overall effect are represented by the diamonds. Data are expressed as weighted mean differences with 95% confidence intervals using the generic inverse-variance method and random effects DerSimonian-Laird model. Paired analyses were applied to all crossover trials. Inter‐study heterogeneity was assessed using the Cochrane Q statistic and quantified using the I</w:t>
      </w:r>
      <w:r w:rsidRPr="00446178">
        <w:rPr>
          <w:color w:val="000000"/>
          <w:sz w:val="16"/>
          <w:szCs w:val="16"/>
          <w:vertAlign w:val="superscript"/>
        </w:rPr>
        <w:t>2</w:t>
      </w:r>
      <w:r w:rsidRPr="00023AEE">
        <w:rPr>
          <w:color w:val="000000"/>
          <w:sz w:val="16"/>
          <w:szCs w:val="16"/>
        </w:rPr>
        <w:t xml:space="preserve"> statistic, with significance set at p&lt;0.100 and I</w:t>
      </w:r>
      <w:r w:rsidRPr="00446178">
        <w:rPr>
          <w:color w:val="000000"/>
          <w:sz w:val="16"/>
          <w:szCs w:val="16"/>
          <w:vertAlign w:val="superscript"/>
        </w:rPr>
        <w:t>2</w:t>
      </w:r>
      <w:r w:rsidRPr="00023AEE">
        <w:rPr>
          <w:color w:val="000000"/>
          <w:sz w:val="16"/>
          <w:szCs w:val="16"/>
        </w:rPr>
        <w:t>≥50% considered to be evidence of substantial heterogeneity. </w:t>
      </w:r>
    </w:p>
    <w:p w14:paraId="0FBA5708" w14:textId="77777777" w:rsidR="00446178" w:rsidRPr="00023AEE" w:rsidRDefault="00446178" w:rsidP="00446178">
      <w:pPr>
        <w:rPr>
          <w:sz w:val="16"/>
          <w:szCs w:val="16"/>
        </w:rPr>
      </w:pPr>
      <w:r w:rsidRPr="00023AEE">
        <w:rPr>
          <w:color w:val="000000"/>
          <w:sz w:val="16"/>
          <w:szCs w:val="16"/>
        </w:rPr>
        <w:t>Risk of Bias Legend: (H) High Risk; (L) Low Risk; (S) Some concerns. The letters represent the following risk of bias domains: A, randomization process; B, bias arising from period and carryover effects; C, deviations from intended intervention; D, missing outcome data; E, measurement of the outcome; F, selection of the reported result; and G, overall bias. Risk of bias arising from period and carryover effects was only applicable to crossover trials.</w:t>
      </w:r>
    </w:p>
    <w:p w14:paraId="7AA98D5E" w14:textId="77777777" w:rsidR="00446178" w:rsidRDefault="00446178" w:rsidP="00446178">
      <w:pPr>
        <w:rPr>
          <w:color w:val="000000"/>
          <w:sz w:val="16"/>
          <w:szCs w:val="16"/>
        </w:rPr>
      </w:pPr>
      <w:r w:rsidRPr="00023AEE">
        <w:rPr>
          <w:color w:val="000000"/>
          <w:sz w:val="16"/>
          <w:szCs w:val="16"/>
        </w:rPr>
        <w:t xml:space="preserve">The pooled effect summary was calculated with the </w:t>
      </w:r>
      <w:r w:rsidRPr="00023AEE">
        <w:rPr>
          <w:color w:val="202122"/>
          <w:sz w:val="16"/>
          <w:szCs w:val="16"/>
        </w:rPr>
        <w:t>χ</w:t>
      </w:r>
      <w:r w:rsidRPr="00023AEE">
        <w:rPr>
          <w:color w:val="202122"/>
          <w:sz w:val="16"/>
          <w:szCs w:val="16"/>
          <w:vertAlign w:val="superscript"/>
        </w:rPr>
        <w:t>2</w:t>
      </w:r>
      <w:r w:rsidRPr="00023AEE">
        <w:rPr>
          <w:color w:val="000000"/>
          <w:sz w:val="16"/>
          <w:szCs w:val="16"/>
        </w:rPr>
        <w:t xml:space="preserve"> test. The test for group differences was calculated with meta-regression, which uses the Wald test. </w:t>
      </w:r>
    </w:p>
    <w:p w14:paraId="17B26787" w14:textId="75051FAA" w:rsidR="002D504C" w:rsidRDefault="002D504C" w:rsidP="002D504C">
      <w:pPr>
        <w:rPr>
          <w:color w:val="000000"/>
          <w:sz w:val="16"/>
          <w:szCs w:val="16"/>
        </w:rPr>
      </w:pPr>
    </w:p>
    <w:p w14:paraId="609CA548" w14:textId="1308B272" w:rsidR="00FF0F2F" w:rsidRDefault="00FF0F2F" w:rsidP="002D504C">
      <w:pPr>
        <w:rPr>
          <w:color w:val="000000"/>
          <w:sz w:val="16"/>
          <w:szCs w:val="16"/>
        </w:rPr>
      </w:pPr>
      <w:r w:rsidRPr="002820C3">
        <w:rPr>
          <w:rFonts w:ascii="Arial" w:hAnsi="Arial" w:cs="Arial"/>
          <w:color w:val="000000"/>
          <w:sz w:val="16"/>
          <w:szCs w:val="16"/>
        </w:rPr>
        <w:t>†</w:t>
      </w:r>
      <w:r>
        <w:rPr>
          <w:color w:val="000000"/>
          <w:sz w:val="16"/>
          <w:szCs w:val="16"/>
        </w:rPr>
        <w:t>Post-hoc subgroup analysis by soy protein containing comparator and baseline BMI</w:t>
      </w:r>
    </w:p>
    <w:p w14:paraId="4FB2865F" w14:textId="77777777" w:rsidR="00FF0F2F" w:rsidRDefault="00FF0F2F" w:rsidP="002D504C">
      <w:pPr>
        <w:rPr>
          <w:color w:val="000000"/>
          <w:sz w:val="16"/>
          <w:szCs w:val="16"/>
        </w:rPr>
      </w:pPr>
    </w:p>
    <w:p w14:paraId="6FA15407" w14:textId="178E6FF5" w:rsidR="002D504C" w:rsidRDefault="002D504C" w:rsidP="002D504C">
      <w:pPr>
        <w:rPr>
          <w:color w:val="000000"/>
          <w:sz w:val="16"/>
          <w:szCs w:val="16"/>
        </w:rPr>
      </w:pPr>
      <w:r>
        <w:rPr>
          <w:color w:val="000000"/>
          <w:sz w:val="16"/>
          <w:szCs w:val="16"/>
        </w:rPr>
        <w:t xml:space="preserve">*N=2 </w:t>
      </w:r>
      <w:r w:rsidR="001F1A0F">
        <w:rPr>
          <w:color w:val="000000"/>
          <w:sz w:val="16"/>
          <w:szCs w:val="16"/>
        </w:rPr>
        <w:t xml:space="preserve">trial </w:t>
      </w:r>
      <w:r>
        <w:rPr>
          <w:color w:val="000000"/>
          <w:sz w:val="16"/>
          <w:szCs w:val="16"/>
        </w:rPr>
        <w:t>comparison</w:t>
      </w:r>
      <w:r w:rsidR="001F1A0F">
        <w:rPr>
          <w:color w:val="000000"/>
          <w:sz w:val="16"/>
          <w:szCs w:val="16"/>
        </w:rPr>
        <w:t>s</w:t>
      </w:r>
      <w:r>
        <w:rPr>
          <w:color w:val="000000"/>
          <w:sz w:val="16"/>
          <w:szCs w:val="16"/>
        </w:rPr>
        <w:t xml:space="preserve"> missing data for BMI</w:t>
      </w:r>
    </w:p>
    <w:p w14:paraId="1B217D31" w14:textId="77777777" w:rsidR="002D504C" w:rsidRPr="00023AEE" w:rsidRDefault="002D504C" w:rsidP="002D504C">
      <w:pPr>
        <w:rPr>
          <w:sz w:val="16"/>
          <w:szCs w:val="16"/>
        </w:rPr>
      </w:pPr>
    </w:p>
    <w:p w14:paraId="6ECC82F6" w14:textId="6672A564" w:rsidR="002D504C" w:rsidRDefault="007E32E0" w:rsidP="002D504C">
      <w:pPr>
        <w:rPr>
          <w:color w:val="000000"/>
          <w:sz w:val="16"/>
          <w:szCs w:val="16"/>
        </w:rPr>
      </w:pPr>
      <w:r>
        <w:rPr>
          <w:color w:val="000000"/>
          <w:sz w:val="16"/>
          <w:szCs w:val="16"/>
        </w:rPr>
        <w:t xml:space="preserve">BMI, body mass index; </w:t>
      </w:r>
      <w:r w:rsidRPr="00023AEE">
        <w:rPr>
          <w:color w:val="000000"/>
          <w:sz w:val="16"/>
          <w:szCs w:val="16"/>
        </w:rPr>
        <w:t>CI, confidence interval</w:t>
      </w:r>
      <w:r>
        <w:rPr>
          <w:color w:val="000000"/>
          <w:sz w:val="16"/>
          <w:szCs w:val="16"/>
        </w:rPr>
        <w:t xml:space="preserve">; </w:t>
      </w:r>
      <w:r w:rsidR="002D504C">
        <w:rPr>
          <w:color w:val="000000"/>
          <w:sz w:val="16"/>
          <w:szCs w:val="16"/>
        </w:rPr>
        <w:t>MD, mean difference</w:t>
      </w:r>
    </w:p>
    <w:p w14:paraId="2876ABAB" w14:textId="4D2B7433" w:rsidR="002D504C" w:rsidRPr="00FF0F2F" w:rsidRDefault="002D504C" w:rsidP="00CB4744">
      <w:pPr>
        <w:pStyle w:val="Heading1"/>
        <w:rPr>
          <w:color w:val="000000"/>
          <w:sz w:val="16"/>
          <w:szCs w:val="16"/>
        </w:rPr>
      </w:pPr>
      <w:r>
        <w:rPr>
          <w:color w:val="000000"/>
          <w:sz w:val="16"/>
          <w:szCs w:val="16"/>
        </w:rPr>
        <w:br w:type="page"/>
      </w:r>
      <w:bookmarkStart w:id="57" w:name="_Toc152764313"/>
      <w:bookmarkStart w:id="58" w:name="_Toc153356570"/>
      <w:r w:rsidRPr="004471F3">
        <w:rPr>
          <w:b/>
          <w:bCs/>
        </w:rPr>
        <w:lastRenderedPageBreak/>
        <w:t>Supplementa</w:t>
      </w:r>
      <w:r w:rsidR="005C5F52">
        <w:rPr>
          <w:b/>
          <w:bCs/>
        </w:rPr>
        <w:t xml:space="preserve">l </w:t>
      </w:r>
      <w:r w:rsidRPr="004471F3">
        <w:rPr>
          <w:b/>
          <w:bCs/>
        </w:rPr>
        <w:t xml:space="preserve">Figure </w:t>
      </w:r>
      <w:r>
        <w:rPr>
          <w:b/>
          <w:bCs/>
        </w:rPr>
        <w:t>17 (3 of 3)</w:t>
      </w:r>
      <w:r w:rsidRPr="004471F3">
        <w:rPr>
          <w:b/>
          <w:bCs/>
        </w:rPr>
        <w:t>.</w:t>
      </w:r>
      <w:r w:rsidRPr="004471F3">
        <w:t xml:space="preserve"> </w:t>
      </w:r>
      <w:r>
        <w:t xml:space="preserve">Subgroup analyses </w:t>
      </w:r>
      <w:r w:rsidRPr="00F31633">
        <w:t>for the effect of</w:t>
      </w:r>
      <w:r>
        <w:t xml:space="preserve"> soy </w:t>
      </w:r>
      <w:r w:rsidRPr="00F31633">
        <w:t xml:space="preserve">isoflavones on </w:t>
      </w:r>
      <w:r>
        <w:t>estradiol</w:t>
      </w:r>
      <w:bookmarkEnd w:id="57"/>
      <w:bookmarkEnd w:id="58"/>
    </w:p>
    <w:p w14:paraId="022AF4DE" w14:textId="77777777" w:rsidR="002D504C" w:rsidRPr="002D504C" w:rsidRDefault="002D504C" w:rsidP="002D504C">
      <w:pPr>
        <w:rPr>
          <w:color w:val="000000"/>
        </w:rPr>
      </w:pPr>
    </w:p>
    <w:p w14:paraId="433AA592" w14:textId="502B9694" w:rsidR="00FC7D22" w:rsidRDefault="002D504C">
      <w:pPr>
        <w:rPr>
          <w:color w:val="000000"/>
          <w:sz w:val="16"/>
          <w:szCs w:val="16"/>
        </w:rPr>
      </w:pPr>
      <w:r>
        <w:rPr>
          <w:noProof/>
          <w:color w:val="000000"/>
          <w:sz w:val="16"/>
          <w:szCs w:val="16"/>
        </w:rPr>
        <w:drawing>
          <wp:inline distT="0" distB="0" distL="0" distR="0" wp14:anchorId="5FFAD4A4" wp14:editId="0876C9E2">
            <wp:extent cx="5943600" cy="5861685"/>
            <wp:effectExtent l="0" t="0" r="0" b="5715"/>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pic:cNvPicPr/>
                  </pic:nvPicPr>
                  <pic:blipFill>
                    <a:blip r:embed="rId44">
                      <a:extLst>
                        <a:ext uri="{28A0092B-C50C-407E-A947-70E740481C1C}">
                          <a14:useLocalDpi xmlns:a14="http://schemas.microsoft.com/office/drawing/2010/main" val="0"/>
                        </a:ext>
                      </a:extLst>
                    </a:blip>
                    <a:stretch>
                      <a:fillRect/>
                    </a:stretch>
                  </pic:blipFill>
                  <pic:spPr>
                    <a:xfrm>
                      <a:off x="0" y="0"/>
                      <a:ext cx="5943600" cy="5861685"/>
                    </a:xfrm>
                    <a:prstGeom prst="rect">
                      <a:avLst/>
                    </a:prstGeom>
                  </pic:spPr>
                </pic:pic>
              </a:graphicData>
            </a:graphic>
          </wp:inline>
        </w:drawing>
      </w:r>
    </w:p>
    <w:p w14:paraId="333C7D70" w14:textId="32A50B14" w:rsidR="002D504C" w:rsidRDefault="002D504C">
      <w:pPr>
        <w:rPr>
          <w:color w:val="000000"/>
          <w:sz w:val="16"/>
          <w:szCs w:val="16"/>
        </w:rPr>
      </w:pPr>
    </w:p>
    <w:p w14:paraId="4A6CD21A" w14:textId="77777777" w:rsidR="002D504C" w:rsidRPr="00023AEE" w:rsidRDefault="002D504C" w:rsidP="002D504C">
      <w:pPr>
        <w:rPr>
          <w:sz w:val="16"/>
          <w:szCs w:val="16"/>
        </w:rPr>
      </w:pPr>
      <w:r w:rsidRPr="00023AEE">
        <w:rPr>
          <w:color w:val="000000"/>
          <w:sz w:val="16"/>
          <w:szCs w:val="16"/>
        </w:rPr>
        <w:t>Pooled effect estimates for each subgroup and overall effect are represented by the diamonds. Data are expressed as weighted mean differences with 95% confidence intervals using the generic inverse-variance method and random effects DerSimonian-Laird model. Paired analyses were applied to all crossover trials. Inter‐study heterogeneity was assessed using the Cochrane Q statistic and quantified using the I</w:t>
      </w:r>
      <w:r w:rsidRPr="00446178">
        <w:rPr>
          <w:color w:val="000000"/>
          <w:sz w:val="16"/>
          <w:szCs w:val="16"/>
          <w:vertAlign w:val="superscript"/>
        </w:rPr>
        <w:t>2</w:t>
      </w:r>
      <w:r w:rsidRPr="00023AEE">
        <w:rPr>
          <w:color w:val="000000"/>
          <w:sz w:val="16"/>
          <w:szCs w:val="16"/>
        </w:rPr>
        <w:t xml:space="preserve"> statistic, with significance set at p&lt;0.100 and I</w:t>
      </w:r>
      <w:r w:rsidRPr="00446178">
        <w:rPr>
          <w:color w:val="000000"/>
          <w:sz w:val="16"/>
          <w:szCs w:val="16"/>
          <w:vertAlign w:val="superscript"/>
        </w:rPr>
        <w:t>2</w:t>
      </w:r>
      <w:r w:rsidRPr="00023AEE">
        <w:rPr>
          <w:color w:val="000000"/>
          <w:sz w:val="16"/>
          <w:szCs w:val="16"/>
        </w:rPr>
        <w:t>≥50% considered to be evidence of substantial heterogeneity. </w:t>
      </w:r>
    </w:p>
    <w:p w14:paraId="4BC51C9E" w14:textId="77777777" w:rsidR="002D504C" w:rsidRPr="00023AEE" w:rsidRDefault="002D504C" w:rsidP="002D504C">
      <w:pPr>
        <w:rPr>
          <w:sz w:val="16"/>
          <w:szCs w:val="16"/>
        </w:rPr>
      </w:pPr>
      <w:r w:rsidRPr="00023AEE">
        <w:rPr>
          <w:color w:val="000000"/>
          <w:sz w:val="16"/>
          <w:szCs w:val="16"/>
        </w:rPr>
        <w:t>Risk of Bias Legend: (H) High Risk; (L) Low Risk; (S) Some concerns. The letters represent the following risk of bias domains: A, randomization process; B, bias arising from period and carryover effects; C, deviations from intended intervention; D, missing outcome data; E, measurement of the outcome; F, selection of the reported result; and G, overall bias. Risk of bias arising from period and carryover effects was only applicable to crossover trials.</w:t>
      </w:r>
    </w:p>
    <w:p w14:paraId="63E7A5D3" w14:textId="77777777" w:rsidR="002D504C" w:rsidRDefault="002D504C" w:rsidP="002D504C">
      <w:pPr>
        <w:rPr>
          <w:color w:val="000000"/>
          <w:sz w:val="16"/>
          <w:szCs w:val="16"/>
        </w:rPr>
      </w:pPr>
      <w:r w:rsidRPr="00023AEE">
        <w:rPr>
          <w:color w:val="000000"/>
          <w:sz w:val="16"/>
          <w:szCs w:val="16"/>
        </w:rPr>
        <w:t xml:space="preserve">The pooled effect summary was calculated with the </w:t>
      </w:r>
      <w:r w:rsidRPr="00023AEE">
        <w:rPr>
          <w:color w:val="202122"/>
          <w:sz w:val="16"/>
          <w:szCs w:val="16"/>
        </w:rPr>
        <w:t>χ</w:t>
      </w:r>
      <w:r w:rsidRPr="00023AEE">
        <w:rPr>
          <w:color w:val="202122"/>
          <w:sz w:val="16"/>
          <w:szCs w:val="16"/>
          <w:vertAlign w:val="superscript"/>
        </w:rPr>
        <w:t>2</w:t>
      </w:r>
      <w:r w:rsidRPr="00023AEE">
        <w:rPr>
          <w:color w:val="000000"/>
          <w:sz w:val="16"/>
          <w:szCs w:val="16"/>
        </w:rPr>
        <w:t xml:space="preserve"> test. The test for group differences was calculated with meta-regression, which uses the Wald test. </w:t>
      </w:r>
    </w:p>
    <w:p w14:paraId="48D173FB" w14:textId="2CD606DB" w:rsidR="002D504C" w:rsidRDefault="002D504C" w:rsidP="002D504C">
      <w:pPr>
        <w:rPr>
          <w:sz w:val="16"/>
          <w:szCs w:val="16"/>
        </w:rPr>
      </w:pPr>
    </w:p>
    <w:p w14:paraId="29D1CDB6" w14:textId="18DE7748" w:rsidR="00FF0F2F" w:rsidRPr="00FF0F2F" w:rsidRDefault="00FF0F2F" w:rsidP="002D504C">
      <w:pPr>
        <w:rPr>
          <w:color w:val="000000"/>
          <w:sz w:val="16"/>
          <w:szCs w:val="16"/>
        </w:rPr>
      </w:pPr>
      <w:r w:rsidRPr="002820C3">
        <w:rPr>
          <w:rFonts w:ascii="Arial" w:hAnsi="Arial" w:cs="Arial"/>
          <w:color w:val="000000"/>
          <w:sz w:val="16"/>
          <w:szCs w:val="16"/>
        </w:rPr>
        <w:t>†</w:t>
      </w:r>
      <w:r>
        <w:rPr>
          <w:color w:val="000000"/>
          <w:sz w:val="16"/>
          <w:szCs w:val="16"/>
        </w:rPr>
        <w:t>Post-hoc subgroup analysis by type MD</w:t>
      </w:r>
    </w:p>
    <w:p w14:paraId="174A0505" w14:textId="77777777" w:rsidR="00FF0F2F" w:rsidRPr="00023AEE" w:rsidRDefault="00FF0F2F" w:rsidP="002D504C">
      <w:pPr>
        <w:rPr>
          <w:sz w:val="16"/>
          <w:szCs w:val="16"/>
        </w:rPr>
      </w:pPr>
    </w:p>
    <w:p w14:paraId="1DC0DACB" w14:textId="6E8D1C20" w:rsidR="00FF0F2F" w:rsidRDefault="007E32E0" w:rsidP="00FF0F2F">
      <w:pPr>
        <w:rPr>
          <w:color w:val="000000"/>
          <w:sz w:val="16"/>
          <w:szCs w:val="16"/>
        </w:rPr>
      </w:pPr>
      <w:r w:rsidRPr="00023AEE">
        <w:rPr>
          <w:color w:val="000000"/>
          <w:sz w:val="16"/>
          <w:szCs w:val="16"/>
        </w:rPr>
        <w:t>CI, confidence interval</w:t>
      </w:r>
      <w:r>
        <w:rPr>
          <w:color w:val="000000"/>
          <w:sz w:val="16"/>
          <w:szCs w:val="16"/>
        </w:rPr>
        <w:t xml:space="preserve">; </w:t>
      </w:r>
      <w:r w:rsidR="002D504C">
        <w:rPr>
          <w:color w:val="000000"/>
          <w:sz w:val="16"/>
          <w:szCs w:val="16"/>
        </w:rPr>
        <w:t>MD, mean difference</w:t>
      </w:r>
    </w:p>
    <w:p w14:paraId="367CF25C" w14:textId="7270045B" w:rsidR="00F0156D" w:rsidRDefault="00F0156D" w:rsidP="00F0156D">
      <w:pPr>
        <w:pStyle w:val="Heading1"/>
      </w:pPr>
      <w:bookmarkStart w:id="59" w:name="_Toc152764314"/>
      <w:bookmarkStart w:id="60" w:name="_Toc153356571"/>
      <w:r w:rsidRPr="004471F3">
        <w:rPr>
          <w:b/>
          <w:bCs/>
        </w:rPr>
        <w:lastRenderedPageBreak/>
        <w:t>Supplementa</w:t>
      </w:r>
      <w:r w:rsidR="005C5F52">
        <w:rPr>
          <w:b/>
          <w:bCs/>
        </w:rPr>
        <w:t>l</w:t>
      </w:r>
      <w:r w:rsidRPr="004471F3">
        <w:rPr>
          <w:b/>
          <w:bCs/>
        </w:rPr>
        <w:t xml:space="preserve"> Figure </w:t>
      </w:r>
      <w:r>
        <w:rPr>
          <w:b/>
          <w:bCs/>
        </w:rPr>
        <w:t xml:space="preserve">18. </w:t>
      </w:r>
      <w:r w:rsidRPr="00F0156D">
        <w:t>Risk of bias</w:t>
      </w:r>
      <w:r>
        <w:t xml:space="preserve"> subgroup analyses </w:t>
      </w:r>
      <w:r w:rsidRPr="00F31633">
        <w:t>for the effect of</w:t>
      </w:r>
      <w:r>
        <w:t xml:space="preserve"> soy </w:t>
      </w:r>
      <w:r w:rsidRPr="00F31633">
        <w:t xml:space="preserve">isoflavones on </w:t>
      </w:r>
      <w:r>
        <w:t>endometrial thickness</w:t>
      </w:r>
      <w:bookmarkEnd w:id="59"/>
      <w:bookmarkEnd w:id="60"/>
    </w:p>
    <w:p w14:paraId="7E3AF81F" w14:textId="77777777" w:rsidR="00F0156D" w:rsidRPr="00F0156D" w:rsidRDefault="00F0156D" w:rsidP="00F0156D"/>
    <w:p w14:paraId="51214619" w14:textId="77777777" w:rsidR="00F0156D" w:rsidRDefault="00F0156D" w:rsidP="00A758C5">
      <w:r>
        <w:rPr>
          <w:noProof/>
        </w:rPr>
        <w:drawing>
          <wp:inline distT="0" distB="0" distL="0" distR="0" wp14:anchorId="101D7E68" wp14:editId="3AAED7E9">
            <wp:extent cx="5943600" cy="5826125"/>
            <wp:effectExtent l="0" t="0" r="0"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5">
                      <a:extLst>
                        <a:ext uri="{28A0092B-C50C-407E-A947-70E740481C1C}">
                          <a14:useLocalDpi xmlns:a14="http://schemas.microsoft.com/office/drawing/2010/main" val="0"/>
                        </a:ext>
                      </a:extLst>
                    </a:blip>
                    <a:stretch>
                      <a:fillRect/>
                    </a:stretch>
                  </pic:blipFill>
                  <pic:spPr>
                    <a:xfrm>
                      <a:off x="0" y="0"/>
                      <a:ext cx="5943600" cy="5826125"/>
                    </a:xfrm>
                    <a:prstGeom prst="rect">
                      <a:avLst/>
                    </a:prstGeom>
                  </pic:spPr>
                </pic:pic>
              </a:graphicData>
            </a:graphic>
          </wp:inline>
        </w:drawing>
      </w:r>
    </w:p>
    <w:p w14:paraId="65BD7015" w14:textId="77777777" w:rsidR="00F0156D" w:rsidRDefault="00F0156D" w:rsidP="00CB4744">
      <w:pPr>
        <w:pStyle w:val="Heading1"/>
        <w:rPr>
          <w:color w:val="000000"/>
          <w:sz w:val="16"/>
          <w:szCs w:val="16"/>
        </w:rPr>
      </w:pPr>
    </w:p>
    <w:p w14:paraId="15C925D9" w14:textId="77777777" w:rsidR="00F0156D" w:rsidRDefault="00F0156D" w:rsidP="00CB4744">
      <w:pPr>
        <w:pStyle w:val="Heading1"/>
        <w:rPr>
          <w:sz w:val="16"/>
          <w:szCs w:val="16"/>
        </w:rPr>
      </w:pPr>
    </w:p>
    <w:p w14:paraId="648FB301" w14:textId="7724C049" w:rsidR="00F0156D" w:rsidRDefault="00F0156D" w:rsidP="00F0156D">
      <w:pPr>
        <w:rPr>
          <w:color w:val="000000"/>
          <w:sz w:val="16"/>
          <w:szCs w:val="16"/>
        </w:rPr>
      </w:pPr>
      <w:r w:rsidRPr="00023AEE">
        <w:rPr>
          <w:color w:val="000000"/>
          <w:sz w:val="16"/>
          <w:szCs w:val="16"/>
        </w:rPr>
        <w:t>Pooled effect estimates for each subgroup and overall effect are represented by the diamonds. Data are expressed as weighted mean differences with 95% confidence intervals using the generic inverse-variance method and random effects DerSimonian-Laird model. Paired analyses were applied to all crossover trials. Inter‐study heterogeneity was assessed using the Cochrane Q statistic and quantified using the I</w:t>
      </w:r>
      <w:r w:rsidRPr="00446178">
        <w:rPr>
          <w:color w:val="000000"/>
          <w:sz w:val="16"/>
          <w:szCs w:val="16"/>
          <w:vertAlign w:val="superscript"/>
        </w:rPr>
        <w:t>2</w:t>
      </w:r>
      <w:r w:rsidRPr="00023AEE">
        <w:rPr>
          <w:color w:val="000000"/>
          <w:sz w:val="16"/>
          <w:szCs w:val="16"/>
        </w:rPr>
        <w:t xml:space="preserve"> statistic, with significance set at p&lt;0.100 and I</w:t>
      </w:r>
      <w:r w:rsidRPr="00446178">
        <w:rPr>
          <w:color w:val="000000"/>
          <w:sz w:val="16"/>
          <w:szCs w:val="16"/>
          <w:vertAlign w:val="superscript"/>
        </w:rPr>
        <w:t>2</w:t>
      </w:r>
      <w:r w:rsidRPr="00023AEE">
        <w:rPr>
          <w:color w:val="000000"/>
          <w:sz w:val="16"/>
          <w:szCs w:val="16"/>
        </w:rPr>
        <w:t>≥50% considered to be evidence of substantial heterogeneity.</w:t>
      </w:r>
      <w:r>
        <w:rPr>
          <w:color w:val="000000"/>
          <w:sz w:val="16"/>
          <w:szCs w:val="16"/>
        </w:rPr>
        <w:t xml:space="preserve"> </w:t>
      </w:r>
    </w:p>
    <w:p w14:paraId="57F19D8A" w14:textId="6B359C0F" w:rsidR="00A758C5" w:rsidRDefault="00A758C5" w:rsidP="00F0156D">
      <w:pPr>
        <w:rPr>
          <w:color w:val="000000"/>
          <w:sz w:val="16"/>
          <w:szCs w:val="16"/>
        </w:rPr>
      </w:pPr>
    </w:p>
    <w:p w14:paraId="02B0DEFE" w14:textId="118FA52C" w:rsidR="00A758C5" w:rsidRDefault="00A758C5" w:rsidP="00F0156D">
      <w:pPr>
        <w:rPr>
          <w:color w:val="000000"/>
          <w:sz w:val="16"/>
          <w:szCs w:val="16"/>
        </w:rPr>
      </w:pPr>
      <w:r>
        <w:rPr>
          <w:color w:val="000000"/>
          <w:sz w:val="16"/>
          <w:szCs w:val="16"/>
        </w:rPr>
        <w:t>MD, mean difference</w:t>
      </w:r>
    </w:p>
    <w:p w14:paraId="4EC038CA" w14:textId="77777777" w:rsidR="00A758C5" w:rsidRDefault="00A758C5" w:rsidP="00F0156D">
      <w:pPr>
        <w:rPr>
          <w:sz w:val="16"/>
          <w:szCs w:val="16"/>
        </w:rPr>
      </w:pPr>
    </w:p>
    <w:p w14:paraId="75C8278F" w14:textId="77777777" w:rsidR="00F0156D" w:rsidRDefault="00F0156D">
      <w:pPr>
        <w:rPr>
          <w:sz w:val="16"/>
          <w:szCs w:val="16"/>
        </w:rPr>
      </w:pPr>
      <w:r>
        <w:rPr>
          <w:sz w:val="16"/>
          <w:szCs w:val="16"/>
        </w:rPr>
        <w:br w:type="page"/>
      </w:r>
    </w:p>
    <w:p w14:paraId="5A7678EC" w14:textId="09D19C19" w:rsidR="00F0156D" w:rsidRDefault="00F0156D" w:rsidP="00F0156D">
      <w:pPr>
        <w:pStyle w:val="Heading1"/>
      </w:pPr>
      <w:bookmarkStart w:id="61" w:name="_Toc152764315"/>
      <w:bookmarkStart w:id="62" w:name="_Toc153356572"/>
      <w:r w:rsidRPr="004471F3">
        <w:rPr>
          <w:b/>
          <w:bCs/>
        </w:rPr>
        <w:lastRenderedPageBreak/>
        <w:t>Supplementa</w:t>
      </w:r>
      <w:r w:rsidR="005C5F52">
        <w:rPr>
          <w:b/>
          <w:bCs/>
        </w:rPr>
        <w:t>l</w:t>
      </w:r>
      <w:r w:rsidRPr="004471F3">
        <w:rPr>
          <w:b/>
          <w:bCs/>
        </w:rPr>
        <w:t xml:space="preserve"> Figure </w:t>
      </w:r>
      <w:r>
        <w:rPr>
          <w:b/>
          <w:bCs/>
        </w:rPr>
        <w:t xml:space="preserve">19. </w:t>
      </w:r>
      <w:r w:rsidRPr="00F0156D">
        <w:t>Risk of bias</w:t>
      </w:r>
      <w:r>
        <w:t xml:space="preserve"> subgroup analyses </w:t>
      </w:r>
      <w:r w:rsidRPr="00F31633">
        <w:t>for the effect of</w:t>
      </w:r>
      <w:r>
        <w:t xml:space="preserve"> soy </w:t>
      </w:r>
      <w:r w:rsidRPr="00F31633">
        <w:t>isoflavones on</w:t>
      </w:r>
      <w:r>
        <w:t xml:space="preserve"> follicle-stimulating hormone</w:t>
      </w:r>
      <w:bookmarkEnd w:id="61"/>
      <w:bookmarkEnd w:id="62"/>
    </w:p>
    <w:p w14:paraId="7FCA08DC" w14:textId="77777777" w:rsidR="00C05B26" w:rsidRPr="00C05B26" w:rsidRDefault="00C05B26" w:rsidP="00C05B26"/>
    <w:p w14:paraId="4AEA697A" w14:textId="723A456E" w:rsidR="00F0156D" w:rsidRPr="00F0156D" w:rsidRDefault="009A677B" w:rsidP="00F0156D">
      <w:r>
        <w:rPr>
          <w:noProof/>
        </w:rPr>
        <mc:AlternateContent>
          <mc:Choice Requires="wps">
            <w:drawing>
              <wp:anchor distT="0" distB="0" distL="114300" distR="114300" simplePos="0" relativeHeight="251686912" behindDoc="0" locked="0" layoutInCell="1" allowOverlap="1" wp14:anchorId="4C695E32" wp14:editId="08C02B74">
                <wp:simplePos x="0" y="0"/>
                <wp:positionH relativeFrom="column">
                  <wp:posOffset>42799</wp:posOffset>
                </wp:positionH>
                <wp:positionV relativeFrom="paragraph">
                  <wp:posOffset>1778635</wp:posOffset>
                </wp:positionV>
                <wp:extent cx="4170045" cy="141605"/>
                <wp:effectExtent l="0" t="0" r="8255" b="10795"/>
                <wp:wrapNone/>
                <wp:docPr id="160938255" name="Rectangle 4"/>
                <wp:cNvGraphicFramePr/>
                <a:graphic xmlns:a="http://schemas.openxmlformats.org/drawingml/2006/main">
                  <a:graphicData uri="http://schemas.microsoft.com/office/word/2010/wordprocessingShape">
                    <wps:wsp>
                      <wps:cNvSpPr/>
                      <wps:spPr>
                        <a:xfrm>
                          <a:off x="0" y="0"/>
                          <a:ext cx="4170045" cy="141605"/>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D68BC8B" id="Rectangle 4" o:spid="_x0000_s1026" style="position:absolute;margin-left:3.35pt;margin-top:140.05pt;width:328.35pt;height:11.15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" fillcolor="white [3212]" strokecolor="white [3212]" strokeweight="1pt"/>
            </w:pict>
          </mc:Fallback>
        </mc:AlternateContent>
      </w:r>
      <w:r w:rsidR="00735221">
        <w:rPr>
          <w:noProof/>
        </w:rPr>
        <mc:AlternateContent>
          <mc:Choice Requires="wps">
            <w:drawing>
              <wp:anchor distT="0" distB="0" distL="114300" distR="114300" simplePos="0" relativeHeight="251688960" behindDoc="0" locked="0" layoutInCell="1" allowOverlap="1" wp14:anchorId="6A178EF3" wp14:editId="40868F69">
                <wp:simplePos x="0" y="0"/>
                <wp:positionH relativeFrom="column">
                  <wp:posOffset>4242067</wp:posOffset>
                </wp:positionH>
                <wp:positionV relativeFrom="paragraph">
                  <wp:posOffset>1789430</wp:posOffset>
                </wp:positionV>
                <wp:extent cx="1654097" cy="142103"/>
                <wp:effectExtent l="0" t="0" r="10160" b="10795"/>
                <wp:wrapNone/>
                <wp:docPr id="1774734806" name="Rectangle 4"/>
                <wp:cNvGraphicFramePr/>
                <a:graphic xmlns:a="http://schemas.openxmlformats.org/drawingml/2006/main">
                  <a:graphicData uri="http://schemas.microsoft.com/office/word/2010/wordprocessingShape">
                    <wps:wsp>
                      <wps:cNvSpPr/>
                      <wps:spPr>
                        <a:xfrm>
                          <a:off x="0" y="0"/>
                          <a:ext cx="1654097" cy="142103"/>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28F57F93" id="Rectangle 4" o:spid="_x0000_s1026" style="position:absolute;margin-left:334pt;margin-top:140.9pt;width:130.25pt;height:11.2p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" fillcolor="white [3212]" strokecolor="white [3212]" strokeweight="1pt"/>
            </w:pict>
          </mc:Fallback>
        </mc:AlternateContent>
      </w:r>
      <w:r w:rsidR="00C05B26">
        <w:rPr>
          <w:noProof/>
        </w:rPr>
        <w:drawing>
          <wp:inline distT="0" distB="0" distL="0" distR="0" wp14:anchorId="2D145A55" wp14:editId="66332BE2">
            <wp:extent cx="5810003" cy="6636190"/>
            <wp:effectExtent l="0" t="0" r="0" b="0"/>
            <wp:docPr id="3916547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654711" name="Picture 391654711"/>
                    <pic:cNvPicPr/>
                  </pic:nvPicPr>
                  <pic:blipFill>
                    <a:blip r:embed="rId46">
                      <a:extLst>
                        <a:ext uri="{28A0092B-C50C-407E-A947-70E740481C1C}">
                          <a14:useLocalDpi xmlns:a14="http://schemas.microsoft.com/office/drawing/2010/main" val="0"/>
                        </a:ext>
                      </a:extLst>
                    </a:blip>
                    <a:stretch>
                      <a:fillRect/>
                    </a:stretch>
                  </pic:blipFill>
                  <pic:spPr>
                    <a:xfrm>
                      <a:off x="0" y="0"/>
                      <a:ext cx="5816042" cy="6643088"/>
                    </a:xfrm>
                    <a:prstGeom prst="rect">
                      <a:avLst/>
                    </a:prstGeom>
                  </pic:spPr>
                </pic:pic>
              </a:graphicData>
            </a:graphic>
          </wp:inline>
        </w:drawing>
      </w:r>
    </w:p>
    <w:p w14:paraId="404831BE" w14:textId="5DA04195" w:rsidR="00F0156D" w:rsidRDefault="00D201D3" w:rsidP="00F0156D">
      <w:pPr>
        <w:rPr>
          <w:color w:val="000000"/>
          <w:sz w:val="16"/>
          <w:szCs w:val="16"/>
        </w:rPr>
      </w:pPr>
      <w:r>
        <w:rPr>
          <w:noProof/>
          <w:color w:val="000000"/>
          <w:sz w:val="16"/>
          <w:szCs w:val="16"/>
        </w:rPr>
        <mc:AlternateContent>
          <mc:Choice Requires="wps">
            <w:drawing>
              <wp:anchor distT="0" distB="0" distL="114300" distR="114300" simplePos="0" relativeHeight="251682816" behindDoc="0" locked="0" layoutInCell="1" allowOverlap="1" wp14:anchorId="59785475" wp14:editId="6A49B04B">
                <wp:simplePos x="0" y="0"/>
                <wp:positionH relativeFrom="column">
                  <wp:posOffset>4300002</wp:posOffset>
                </wp:positionH>
                <wp:positionV relativeFrom="paragraph">
                  <wp:posOffset>1818847</wp:posOffset>
                </wp:positionV>
                <wp:extent cx="394051" cy="116195"/>
                <wp:effectExtent l="0" t="0" r="12700" b="11430"/>
                <wp:wrapNone/>
                <wp:docPr id="1393973820" name="Rectangle 4"/>
                <wp:cNvGraphicFramePr/>
                <a:graphic xmlns:a="http://schemas.openxmlformats.org/drawingml/2006/main">
                  <a:graphicData uri="http://schemas.microsoft.com/office/word/2010/wordprocessingShape">
                    <wps:wsp>
                      <wps:cNvSpPr/>
                      <wps:spPr>
                        <a:xfrm>
                          <a:off x="0" y="0"/>
                          <a:ext cx="394051" cy="116195"/>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9EED166" id="Rectangle 4" o:spid="_x0000_s1026" style="position:absolute;margin-left:338.6pt;margin-top:143.2pt;width:31.05pt;height:9.1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" fillcolor="white [3212]" strokecolor="white [3212]" strokeweight="1pt"/>
            </w:pict>
          </mc:Fallback>
        </mc:AlternateContent>
      </w:r>
      <w:r>
        <w:rPr>
          <w:noProof/>
          <w:color w:val="000000"/>
          <w:sz w:val="16"/>
          <w:szCs w:val="16"/>
        </w:rPr>
        <mc:AlternateContent>
          <mc:Choice Requires="wps">
            <w:drawing>
              <wp:anchor distT="0" distB="0" distL="114300" distR="114300" simplePos="0" relativeHeight="251680768" behindDoc="0" locked="0" layoutInCell="1" allowOverlap="1" wp14:anchorId="47476B03" wp14:editId="6B3230D6">
                <wp:simplePos x="0" y="0"/>
                <wp:positionH relativeFrom="column">
                  <wp:posOffset>3879243</wp:posOffset>
                </wp:positionH>
                <wp:positionV relativeFrom="paragraph">
                  <wp:posOffset>1818005</wp:posOffset>
                </wp:positionV>
                <wp:extent cx="394051" cy="116195"/>
                <wp:effectExtent l="0" t="0" r="12700" b="11430"/>
                <wp:wrapNone/>
                <wp:docPr id="1183739865" name="Rectangle 4"/>
                <wp:cNvGraphicFramePr/>
                <a:graphic xmlns:a="http://schemas.openxmlformats.org/drawingml/2006/main">
                  <a:graphicData uri="http://schemas.microsoft.com/office/word/2010/wordprocessingShape">
                    <wps:wsp>
                      <wps:cNvSpPr/>
                      <wps:spPr>
                        <a:xfrm>
                          <a:off x="0" y="0"/>
                          <a:ext cx="394051" cy="116195"/>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A482758" id="Rectangle 4" o:spid="_x0000_s1026" style="position:absolute;margin-left:305.45pt;margin-top:143.15pt;width:31.05pt;height:9.15pt;z-index:25168076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" fillcolor="white [3212]" strokecolor="white [3212]" strokeweight="1pt"/>
            </w:pict>
          </mc:Fallback>
        </mc:AlternateContent>
      </w:r>
    </w:p>
    <w:p w14:paraId="70DBE013" w14:textId="77777777" w:rsidR="00F0156D" w:rsidRDefault="00F0156D" w:rsidP="00F0156D">
      <w:pPr>
        <w:rPr>
          <w:color w:val="000000"/>
          <w:sz w:val="16"/>
          <w:szCs w:val="16"/>
        </w:rPr>
      </w:pPr>
    </w:p>
    <w:p w14:paraId="32892E7E" w14:textId="45C0C782" w:rsidR="00F0156D" w:rsidRDefault="00F0156D" w:rsidP="00F0156D">
      <w:pPr>
        <w:rPr>
          <w:color w:val="000000"/>
          <w:sz w:val="16"/>
          <w:szCs w:val="16"/>
        </w:rPr>
      </w:pPr>
      <w:r w:rsidRPr="00023AEE">
        <w:rPr>
          <w:color w:val="000000"/>
          <w:sz w:val="16"/>
          <w:szCs w:val="16"/>
        </w:rPr>
        <w:t>Pooled effect estimates for each subgroup and overall effect are represented by the diamonds. Data are expressed as weighted mean differences with 95% confidence intervals using the generic inverse-variance method and random effects DerSimonian-Laird model. Paired analyses were applied to all crossover trials. Inter‐study heterogeneity was assessed using the Cochrane Q statistic and quantified using the I</w:t>
      </w:r>
      <w:r w:rsidRPr="00446178">
        <w:rPr>
          <w:color w:val="000000"/>
          <w:sz w:val="16"/>
          <w:szCs w:val="16"/>
          <w:vertAlign w:val="superscript"/>
        </w:rPr>
        <w:t>2</w:t>
      </w:r>
      <w:r w:rsidRPr="00023AEE">
        <w:rPr>
          <w:color w:val="000000"/>
          <w:sz w:val="16"/>
          <w:szCs w:val="16"/>
        </w:rPr>
        <w:t xml:space="preserve"> statistic, with significance set at p&lt;0.100 and I</w:t>
      </w:r>
      <w:r w:rsidRPr="00446178">
        <w:rPr>
          <w:color w:val="000000"/>
          <w:sz w:val="16"/>
          <w:szCs w:val="16"/>
          <w:vertAlign w:val="superscript"/>
        </w:rPr>
        <w:t>2</w:t>
      </w:r>
      <w:r w:rsidRPr="00023AEE">
        <w:rPr>
          <w:color w:val="000000"/>
          <w:sz w:val="16"/>
          <w:szCs w:val="16"/>
        </w:rPr>
        <w:t>≥50% considered to be evidence of substantial heterogeneity.</w:t>
      </w:r>
      <w:r>
        <w:rPr>
          <w:color w:val="000000"/>
          <w:sz w:val="16"/>
          <w:szCs w:val="16"/>
        </w:rPr>
        <w:t xml:space="preserve"> Note: Domain S refers to the r</w:t>
      </w:r>
      <w:r w:rsidRPr="00023AEE">
        <w:rPr>
          <w:color w:val="000000"/>
          <w:sz w:val="16"/>
          <w:szCs w:val="16"/>
        </w:rPr>
        <w:t xml:space="preserve">isk of bias arising from period and carryover effects </w:t>
      </w:r>
      <w:r>
        <w:rPr>
          <w:color w:val="000000"/>
          <w:sz w:val="16"/>
          <w:szCs w:val="16"/>
        </w:rPr>
        <w:t xml:space="preserve">and </w:t>
      </w:r>
      <w:r w:rsidRPr="00023AEE">
        <w:rPr>
          <w:color w:val="000000"/>
          <w:sz w:val="16"/>
          <w:szCs w:val="16"/>
        </w:rPr>
        <w:t>was only applicable to crossover trials.</w:t>
      </w:r>
    </w:p>
    <w:p w14:paraId="0FB2B25A" w14:textId="5570DE4B" w:rsidR="00A758C5" w:rsidRDefault="00A758C5" w:rsidP="00F0156D">
      <w:pPr>
        <w:rPr>
          <w:color w:val="000000"/>
          <w:sz w:val="16"/>
          <w:szCs w:val="16"/>
        </w:rPr>
      </w:pPr>
    </w:p>
    <w:p w14:paraId="0BB34D8C" w14:textId="77777777" w:rsidR="00A758C5" w:rsidRDefault="00A758C5" w:rsidP="00A758C5">
      <w:pPr>
        <w:rPr>
          <w:color w:val="000000"/>
          <w:sz w:val="16"/>
          <w:szCs w:val="16"/>
        </w:rPr>
      </w:pPr>
      <w:r>
        <w:rPr>
          <w:color w:val="000000"/>
          <w:sz w:val="16"/>
          <w:szCs w:val="16"/>
        </w:rPr>
        <w:t>MD, mean difference</w:t>
      </w:r>
    </w:p>
    <w:p w14:paraId="672352D5" w14:textId="5507FE9F" w:rsidR="00F0156D" w:rsidRDefault="00F0156D" w:rsidP="00A758C5">
      <w:pPr>
        <w:pStyle w:val="Heading1"/>
      </w:pPr>
      <w:bookmarkStart w:id="63" w:name="_Toc152764316"/>
      <w:bookmarkStart w:id="64" w:name="_Toc153356573"/>
      <w:r w:rsidRPr="004471F3">
        <w:rPr>
          <w:b/>
          <w:bCs/>
        </w:rPr>
        <w:lastRenderedPageBreak/>
        <w:t>Supplementa</w:t>
      </w:r>
      <w:r w:rsidR="005C5F52">
        <w:rPr>
          <w:b/>
          <w:bCs/>
        </w:rPr>
        <w:t>l</w:t>
      </w:r>
      <w:r w:rsidRPr="004471F3">
        <w:rPr>
          <w:b/>
          <w:bCs/>
        </w:rPr>
        <w:t xml:space="preserve"> Figure </w:t>
      </w:r>
      <w:r>
        <w:rPr>
          <w:b/>
          <w:bCs/>
        </w:rPr>
        <w:t xml:space="preserve">20. </w:t>
      </w:r>
      <w:r w:rsidRPr="00F0156D">
        <w:t>Risk of bias</w:t>
      </w:r>
      <w:r>
        <w:t xml:space="preserve"> subgroup analyses </w:t>
      </w:r>
      <w:r w:rsidRPr="00F31633">
        <w:t>for the effect of</w:t>
      </w:r>
      <w:r>
        <w:t xml:space="preserve"> soy </w:t>
      </w:r>
      <w:r w:rsidRPr="00F31633">
        <w:t>isoflavones on</w:t>
      </w:r>
      <w:r>
        <w:t xml:space="preserve"> estradiol</w:t>
      </w:r>
      <w:bookmarkEnd w:id="63"/>
      <w:bookmarkEnd w:id="64"/>
    </w:p>
    <w:p w14:paraId="2A4E7E09" w14:textId="77777777" w:rsidR="009038D1" w:rsidRPr="009038D1" w:rsidRDefault="009038D1" w:rsidP="009038D1"/>
    <w:p w14:paraId="5DB673AD" w14:textId="6FDA2C63" w:rsidR="00F0156D" w:rsidRDefault="00735221" w:rsidP="00F0156D">
      <w:pPr>
        <w:rPr>
          <w:sz w:val="16"/>
          <w:szCs w:val="16"/>
        </w:rPr>
      </w:pPr>
      <w:r>
        <w:rPr>
          <w:noProof/>
          <w:sz w:val="16"/>
          <w:szCs w:val="16"/>
        </w:rPr>
        <mc:AlternateContent>
          <mc:Choice Requires="wps">
            <w:drawing>
              <wp:anchor distT="0" distB="0" distL="114300" distR="114300" simplePos="0" relativeHeight="251692032" behindDoc="0" locked="0" layoutInCell="1" allowOverlap="1" wp14:anchorId="1FE5B4B9" wp14:editId="1C112630">
                <wp:simplePos x="0" y="0"/>
                <wp:positionH relativeFrom="column">
                  <wp:posOffset>4073457</wp:posOffset>
                </wp:positionH>
                <wp:positionV relativeFrom="paragraph">
                  <wp:posOffset>1766570</wp:posOffset>
                </wp:positionV>
                <wp:extent cx="632298" cy="126460"/>
                <wp:effectExtent l="0" t="0" r="15875" b="13335"/>
                <wp:wrapNone/>
                <wp:docPr id="543708960" name="Rectangle 5"/>
                <wp:cNvGraphicFramePr/>
                <a:graphic xmlns:a="http://schemas.openxmlformats.org/drawingml/2006/main">
                  <a:graphicData uri="http://schemas.microsoft.com/office/word/2010/wordprocessingShape">
                    <wps:wsp>
                      <wps:cNvSpPr/>
                      <wps:spPr>
                        <a:xfrm>
                          <a:off x="0" y="0"/>
                          <a:ext cx="632298" cy="12646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00F97D2" id="Rectangle 5" o:spid="_x0000_s1026" style="position:absolute;margin-left:320.75pt;margin-top:139.1pt;width:49.8pt;height:9.95pt;z-index:2516920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" fillcolor="white [3212]" strokecolor="white [3212]" strokeweight="1pt"/>
            </w:pict>
          </mc:Fallback>
        </mc:AlternateContent>
      </w:r>
      <w:r>
        <w:rPr>
          <w:noProof/>
          <w:sz w:val="16"/>
          <w:szCs w:val="16"/>
        </w:rPr>
        <mc:AlternateContent>
          <mc:Choice Requires="wps">
            <w:drawing>
              <wp:anchor distT="0" distB="0" distL="114300" distR="114300" simplePos="0" relativeHeight="251689984" behindDoc="0" locked="0" layoutInCell="1" allowOverlap="1" wp14:anchorId="011F571D" wp14:editId="0F3C2D2F">
                <wp:simplePos x="0" y="0"/>
                <wp:positionH relativeFrom="column">
                  <wp:posOffset>3418908</wp:posOffset>
                </wp:positionH>
                <wp:positionV relativeFrom="paragraph">
                  <wp:posOffset>1765935</wp:posOffset>
                </wp:positionV>
                <wp:extent cx="632298" cy="126460"/>
                <wp:effectExtent l="0" t="0" r="15875" b="13335"/>
                <wp:wrapNone/>
                <wp:docPr id="2043194991" name="Rectangle 5"/>
                <wp:cNvGraphicFramePr/>
                <a:graphic xmlns:a="http://schemas.openxmlformats.org/drawingml/2006/main">
                  <a:graphicData uri="http://schemas.microsoft.com/office/word/2010/wordprocessingShape">
                    <wps:wsp>
                      <wps:cNvSpPr/>
                      <wps:spPr>
                        <a:xfrm>
                          <a:off x="0" y="0"/>
                          <a:ext cx="632298" cy="126460"/>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773DCF6" id="Rectangle 5" o:spid="_x0000_s1026" style="position:absolute;margin-left:269.2pt;margin-top:139.05pt;width:49.8pt;height:9.95pt;z-index:251689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" fillcolor="white [3212]" strokecolor="white [3212]" strokeweight="1pt"/>
            </w:pict>
          </mc:Fallback>
        </mc:AlternateContent>
      </w:r>
      <w:r w:rsidR="007B2DBE">
        <w:rPr>
          <w:noProof/>
          <w:sz w:val="16"/>
          <w:szCs w:val="16"/>
        </w:rPr>
        <w:drawing>
          <wp:inline distT="0" distB="0" distL="0" distR="0" wp14:anchorId="226CD36B" wp14:editId="47C9DD00">
            <wp:extent cx="5630234" cy="6509657"/>
            <wp:effectExtent l="0" t="0" r="0" b="5715"/>
            <wp:docPr id="23234664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2346646" name="Picture 232346646"/>
                    <pic:cNvPicPr/>
                  </pic:nvPicPr>
                  <pic:blipFill>
                    <a:blip r:embed="rId47">
                      <a:extLst>
                        <a:ext uri="{28A0092B-C50C-407E-A947-70E740481C1C}">
                          <a14:useLocalDpi xmlns:a14="http://schemas.microsoft.com/office/drawing/2010/main" val="0"/>
                        </a:ext>
                      </a:extLst>
                    </a:blip>
                    <a:stretch>
                      <a:fillRect/>
                    </a:stretch>
                  </pic:blipFill>
                  <pic:spPr>
                    <a:xfrm>
                      <a:off x="0" y="0"/>
                      <a:ext cx="5645363" cy="6527149"/>
                    </a:xfrm>
                    <a:prstGeom prst="rect">
                      <a:avLst/>
                    </a:prstGeom>
                  </pic:spPr>
                </pic:pic>
              </a:graphicData>
            </a:graphic>
          </wp:inline>
        </w:drawing>
      </w:r>
    </w:p>
    <w:p w14:paraId="0130A6B9" w14:textId="5C3F9C42" w:rsidR="00F0156D" w:rsidRDefault="00D201D3" w:rsidP="00A758C5">
      <w:r>
        <w:rPr>
          <w:noProof/>
        </w:rPr>
        <mc:AlternateContent>
          <mc:Choice Requires="wps">
            <w:drawing>
              <wp:anchor distT="0" distB="0" distL="114300" distR="114300" simplePos="0" relativeHeight="251685888" behindDoc="0" locked="0" layoutInCell="1" allowOverlap="1" wp14:anchorId="7FBC7AF0" wp14:editId="3AC08E9D">
                <wp:simplePos x="0" y="0"/>
                <wp:positionH relativeFrom="column">
                  <wp:posOffset>4263418</wp:posOffset>
                </wp:positionH>
                <wp:positionV relativeFrom="paragraph">
                  <wp:posOffset>1851660</wp:posOffset>
                </wp:positionV>
                <wp:extent cx="646647" cy="166714"/>
                <wp:effectExtent l="0" t="0" r="13970" b="11430"/>
                <wp:wrapNone/>
                <wp:docPr id="1287934353" name="Rectangle 5"/>
                <wp:cNvGraphicFramePr/>
                <a:graphic xmlns:a="http://schemas.openxmlformats.org/drawingml/2006/main">
                  <a:graphicData uri="http://schemas.microsoft.com/office/word/2010/wordprocessingShape">
                    <wps:wsp>
                      <wps:cNvSpPr/>
                      <wps:spPr>
                        <a:xfrm>
                          <a:off x="0" y="0"/>
                          <a:ext cx="646647" cy="166714"/>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CD53D0" id="Rectangle 5" o:spid="_x0000_s1026" style="position:absolute;margin-left:335.7pt;margin-top:145.8pt;width:50.9pt;height:13.1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" fillcolor="white [3212]" strokecolor="white [3212]" strokeweight="1pt"/>
            </w:pict>
          </mc:Fallback>
        </mc:AlternateContent>
      </w:r>
      <w:r>
        <w:rPr>
          <w:noProof/>
        </w:rPr>
        <mc:AlternateContent>
          <mc:Choice Requires="wps">
            <w:drawing>
              <wp:anchor distT="0" distB="0" distL="114300" distR="114300" simplePos="0" relativeHeight="251683840" behindDoc="0" locked="0" layoutInCell="1" allowOverlap="1" wp14:anchorId="7F763A78" wp14:editId="5C7A05B5">
                <wp:simplePos x="0" y="0"/>
                <wp:positionH relativeFrom="column">
                  <wp:posOffset>4076728</wp:posOffset>
                </wp:positionH>
                <wp:positionV relativeFrom="paragraph">
                  <wp:posOffset>1866265</wp:posOffset>
                </wp:positionV>
                <wp:extent cx="161662" cy="106091"/>
                <wp:effectExtent l="0" t="0" r="16510" b="8255"/>
                <wp:wrapNone/>
                <wp:docPr id="723228560" name="Rectangle 5"/>
                <wp:cNvGraphicFramePr/>
                <a:graphic xmlns:a="http://schemas.openxmlformats.org/drawingml/2006/main">
                  <a:graphicData uri="http://schemas.microsoft.com/office/word/2010/wordprocessingShape">
                    <wps:wsp>
                      <wps:cNvSpPr/>
                      <wps:spPr>
                        <a:xfrm>
                          <a:off x="0" y="0"/>
                          <a:ext cx="161662" cy="106091"/>
                        </a:xfrm>
                        <a:prstGeom prst="rect">
                          <a:avLst/>
                        </a:prstGeom>
                        <a:solidFill>
                          <a:schemeClr val="bg1"/>
                        </a:solidFill>
                        <a:ln>
                          <a:solidFill>
                            <a:schemeClr val="bg1"/>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2BB8023" id="Rectangle 5" o:spid="_x0000_s1026" style="position:absolute;margin-left:321pt;margin-top:146.95pt;width:12.75pt;height:8.35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" fillcolor="white [3212]" strokecolor="white [3212]" strokeweight="1pt"/>
            </w:pict>
          </mc:Fallback>
        </mc:AlternateContent>
      </w:r>
    </w:p>
    <w:p w14:paraId="2C7C1ECD" w14:textId="77777777" w:rsidR="00F0156D" w:rsidRDefault="00F0156D" w:rsidP="00F0156D">
      <w:pPr>
        <w:rPr>
          <w:color w:val="000000"/>
          <w:sz w:val="16"/>
          <w:szCs w:val="16"/>
        </w:rPr>
      </w:pPr>
    </w:p>
    <w:p w14:paraId="30B6680E" w14:textId="4F0450A5" w:rsidR="00F0156D" w:rsidRDefault="00F0156D" w:rsidP="00F0156D">
      <w:pPr>
        <w:rPr>
          <w:color w:val="000000"/>
          <w:sz w:val="16"/>
          <w:szCs w:val="16"/>
        </w:rPr>
      </w:pPr>
      <w:r w:rsidRPr="00023AEE">
        <w:rPr>
          <w:color w:val="000000"/>
          <w:sz w:val="16"/>
          <w:szCs w:val="16"/>
        </w:rPr>
        <w:t>Pooled effect estimates for each subgroup and overall effect are represented by the diamonds. Data are expressed as weighted mean differences with 95% confidence intervals using the generic inverse-variance method and random effects DerSimonian-Laird model. Paired analyses were applied to all crossover trials. Inter‐study heterogeneity was assessed using the Cochrane Q statistic and quantified using the I</w:t>
      </w:r>
      <w:r w:rsidRPr="00446178">
        <w:rPr>
          <w:color w:val="000000"/>
          <w:sz w:val="16"/>
          <w:szCs w:val="16"/>
          <w:vertAlign w:val="superscript"/>
        </w:rPr>
        <w:t>2</w:t>
      </w:r>
      <w:r w:rsidRPr="00023AEE">
        <w:rPr>
          <w:color w:val="000000"/>
          <w:sz w:val="16"/>
          <w:szCs w:val="16"/>
        </w:rPr>
        <w:t xml:space="preserve"> statistic, with significance set at p&lt;0.100 and I</w:t>
      </w:r>
      <w:r w:rsidRPr="00446178">
        <w:rPr>
          <w:color w:val="000000"/>
          <w:sz w:val="16"/>
          <w:szCs w:val="16"/>
          <w:vertAlign w:val="superscript"/>
        </w:rPr>
        <w:t>2</w:t>
      </w:r>
      <w:r w:rsidRPr="00023AEE">
        <w:rPr>
          <w:color w:val="000000"/>
          <w:sz w:val="16"/>
          <w:szCs w:val="16"/>
        </w:rPr>
        <w:t>≥50% considered to be evidence of substantial heterogeneity.</w:t>
      </w:r>
      <w:r>
        <w:rPr>
          <w:color w:val="000000"/>
          <w:sz w:val="16"/>
          <w:szCs w:val="16"/>
        </w:rPr>
        <w:t xml:space="preserve"> Note: Domain S refers to the r</w:t>
      </w:r>
      <w:r w:rsidRPr="00023AEE">
        <w:rPr>
          <w:color w:val="000000"/>
          <w:sz w:val="16"/>
          <w:szCs w:val="16"/>
        </w:rPr>
        <w:t xml:space="preserve">isk of bias arising from period and carryover effects </w:t>
      </w:r>
      <w:r>
        <w:rPr>
          <w:color w:val="000000"/>
          <w:sz w:val="16"/>
          <w:szCs w:val="16"/>
        </w:rPr>
        <w:t xml:space="preserve">and </w:t>
      </w:r>
      <w:r w:rsidRPr="00023AEE">
        <w:rPr>
          <w:color w:val="000000"/>
          <w:sz w:val="16"/>
          <w:szCs w:val="16"/>
        </w:rPr>
        <w:t>was only applicable to crossover trials.</w:t>
      </w:r>
    </w:p>
    <w:p w14:paraId="73969BC3" w14:textId="73E26F2A" w:rsidR="00A758C5" w:rsidRDefault="00A758C5" w:rsidP="00F0156D">
      <w:pPr>
        <w:rPr>
          <w:color w:val="000000"/>
          <w:sz w:val="16"/>
          <w:szCs w:val="16"/>
        </w:rPr>
      </w:pPr>
    </w:p>
    <w:p w14:paraId="50CF8AAE" w14:textId="59CEEBD0" w:rsidR="00A758C5" w:rsidRDefault="00A758C5" w:rsidP="00F0156D">
      <w:pPr>
        <w:rPr>
          <w:color w:val="000000"/>
          <w:sz w:val="16"/>
          <w:szCs w:val="16"/>
        </w:rPr>
      </w:pPr>
      <w:r>
        <w:rPr>
          <w:color w:val="000000"/>
          <w:sz w:val="16"/>
          <w:szCs w:val="16"/>
        </w:rPr>
        <w:t>MD, mean difference</w:t>
      </w:r>
    </w:p>
    <w:p w14:paraId="205503A0" w14:textId="52433E4A" w:rsidR="00FF0F2F" w:rsidRPr="00F0156D" w:rsidRDefault="00FF0F2F" w:rsidP="00F0156D">
      <w:pPr>
        <w:pStyle w:val="Heading1"/>
        <w:rPr>
          <w:sz w:val="16"/>
          <w:szCs w:val="16"/>
        </w:rPr>
      </w:pPr>
      <w:r>
        <w:rPr>
          <w:color w:val="000000"/>
          <w:sz w:val="16"/>
          <w:szCs w:val="16"/>
        </w:rPr>
        <w:br w:type="page"/>
      </w:r>
      <w:bookmarkStart w:id="65" w:name="_Toc152764317"/>
      <w:bookmarkStart w:id="66" w:name="_Toc153356574"/>
      <w:r w:rsidRPr="00FF0F2F">
        <w:rPr>
          <w:b/>
          <w:bCs/>
        </w:rPr>
        <w:lastRenderedPageBreak/>
        <w:t>Supplementa</w:t>
      </w:r>
      <w:r w:rsidR="005C5F52">
        <w:rPr>
          <w:b/>
          <w:bCs/>
        </w:rPr>
        <w:t>l</w:t>
      </w:r>
      <w:r w:rsidRPr="00FF0F2F">
        <w:rPr>
          <w:b/>
          <w:bCs/>
        </w:rPr>
        <w:t xml:space="preserve"> Figure </w:t>
      </w:r>
      <w:r w:rsidR="00F0156D">
        <w:rPr>
          <w:b/>
          <w:bCs/>
        </w:rPr>
        <w:t>21</w:t>
      </w:r>
      <w:r w:rsidRPr="00FF0F2F">
        <w:rPr>
          <w:b/>
          <w:bCs/>
        </w:rPr>
        <w:t>.</w:t>
      </w:r>
      <w:r w:rsidRPr="00FF0F2F">
        <w:t xml:space="preserve"> </w:t>
      </w:r>
      <w:r>
        <w:t>Continuous meta-regression analysis for</w:t>
      </w:r>
      <w:r w:rsidRPr="00F31633">
        <w:t xml:space="preserve"> the effect of</w:t>
      </w:r>
      <w:r>
        <w:t xml:space="preserve"> soy </w:t>
      </w:r>
      <w:r w:rsidRPr="00F31633">
        <w:t xml:space="preserve">isoflavones on </w:t>
      </w:r>
      <w:r>
        <w:t>endometrial thickness</w:t>
      </w:r>
      <w:r w:rsidR="001F1A0F" w:rsidRPr="00F0156D">
        <w:t>*</w:t>
      </w:r>
      <w:bookmarkEnd w:id="65"/>
      <w:bookmarkEnd w:id="66"/>
    </w:p>
    <w:p w14:paraId="41DDA745" w14:textId="6F66CC05" w:rsidR="00FF0F2F" w:rsidRDefault="00FF0F2F" w:rsidP="00FF0F2F"/>
    <w:p w14:paraId="00A6CC7F" w14:textId="3AF8652B" w:rsidR="002D504C" w:rsidRDefault="00FF0F2F">
      <w:pPr>
        <w:rPr>
          <w:color w:val="000000"/>
          <w:sz w:val="16"/>
          <w:szCs w:val="16"/>
        </w:rPr>
      </w:pPr>
      <w:r>
        <w:rPr>
          <w:noProof/>
          <w:color w:val="000000"/>
          <w:sz w:val="16"/>
          <w:szCs w:val="16"/>
        </w:rPr>
        <w:drawing>
          <wp:inline distT="0" distB="0" distL="0" distR="0" wp14:anchorId="22B79659" wp14:editId="50902010">
            <wp:extent cx="5943600" cy="1965325"/>
            <wp:effectExtent l="0" t="0" r="0" b="317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pic:nvPicPr>
                  <pic:blipFill>
                    <a:blip r:embed="rId48">
                      <a:extLst>
                        <a:ext uri="{28A0092B-C50C-407E-A947-70E740481C1C}">
                          <a14:useLocalDpi xmlns:a14="http://schemas.microsoft.com/office/drawing/2010/main" val="0"/>
                        </a:ext>
                      </a:extLst>
                    </a:blip>
                    <a:stretch>
                      <a:fillRect/>
                    </a:stretch>
                  </pic:blipFill>
                  <pic:spPr>
                    <a:xfrm>
                      <a:off x="0" y="0"/>
                      <a:ext cx="5943600" cy="1965325"/>
                    </a:xfrm>
                    <a:prstGeom prst="rect">
                      <a:avLst/>
                    </a:prstGeom>
                  </pic:spPr>
                </pic:pic>
              </a:graphicData>
            </a:graphic>
          </wp:inline>
        </w:drawing>
      </w:r>
    </w:p>
    <w:p w14:paraId="664E024D" w14:textId="59BB4273" w:rsidR="00FF0F2F" w:rsidRDefault="00FF0F2F">
      <w:pPr>
        <w:rPr>
          <w:color w:val="000000"/>
          <w:sz w:val="16"/>
          <w:szCs w:val="16"/>
        </w:rPr>
      </w:pPr>
    </w:p>
    <w:p w14:paraId="655483F7" w14:textId="3A97D842" w:rsidR="00FF0F2F" w:rsidRPr="001F1A0F" w:rsidRDefault="00FF0F2F" w:rsidP="001F1A0F">
      <w:pPr>
        <w:rPr>
          <w:sz w:val="16"/>
          <w:szCs w:val="16"/>
        </w:rPr>
      </w:pPr>
      <w:r w:rsidRPr="001F1A0F">
        <w:rPr>
          <w:sz w:val="16"/>
          <w:szCs w:val="16"/>
        </w:rPr>
        <w:t xml:space="preserve">Data is presented as between group mean difference (95% CI) for a 1-unit change in the predictor variable. β –coefficients were estimated using continuous meta-regression analysis. A positive β -coefficient implies an increase in outcome </w:t>
      </w:r>
      <w:r w:rsidR="001F1A0F" w:rsidRPr="001F1A0F">
        <w:rPr>
          <w:sz w:val="16"/>
          <w:szCs w:val="16"/>
        </w:rPr>
        <w:t>in</w:t>
      </w:r>
      <w:r w:rsidRPr="001F1A0F">
        <w:rPr>
          <w:sz w:val="16"/>
          <w:szCs w:val="16"/>
        </w:rPr>
        <w:t xml:space="preserve"> the isoflavone intervention as the subgroup variable increases, and a negative β -coefficient implies a decrease in outcome. Residual I</w:t>
      </w:r>
      <w:r w:rsidRPr="00446178">
        <w:rPr>
          <w:sz w:val="16"/>
          <w:szCs w:val="16"/>
          <w:vertAlign w:val="superscript"/>
        </w:rPr>
        <w:t>2</w:t>
      </w:r>
      <w:r w:rsidRPr="001F1A0F">
        <w:rPr>
          <w:sz w:val="16"/>
          <w:szCs w:val="16"/>
        </w:rPr>
        <w:t xml:space="preserve"> reports inter-study heterogeneity not explained by the subgroup and was estimated using the Cochran Q statistic. </w:t>
      </w:r>
    </w:p>
    <w:p w14:paraId="3E6FBCF2" w14:textId="77777777" w:rsidR="001F1A0F" w:rsidRPr="001F1A0F" w:rsidRDefault="001F1A0F" w:rsidP="001F1A0F">
      <w:pPr>
        <w:rPr>
          <w:sz w:val="16"/>
          <w:szCs w:val="16"/>
        </w:rPr>
      </w:pPr>
    </w:p>
    <w:p w14:paraId="05449774" w14:textId="4ACC8AD2" w:rsidR="001F1A0F" w:rsidRDefault="001F1A0F" w:rsidP="001F1A0F">
      <w:pPr>
        <w:rPr>
          <w:sz w:val="16"/>
          <w:szCs w:val="16"/>
        </w:rPr>
      </w:pPr>
      <w:r w:rsidRPr="001F1A0F">
        <w:rPr>
          <w:sz w:val="16"/>
          <w:szCs w:val="16"/>
        </w:rPr>
        <w:t>*</w:t>
      </w:r>
      <w:r w:rsidR="00FF0F2F" w:rsidRPr="001F1A0F">
        <w:rPr>
          <w:sz w:val="16"/>
          <w:szCs w:val="16"/>
        </w:rPr>
        <w:t xml:space="preserve">N=2 trial comparisons </w:t>
      </w:r>
      <w:r w:rsidRPr="001F1A0F">
        <w:rPr>
          <w:sz w:val="16"/>
          <w:szCs w:val="16"/>
        </w:rPr>
        <w:t>did not report age, N=3 did not report years since menopause and baseline BMI</w:t>
      </w:r>
    </w:p>
    <w:p w14:paraId="23F66F7C" w14:textId="77777777" w:rsidR="001F1A0F" w:rsidRDefault="001F1A0F">
      <w:pPr>
        <w:rPr>
          <w:sz w:val="16"/>
          <w:szCs w:val="16"/>
        </w:rPr>
      </w:pPr>
      <w:r>
        <w:rPr>
          <w:sz w:val="16"/>
          <w:szCs w:val="16"/>
        </w:rPr>
        <w:br w:type="page"/>
      </w:r>
    </w:p>
    <w:p w14:paraId="6D615A27" w14:textId="6EB63974" w:rsidR="002D504C" w:rsidRDefault="001F1A0F" w:rsidP="00CB4744">
      <w:pPr>
        <w:pStyle w:val="Heading1"/>
      </w:pPr>
      <w:bookmarkStart w:id="67" w:name="_Toc152764318"/>
      <w:bookmarkStart w:id="68" w:name="_Toc153356575"/>
      <w:r w:rsidRPr="00FF0F2F">
        <w:rPr>
          <w:b/>
          <w:bCs/>
        </w:rPr>
        <w:lastRenderedPageBreak/>
        <w:t>Supplementa</w:t>
      </w:r>
      <w:r w:rsidR="005C5F52">
        <w:rPr>
          <w:b/>
          <w:bCs/>
        </w:rPr>
        <w:t>l</w:t>
      </w:r>
      <w:r w:rsidRPr="00FF0F2F">
        <w:rPr>
          <w:b/>
          <w:bCs/>
        </w:rPr>
        <w:t xml:space="preserve"> Figure </w:t>
      </w:r>
      <w:r w:rsidR="00F0156D">
        <w:rPr>
          <w:b/>
          <w:bCs/>
        </w:rPr>
        <w:t>22</w:t>
      </w:r>
      <w:r w:rsidRPr="00FF0F2F">
        <w:rPr>
          <w:b/>
          <w:bCs/>
        </w:rPr>
        <w:t>.</w:t>
      </w:r>
      <w:r w:rsidRPr="00FF0F2F">
        <w:t xml:space="preserve"> </w:t>
      </w:r>
      <w:r>
        <w:t>Continuous meta-regression analysis for</w:t>
      </w:r>
      <w:r w:rsidRPr="00F31633">
        <w:t xml:space="preserve"> the effect of</w:t>
      </w:r>
      <w:r>
        <w:t xml:space="preserve"> soy </w:t>
      </w:r>
      <w:r w:rsidRPr="00F31633">
        <w:t xml:space="preserve">isoflavones on </w:t>
      </w:r>
      <w:r>
        <w:t>follicle-stimulating hormone</w:t>
      </w:r>
      <w:r w:rsidRPr="00F0156D">
        <w:t>*</w:t>
      </w:r>
      <w:bookmarkEnd w:id="67"/>
      <w:bookmarkEnd w:id="68"/>
    </w:p>
    <w:p w14:paraId="189A6515" w14:textId="7624A5C0" w:rsidR="001F1A0F" w:rsidRDefault="001F1A0F" w:rsidP="001F1A0F"/>
    <w:p w14:paraId="76F7AFC2" w14:textId="16DD8A50" w:rsidR="001F1A0F" w:rsidRDefault="001F1A0F" w:rsidP="001F1A0F">
      <w:pPr>
        <w:rPr>
          <w:sz w:val="16"/>
          <w:szCs w:val="16"/>
        </w:rPr>
      </w:pPr>
      <w:r>
        <w:rPr>
          <w:noProof/>
          <w:sz w:val="16"/>
          <w:szCs w:val="16"/>
        </w:rPr>
        <w:drawing>
          <wp:inline distT="0" distB="0" distL="0" distR="0" wp14:anchorId="32AD3186" wp14:editId="60BE4299">
            <wp:extent cx="5943600" cy="1899920"/>
            <wp:effectExtent l="0" t="0" r="0" b="508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pic:cNvPicPr/>
                  </pic:nvPicPr>
                  <pic:blipFill>
                    <a:blip r:embed="rId49">
                      <a:extLst>
                        <a:ext uri="{28A0092B-C50C-407E-A947-70E740481C1C}">
                          <a14:useLocalDpi xmlns:a14="http://schemas.microsoft.com/office/drawing/2010/main" val="0"/>
                        </a:ext>
                      </a:extLst>
                    </a:blip>
                    <a:stretch>
                      <a:fillRect/>
                    </a:stretch>
                  </pic:blipFill>
                  <pic:spPr>
                    <a:xfrm>
                      <a:off x="0" y="0"/>
                      <a:ext cx="5943600" cy="1899920"/>
                    </a:xfrm>
                    <a:prstGeom prst="rect">
                      <a:avLst/>
                    </a:prstGeom>
                  </pic:spPr>
                </pic:pic>
              </a:graphicData>
            </a:graphic>
          </wp:inline>
        </w:drawing>
      </w:r>
    </w:p>
    <w:p w14:paraId="4C0FCD5E" w14:textId="77777777" w:rsidR="001F1A0F" w:rsidRPr="001F1A0F" w:rsidRDefault="001F1A0F" w:rsidP="001F1A0F">
      <w:pPr>
        <w:rPr>
          <w:sz w:val="16"/>
          <w:szCs w:val="16"/>
        </w:rPr>
      </w:pPr>
    </w:p>
    <w:p w14:paraId="2A50C942" w14:textId="77777777" w:rsidR="001F1A0F" w:rsidRPr="001F1A0F" w:rsidRDefault="001F1A0F" w:rsidP="001F1A0F">
      <w:pPr>
        <w:rPr>
          <w:sz w:val="16"/>
          <w:szCs w:val="16"/>
        </w:rPr>
      </w:pPr>
      <w:r w:rsidRPr="001F1A0F">
        <w:rPr>
          <w:sz w:val="16"/>
          <w:szCs w:val="16"/>
        </w:rPr>
        <w:t>Data is presented as between group mean difference (95% CI) for a 1-unit change in the predictor variable. β –coefficients were estimated using continuous meta-regression analysis. A positive β -coefficient implies an increase in outcome in the isoflavone intervention as the subgroup variable increases, and a negative β -coefficient implies a decrease in outcome. Residual I</w:t>
      </w:r>
      <w:r w:rsidRPr="00446178">
        <w:rPr>
          <w:sz w:val="16"/>
          <w:szCs w:val="16"/>
          <w:vertAlign w:val="superscript"/>
        </w:rPr>
        <w:t>2</w:t>
      </w:r>
      <w:r w:rsidRPr="001F1A0F">
        <w:rPr>
          <w:sz w:val="16"/>
          <w:szCs w:val="16"/>
        </w:rPr>
        <w:t xml:space="preserve"> reports inter-study heterogeneity not explained by the subgroup and was estimated using the Cochran Q statistic. </w:t>
      </w:r>
    </w:p>
    <w:p w14:paraId="7845C150" w14:textId="77777777" w:rsidR="001F1A0F" w:rsidRPr="001F1A0F" w:rsidRDefault="001F1A0F" w:rsidP="001F1A0F">
      <w:pPr>
        <w:rPr>
          <w:sz w:val="16"/>
          <w:szCs w:val="16"/>
        </w:rPr>
      </w:pPr>
    </w:p>
    <w:p w14:paraId="6F6DC93E" w14:textId="1AD0EA23" w:rsidR="001F1A0F" w:rsidRDefault="001F1A0F" w:rsidP="001F1A0F">
      <w:pPr>
        <w:rPr>
          <w:sz w:val="16"/>
          <w:szCs w:val="16"/>
        </w:rPr>
      </w:pPr>
      <w:r w:rsidRPr="001F1A0F">
        <w:rPr>
          <w:sz w:val="16"/>
          <w:szCs w:val="16"/>
        </w:rPr>
        <w:t>*N=</w:t>
      </w:r>
      <w:r>
        <w:rPr>
          <w:sz w:val="16"/>
          <w:szCs w:val="16"/>
        </w:rPr>
        <w:t>6</w:t>
      </w:r>
      <w:r w:rsidRPr="001F1A0F">
        <w:rPr>
          <w:sz w:val="16"/>
          <w:szCs w:val="16"/>
        </w:rPr>
        <w:t xml:space="preserve"> trial comparisons did not report </w:t>
      </w:r>
      <w:r>
        <w:rPr>
          <w:sz w:val="16"/>
          <w:szCs w:val="16"/>
        </w:rPr>
        <w:t>years since menopause</w:t>
      </w:r>
      <w:r w:rsidRPr="001F1A0F">
        <w:rPr>
          <w:sz w:val="16"/>
          <w:szCs w:val="16"/>
        </w:rPr>
        <w:t>, N=</w:t>
      </w:r>
      <w:r>
        <w:rPr>
          <w:sz w:val="16"/>
          <w:szCs w:val="16"/>
        </w:rPr>
        <w:t>1</w:t>
      </w:r>
      <w:r w:rsidRPr="001F1A0F">
        <w:rPr>
          <w:sz w:val="16"/>
          <w:szCs w:val="16"/>
        </w:rPr>
        <w:t xml:space="preserve"> did not report baseline BMI</w:t>
      </w:r>
    </w:p>
    <w:p w14:paraId="5BB2F038" w14:textId="77777777" w:rsidR="001F1A0F" w:rsidRDefault="001F1A0F">
      <w:pPr>
        <w:rPr>
          <w:sz w:val="16"/>
          <w:szCs w:val="16"/>
        </w:rPr>
      </w:pPr>
      <w:r>
        <w:rPr>
          <w:sz w:val="16"/>
          <w:szCs w:val="16"/>
        </w:rPr>
        <w:br w:type="page"/>
      </w:r>
    </w:p>
    <w:p w14:paraId="44998824" w14:textId="18A38C80" w:rsidR="001F1A0F" w:rsidRDefault="001F1A0F" w:rsidP="00CB4744">
      <w:pPr>
        <w:pStyle w:val="Heading1"/>
      </w:pPr>
      <w:bookmarkStart w:id="69" w:name="_Toc152764319"/>
      <w:bookmarkStart w:id="70" w:name="_Toc153356576"/>
      <w:r w:rsidRPr="00FF0F2F">
        <w:rPr>
          <w:b/>
          <w:bCs/>
        </w:rPr>
        <w:lastRenderedPageBreak/>
        <w:t>Supplementa</w:t>
      </w:r>
      <w:r w:rsidR="005C5F52">
        <w:rPr>
          <w:b/>
          <w:bCs/>
        </w:rPr>
        <w:t>l</w:t>
      </w:r>
      <w:r w:rsidRPr="00FF0F2F">
        <w:rPr>
          <w:b/>
          <w:bCs/>
        </w:rPr>
        <w:t xml:space="preserve"> Figure </w:t>
      </w:r>
      <w:r w:rsidR="00446178">
        <w:rPr>
          <w:b/>
          <w:bCs/>
        </w:rPr>
        <w:t>2</w:t>
      </w:r>
      <w:r w:rsidR="00F0156D">
        <w:rPr>
          <w:b/>
          <w:bCs/>
        </w:rPr>
        <w:t>3</w:t>
      </w:r>
      <w:r w:rsidRPr="00FF0F2F">
        <w:rPr>
          <w:b/>
          <w:bCs/>
        </w:rPr>
        <w:t>.</w:t>
      </w:r>
      <w:r w:rsidRPr="00FF0F2F">
        <w:t xml:space="preserve"> </w:t>
      </w:r>
      <w:r>
        <w:t>Continuous meta-regression analysis for</w:t>
      </w:r>
      <w:r w:rsidRPr="00F31633">
        <w:t xml:space="preserve"> the effect of</w:t>
      </w:r>
      <w:r>
        <w:t xml:space="preserve"> soy </w:t>
      </w:r>
      <w:r w:rsidRPr="00F31633">
        <w:t xml:space="preserve">isoflavones on </w:t>
      </w:r>
      <w:r>
        <w:t>estradiol</w:t>
      </w:r>
      <w:r w:rsidRPr="00F0156D">
        <w:t>*</w:t>
      </w:r>
      <w:bookmarkEnd w:id="69"/>
      <w:bookmarkEnd w:id="70"/>
    </w:p>
    <w:p w14:paraId="5CCC0B0D" w14:textId="77777777" w:rsidR="001F1A0F" w:rsidRDefault="001F1A0F" w:rsidP="001F1A0F">
      <w:pPr>
        <w:rPr>
          <w:sz w:val="16"/>
          <w:szCs w:val="16"/>
        </w:rPr>
      </w:pPr>
    </w:p>
    <w:p w14:paraId="5A43BD8E" w14:textId="78806FDE" w:rsidR="002D504C" w:rsidRDefault="001F1A0F" w:rsidP="001F1A0F">
      <w:pPr>
        <w:rPr>
          <w:sz w:val="16"/>
          <w:szCs w:val="16"/>
        </w:rPr>
      </w:pPr>
      <w:r>
        <w:rPr>
          <w:noProof/>
          <w:sz w:val="16"/>
          <w:szCs w:val="16"/>
        </w:rPr>
        <w:drawing>
          <wp:inline distT="0" distB="0" distL="0" distR="0" wp14:anchorId="1F482BB0" wp14:editId="6381B7C6">
            <wp:extent cx="5943600" cy="2113915"/>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pic:nvPicPr>
                  <pic:blipFill>
                    <a:blip r:embed="rId50">
                      <a:extLst>
                        <a:ext uri="{28A0092B-C50C-407E-A947-70E740481C1C}">
                          <a14:useLocalDpi xmlns:a14="http://schemas.microsoft.com/office/drawing/2010/main" val="0"/>
                        </a:ext>
                      </a:extLst>
                    </a:blip>
                    <a:stretch>
                      <a:fillRect/>
                    </a:stretch>
                  </pic:blipFill>
                  <pic:spPr>
                    <a:xfrm>
                      <a:off x="0" y="0"/>
                      <a:ext cx="5943600" cy="2113915"/>
                    </a:xfrm>
                    <a:prstGeom prst="rect">
                      <a:avLst/>
                    </a:prstGeom>
                  </pic:spPr>
                </pic:pic>
              </a:graphicData>
            </a:graphic>
          </wp:inline>
        </w:drawing>
      </w:r>
    </w:p>
    <w:p w14:paraId="72508E68" w14:textId="1774283D" w:rsidR="001F1A0F" w:rsidRDefault="001F1A0F" w:rsidP="001F1A0F">
      <w:pPr>
        <w:rPr>
          <w:sz w:val="16"/>
          <w:szCs w:val="16"/>
        </w:rPr>
      </w:pPr>
    </w:p>
    <w:p w14:paraId="37CA5312" w14:textId="77777777" w:rsidR="001F1A0F" w:rsidRPr="001F1A0F" w:rsidRDefault="001F1A0F" w:rsidP="001F1A0F">
      <w:pPr>
        <w:rPr>
          <w:sz w:val="16"/>
          <w:szCs w:val="16"/>
        </w:rPr>
      </w:pPr>
      <w:r w:rsidRPr="001F1A0F">
        <w:rPr>
          <w:sz w:val="16"/>
          <w:szCs w:val="16"/>
        </w:rPr>
        <w:t>Data is presented as between group mean difference (95% CI) for a 1-unit change in the predictor variable. β –coefficients were estimated using continuous meta-regression analysis. A positive β -coefficient implies an increase in outcome in the isoflavone intervention as the subgroup variable increases, and a negative β -coefficient implies a decrease in outcome. Residual I</w:t>
      </w:r>
      <w:r w:rsidRPr="00446178">
        <w:rPr>
          <w:sz w:val="16"/>
          <w:szCs w:val="16"/>
          <w:vertAlign w:val="superscript"/>
        </w:rPr>
        <w:t>2</w:t>
      </w:r>
      <w:r w:rsidRPr="001F1A0F">
        <w:rPr>
          <w:sz w:val="16"/>
          <w:szCs w:val="16"/>
        </w:rPr>
        <w:t xml:space="preserve"> reports inter-study heterogeneity not explained by the subgroup and was estimated using the Cochran Q statistic. </w:t>
      </w:r>
    </w:p>
    <w:p w14:paraId="67E1B746" w14:textId="77777777" w:rsidR="001F1A0F" w:rsidRPr="001F1A0F" w:rsidRDefault="001F1A0F" w:rsidP="001F1A0F">
      <w:pPr>
        <w:rPr>
          <w:sz w:val="16"/>
          <w:szCs w:val="16"/>
        </w:rPr>
      </w:pPr>
    </w:p>
    <w:p w14:paraId="3F774315" w14:textId="52448516" w:rsidR="00446178" w:rsidRDefault="001F1A0F" w:rsidP="001F1A0F">
      <w:pPr>
        <w:rPr>
          <w:sz w:val="16"/>
          <w:szCs w:val="16"/>
        </w:rPr>
      </w:pPr>
      <w:r w:rsidRPr="001F1A0F">
        <w:rPr>
          <w:sz w:val="16"/>
          <w:szCs w:val="16"/>
        </w:rPr>
        <w:t>*</w:t>
      </w:r>
      <w:r w:rsidR="00446178" w:rsidRPr="00446178">
        <w:rPr>
          <w:sz w:val="16"/>
          <w:szCs w:val="16"/>
        </w:rPr>
        <w:t xml:space="preserve"> </w:t>
      </w:r>
      <w:r w:rsidR="00446178" w:rsidRPr="001F1A0F">
        <w:rPr>
          <w:sz w:val="16"/>
          <w:szCs w:val="16"/>
        </w:rPr>
        <w:t>N=</w:t>
      </w:r>
      <w:r w:rsidR="00446178">
        <w:rPr>
          <w:sz w:val="16"/>
          <w:szCs w:val="16"/>
        </w:rPr>
        <w:t>1</w:t>
      </w:r>
      <w:r w:rsidR="00446178" w:rsidRPr="001F1A0F">
        <w:rPr>
          <w:sz w:val="16"/>
          <w:szCs w:val="16"/>
        </w:rPr>
        <w:t xml:space="preserve"> trial comparison did not report </w:t>
      </w:r>
      <w:r w:rsidR="00446178">
        <w:rPr>
          <w:sz w:val="16"/>
          <w:szCs w:val="16"/>
        </w:rPr>
        <w:t xml:space="preserve">age, </w:t>
      </w:r>
      <w:r w:rsidRPr="001F1A0F">
        <w:rPr>
          <w:sz w:val="16"/>
          <w:szCs w:val="16"/>
        </w:rPr>
        <w:t>N=</w:t>
      </w:r>
      <w:r>
        <w:rPr>
          <w:sz w:val="16"/>
          <w:szCs w:val="16"/>
        </w:rPr>
        <w:t>6</w:t>
      </w:r>
      <w:r w:rsidRPr="001F1A0F">
        <w:rPr>
          <w:sz w:val="16"/>
          <w:szCs w:val="16"/>
        </w:rPr>
        <w:t xml:space="preserve"> did not report </w:t>
      </w:r>
      <w:r>
        <w:rPr>
          <w:sz w:val="16"/>
          <w:szCs w:val="16"/>
        </w:rPr>
        <w:t>years since menopause</w:t>
      </w:r>
      <w:r w:rsidRPr="001F1A0F">
        <w:rPr>
          <w:sz w:val="16"/>
          <w:szCs w:val="16"/>
        </w:rPr>
        <w:t>,</w:t>
      </w:r>
      <w:r w:rsidR="00446178">
        <w:rPr>
          <w:sz w:val="16"/>
          <w:szCs w:val="16"/>
        </w:rPr>
        <w:t xml:space="preserve"> and</w:t>
      </w:r>
      <w:r w:rsidRPr="001F1A0F">
        <w:rPr>
          <w:sz w:val="16"/>
          <w:szCs w:val="16"/>
        </w:rPr>
        <w:t xml:space="preserve"> N=</w:t>
      </w:r>
      <w:r>
        <w:rPr>
          <w:sz w:val="16"/>
          <w:szCs w:val="16"/>
        </w:rPr>
        <w:t>1</w:t>
      </w:r>
      <w:r w:rsidRPr="001F1A0F">
        <w:rPr>
          <w:sz w:val="16"/>
          <w:szCs w:val="16"/>
        </w:rPr>
        <w:t xml:space="preserve"> did not report baseline BMI</w:t>
      </w:r>
    </w:p>
    <w:p w14:paraId="29B2806C" w14:textId="77777777" w:rsidR="00446178" w:rsidRDefault="00446178">
      <w:pPr>
        <w:rPr>
          <w:sz w:val="16"/>
          <w:szCs w:val="16"/>
        </w:rPr>
      </w:pPr>
      <w:r>
        <w:rPr>
          <w:sz w:val="16"/>
          <w:szCs w:val="16"/>
        </w:rPr>
        <w:br w:type="page"/>
      </w:r>
    </w:p>
    <w:p w14:paraId="67961E09" w14:textId="5A4C4C0B" w:rsidR="00446178" w:rsidRPr="00446178" w:rsidRDefault="00446178" w:rsidP="00CB4744">
      <w:pPr>
        <w:pStyle w:val="Heading1"/>
      </w:pPr>
      <w:bookmarkStart w:id="71" w:name="_Toc152764320"/>
      <w:bookmarkStart w:id="72" w:name="_Toc153356577"/>
      <w:r w:rsidRPr="00446178">
        <w:rPr>
          <w:b/>
          <w:bCs/>
        </w:rPr>
        <w:lastRenderedPageBreak/>
        <w:t>Supplementa</w:t>
      </w:r>
      <w:r w:rsidR="005C5F52">
        <w:rPr>
          <w:b/>
          <w:bCs/>
        </w:rPr>
        <w:t>l</w:t>
      </w:r>
      <w:r w:rsidRPr="00446178">
        <w:rPr>
          <w:b/>
          <w:bCs/>
        </w:rPr>
        <w:t xml:space="preserve"> Figure 2</w:t>
      </w:r>
      <w:r w:rsidR="00F0156D">
        <w:rPr>
          <w:b/>
          <w:bCs/>
        </w:rPr>
        <w:t>4</w:t>
      </w:r>
      <w:r w:rsidRPr="00446178">
        <w:rPr>
          <w:b/>
          <w:bCs/>
        </w:rPr>
        <w:t>.</w:t>
      </w:r>
      <w:r w:rsidRPr="00446178">
        <w:t xml:space="preserve"> Linear and non-linear meta-regression analys</w:t>
      </w:r>
      <w:r w:rsidR="009E56AE">
        <w:t>i</w:t>
      </w:r>
      <w:r w:rsidRPr="00446178">
        <w:t xml:space="preserve">s for the effect of </w:t>
      </w:r>
      <w:r>
        <w:t xml:space="preserve">soy </w:t>
      </w:r>
      <w:r w:rsidRPr="00446178">
        <w:t>isoflavones on endometrial thickness</w:t>
      </w:r>
      <w:bookmarkEnd w:id="71"/>
      <w:bookmarkEnd w:id="72"/>
      <w:r w:rsidRPr="00446178">
        <w:t xml:space="preserve"> </w:t>
      </w:r>
    </w:p>
    <w:p w14:paraId="644F5388" w14:textId="77777777" w:rsidR="00446178" w:rsidRPr="00446178" w:rsidRDefault="00446178" w:rsidP="00446178"/>
    <w:p w14:paraId="5E387AC2" w14:textId="191B9872" w:rsidR="001F1A0F" w:rsidRDefault="002007E7" w:rsidP="001F1A0F">
      <w:pPr>
        <w:rPr>
          <w:sz w:val="16"/>
          <w:szCs w:val="16"/>
        </w:rPr>
      </w:pPr>
      <w:r>
        <w:rPr>
          <w:noProof/>
          <w:sz w:val="16"/>
          <w:szCs w:val="16"/>
        </w:rPr>
        <w:drawing>
          <wp:inline distT="0" distB="0" distL="0" distR="0" wp14:anchorId="71BF56F4" wp14:editId="12A32DAA">
            <wp:extent cx="5029200" cy="365760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pic:cNvPicPr/>
                  </pic:nvPicPr>
                  <pic:blipFill>
                    <a:blip r:embed="rId51">
                      <a:extLst>
                        <a:ext uri="{28A0092B-C50C-407E-A947-70E740481C1C}">
                          <a14:useLocalDpi xmlns:a14="http://schemas.microsoft.com/office/drawing/2010/main" val="0"/>
                        </a:ext>
                      </a:extLst>
                    </a:blip>
                    <a:stretch>
                      <a:fillRect/>
                    </a:stretch>
                  </pic:blipFill>
                  <pic:spPr>
                    <a:xfrm>
                      <a:off x="0" y="0"/>
                      <a:ext cx="5029200" cy="3657600"/>
                    </a:xfrm>
                    <a:prstGeom prst="rect">
                      <a:avLst/>
                    </a:prstGeom>
                  </pic:spPr>
                </pic:pic>
              </a:graphicData>
            </a:graphic>
          </wp:inline>
        </w:drawing>
      </w:r>
    </w:p>
    <w:p w14:paraId="52B3FE0B" w14:textId="28CA7A86" w:rsidR="002007E7" w:rsidRDefault="002007E7" w:rsidP="001F1A0F">
      <w:pPr>
        <w:rPr>
          <w:sz w:val="16"/>
          <w:szCs w:val="16"/>
        </w:rPr>
      </w:pPr>
    </w:p>
    <w:p w14:paraId="6FE57F7C" w14:textId="77777777" w:rsidR="009E56AE" w:rsidRPr="009E56AE" w:rsidRDefault="009E56AE" w:rsidP="009E56AE">
      <w:pPr>
        <w:rPr>
          <w:sz w:val="16"/>
          <w:szCs w:val="16"/>
        </w:rPr>
      </w:pPr>
      <w:r w:rsidRPr="009E56AE">
        <w:rPr>
          <w:sz w:val="16"/>
          <w:szCs w:val="16"/>
        </w:rPr>
        <w:t xml:space="preserve">Individual studies are represented by the circles, with their weight in the overall analysis represented by the size of the circles. The straight red line represents the estimate linear dose response and the grey line the non-linear dose response for the </w:t>
      </w:r>
      <w:r>
        <w:rPr>
          <w:sz w:val="16"/>
          <w:szCs w:val="16"/>
        </w:rPr>
        <w:t xml:space="preserve">isoflavone dose </w:t>
      </w:r>
      <w:r w:rsidRPr="009E56AE">
        <w:rPr>
          <w:sz w:val="16"/>
          <w:szCs w:val="16"/>
        </w:rPr>
        <w:t>and the dashed lines represent the upper and lower 95% confidence intervals.</w:t>
      </w:r>
    </w:p>
    <w:p w14:paraId="1AD4C710" w14:textId="77777777" w:rsidR="009E56AE" w:rsidRDefault="009E56AE" w:rsidP="001F1A0F">
      <w:pPr>
        <w:rPr>
          <w:sz w:val="16"/>
          <w:szCs w:val="16"/>
        </w:rPr>
      </w:pPr>
    </w:p>
    <w:p w14:paraId="23A8FCED" w14:textId="4861A2D4" w:rsidR="002511DE" w:rsidRDefault="002007E7" w:rsidP="001F1A0F">
      <w:pPr>
        <w:rPr>
          <w:sz w:val="16"/>
          <w:szCs w:val="16"/>
        </w:rPr>
      </w:pPr>
      <w:r>
        <w:rPr>
          <w:sz w:val="16"/>
          <w:szCs w:val="16"/>
        </w:rPr>
        <w:t>ET, endometrial thickness</w:t>
      </w:r>
    </w:p>
    <w:p w14:paraId="64B08DC2" w14:textId="77777777" w:rsidR="002511DE" w:rsidRDefault="002511DE">
      <w:pPr>
        <w:rPr>
          <w:sz w:val="16"/>
          <w:szCs w:val="16"/>
        </w:rPr>
      </w:pPr>
      <w:r>
        <w:rPr>
          <w:sz w:val="16"/>
          <w:szCs w:val="16"/>
        </w:rPr>
        <w:br w:type="page"/>
      </w:r>
    </w:p>
    <w:p w14:paraId="643B3726" w14:textId="034A65D8" w:rsidR="002511DE" w:rsidRDefault="002511DE" w:rsidP="00CB4744">
      <w:pPr>
        <w:pStyle w:val="Heading1"/>
      </w:pPr>
      <w:bookmarkStart w:id="73" w:name="_Toc152764321"/>
      <w:bookmarkStart w:id="74" w:name="_Toc153356578"/>
      <w:r w:rsidRPr="00446178">
        <w:rPr>
          <w:b/>
          <w:bCs/>
        </w:rPr>
        <w:lastRenderedPageBreak/>
        <w:t>Supplementa</w:t>
      </w:r>
      <w:r w:rsidR="005C5F52">
        <w:rPr>
          <w:b/>
          <w:bCs/>
        </w:rPr>
        <w:t>l</w:t>
      </w:r>
      <w:r w:rsidRPr="00446178">
        <w:rPr>
          <w:b/>
          <w:bCs/>
        </w:rPr>
        <w:t xml:space="preserve"> Figure 2</w:t>
      </w:r>
      <w:r w:rsidR="00F0156D">
        <w:rPr>
          <w:b/>
          <w:bCs/>
        </w:rPr>
        <w:t>5</w:t>
      </w:r>
      <w:r w:rsidRPr="00446178">
        <w:rPr>
          <w:b/>
          <w:bCs/>
        </w:rPr>
        <w:t>.</w:t>
      </w:r>
      <w:r w:rsidRPr="00446178">
        <w:t xml:space="preserve"> Linear and non-linear meta-regression analys</w:t>
      </w:r>
      <w:r>
        <w:t>i</w:t>
      </w:r>
      <w:r w:rsidRPr="00446178">
        <w:t xml:space="preserve">s for the effect of </w:t>
      </w:r>
      <w:r>
        <w:t xml:space="preserve">soy </w:t>
      </w:r>
      <w:r w:rsidRPr="00446178">
        <w:t xml:space="preserve">isoflavones on </w:t>
      </w:r>
      <w:r>
        <w:t>vaginal maturation index</w:t>
      </w:r>
      <w:bookmarkEnd w:id="73"/>
      <w:bookmarkEnd w:id="74"/>
    </w:p>
    <w:p w14:paraId="022578F6" w14:textId="729E1C67" w:rsidR="002511DE" w:rsidRDefault="002511DE" w:rsidP="002511DE"/>
    <w:p w14:paraId="36B48D9D" w14:textId="401780F5" w:rsidR="002511DE" w:rsidRPr="00446178" w:rsidRDefault="002511DE" w:rsidP="002511DE">
      <w:r>
        <w:rPr>
          <w:noProof/>
        </w:rPr>
        <w:drawing>
          <wp:inline distT="0" distB="0" distL="0" distR="0" wp14:anchorId="60BB0959" wp14:editId="19CAE167">
            <wp:extent cx="5029200" cy="36576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pic:cNvPicPr/>
                  </pic:nvPicPr>
                  <pic:blipFill>
                    <a:blip r:embed="rId52">
                      <a:extLst>
                        <a:ext uri="{28A0092B-C50C-407E-A947-70E740481C1C}">
                          <a14:useLocalDpi xmlns:a14="http://schemas.microsoft.com/office/drawing/2010/main" val="0"/>
                        </a:ext>
                      </a:extLst>
                    </a:blip>
                    <a:stretch>
                      <a:fillRect/>
                    </a:stretch>
                  </pic:blipFill>
                  <pic:spPr>
                    <a:xfrm>
                      <a:off x="0" y="0"/>
                      <a:ext cx="5029200" cy="3657600"/>
                    </a:xfrm>
                    <a:prstGeom prst="rect">
                      <a:avLst/>
                    </a:prstGeom>
                  </pic:spPr>
                </pic:pic>
              </a:graphicData>
            </a:graphic>
          </wp:inline>
        </w:drawing>
      </w:r>
    </w:p>
    <w:p w14:paraId="29DFD911" w14:textId="77777777" w:rsidR="002511DE" w:rsidRDefault="002511DE" w:rsidP="002511DE">
      <w:pPr>
        <w:rPr>
          <w:sz w:val="16"/>
          <w:szCs w:val="16"/>
        </w:rPr>
      </w:pPr>
    </w:p>
    <w:p w14:paraId="0B971EC5" w14:textId="77777777" w:rsidR="002511DE" w:rsidRPr="009E56AE" w:rsidRDefault="002511DE" w:rsidP="002511DE">
      <w:pPr>
        <w:rPr>
          <w:sz w:val="16"/>
          <w:szCs w:val="16"/>
        </w:rPr>
      </w:pPr>
      <w:r w:rsidRPr="009E56AE">
        <w:rPr>
          <w:sz w:val="16"/>
          <w:szCs w:val="16"/>
        </w:rPr>
        <w:t xml:space="preserve">Individual studies are represented by the circles, with their weight in the overall analysis represented by the size of the circles. The straight red line represents the estimate linear dose response and the grey line the non-linear dose response for the </w:t>
      </w:r>
      <w:r>
        <w:rPr>
          <w:sz w:val="16"/>
          <w:szCs w:val="16"/>
        </w:rPr>
        <w:t xml:space="preserve">isoflavone dose </w:t>
      </w:r>
      <w:r w:rsidRPr="009E56AE">
        <w:rPr>
          <w:sz w:val="16"/>
          <w:szCs w:val="16"/>
        </w:rPr>
        <w:t>and the dashed lines represent the upper and lower 95% confidence intervals.</w:t>
      </w:r>
    </w:p>
    <w:p w14:paraId="3F842AE2" w14:textId="77777777" w:rsidR="002511DE" w:rsidRDefault="002511DE" w:rsidP="002511DE">
      <w:pPr>
        <w:rPr>
          <w:sz w:val="16"/>
          <w:szCs w:val="16"/>
        </w:rPr>
      </w:pPr>
    </w:p>
    <w:p w14:paraId="4EBF8751" w14:textId="3030AF8D" w:rsidR="002511DE" w:rsidRPr="007528AA" w:rsidRDefault="002511DE" w:rsidP="002511DE">
      <w:pPr>
        <w:rPr>
          <w:lang w:val="fr-CA"/>
        </w:rPr>
      </w:pPr>
      <w:r w:rsidRPr="007528AA">
        <w:rPr>
          <w:sz w:val="16"/>
          <w:szCs w:val="16"/>
          <w:lang w:val="fr-CA"/>
        </w:rPr>
        <w:t>VMI, vaginal maturation index</w:t>
      </w:r>
    </w:p>
    <w:p w14:paraId="0C94ED56" w14:textId="77777777" w:rsidR="002007E7" w:rsidRPr="007528AA" w:rsidRDefault="002007E7" w:rsidP="001F1A0F">
      <w:pPr>
        <w:rPr>
          <w:sz w:val="16"/>
          <w:szCs w:val="16"/>
          <w:lang w:val="fr-CA"/>
        </w:rPr>
      </w:pPr>
    </w:p>
    <w:p w14:paraId="0DFD6402" w14:textId="77777777" w:rsidR="002007E7" w:rsidRPr="007528AA" w:rsidRDefault="002007E7">
      <w:pPr>
        <w:rPr>
          <w:sz w:val="16"/>
          <w:szCs w:val="16"/>
          <w:lang w:val="fr-CA"/>
        </w:rPr>
      </w:pPr>
      <w:r w:rsidRPr="007528AA">
        <w:rPr>
          <w:sz w:val="16"/>
          <w:szCs w:val="16"/>
          <w:lang w:val="fr-CA"/>
        </w:rPr>
        <w:br w:type="page"/>
      </w:r>
    </w:p>
    <w:p w14:paraId="31BD8C5E" w14:textId="062D0B59" w:rsidR="009E56AE" w:rsidRDefault="009E56AE" w:rsidP="00CB4744">
      <w:pPr>
        <w:pStyle w:val="Heading1"/>
      </w:pPr>
      <w:bookmarkStart w:id="75" w:name="_Toc152764322"/>
      <w:bookmarkStart w:id="76" w:name="_Toc153356579"/>
      <w:r w:rsidRPr="007528AA">
        <w:rPr>
          <w:b/>
          <w:bCs/>
          <w:lang w:val="fr-CA"/>
        </w:rPr>
        <w:lastRenderedPageBreak/>
        <w:t>Supplementa</w:t>
      </w:r>
      <w:r w:rsidR="005C5F52" w:rsidRPr="007528AA">
        <w:rPr>
          <w:b/>
          <w:bCs/>
          <w:lang w:val="fr-CA"/>
        </w:rPr>
        <w:t>l</w:t>
      </w:r>
      <w:r w:rsidRPr="007528AA">
        <w:rPr>
          <w:b/>
          <w:bCs/>
          <w:lang w:val="fr-CA"/>
        </w:rPr>
        <w:t xml:space="preserve"> Figure 2</w:t>
      </w:r>
      <w:r w:rsidR="00F0156D" w:rsidRPr="007528AA">
        <w:rPr>
          <w:b/>
          <w:bCs/>
          <w:lang w:val="fr-CA"/>
        </w:rPr>
        <w:t>6</w:t>
      </w:r>
      <w:r w:rsidRPr="007528AA">
        <w:rPr>
          <w:b/>
          <w:bCs/>
          <w:lang w:val="fr-CA"/>
        </w:rPr>
        <w:t>.</w:t>
      </w:r>
      <w:r w:rsidRPr="007528AA">
        <w:rPr>
          <w:lang w:val="fr-CA"/>
        </w:rPr>
        <w:t xml:space="preserve"> </w:t>
      </w:r>
      <w:r w:rsidRPr="00446178">
        <w:t>Linear and non-linear meta-regression analys</w:t>
      </w:r>
      <w:r>
        <w:t>i</w:t>
      </w:r>
      <w:r w:rsidRPr="00446178">
        <w:t xml:space="preserve">s for the effect of </w:t>
      </w:r>
      <w:r>
        <w:t xml:space="preserve">soy </w:t>
      </w:r>
      <w:r w:rsidRPr="00446178">
        <w:t xml:space="preserve">isoflavones on </w:t>
      </w:r>
      <w:r>
        <w:t>follicle-stimulating hormone</w:t>
      </w:r>
      <w:bookmarkEnd w:id="75"/>
      <w:bookmarkEnd w:id="76"/>
    </w:p>
    <w:p w14:paraId="4CA69C40" w14:textId="2EC51765" w:rsidR="009E56AE" w:rsidRDefault="009E56AE" w:rsidP="009E56AE"/>
    <w:p w14:paraId="5A1F56DB" w14:textId="097AEA69" w:rsidR="009E56AE" w:rsidRPr="00446178" w:rsidRDefault="009E56AE" w:rsidP="009E56AE">
      <w:r>
        <w:rPr>
          <w:noProof/>
        </w:rPr>
        <w:drawing>
          <wp:inline distT="0" distB="0" distL="0" distR="0" wp14:anchorId="4B7F83E7" wp14:editId="2F851309">
            <wp:extent cx="5029200" cy="365760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pic:cNvPicPr/>
                  </pic:nvPicPr>
                  <pic:blipFill>
                    <a:blip r:embed="rId53">
                      <a:extLst>
                        <a:ext uri="{28A0092B-C50C-407E-A947-70E740481C1C}">
                          <a14:useLocalDpi xmlns:a14="http://schemas.microsoft.com/office/drawing/2010/main" val="0"/>
                        </a:ext>
                      </a:extLst>
                    </a:blip>
                    <a:stretch>
                      <a:fillRect/>
                    </a:stretch>
                  </pic:blipFill>
                  <pic:spPr>
                    <a:xfrm>
                      <a:off x="0" y="0"/>
                      <a:ext cx="5029200" cy="3657600"/>
                    </a:xfrm>
                    <a:prstGeom prst="rect">
                      <a:avLst/>
                    </a:prstGeom>
                  </pic:spPr>
                </pic:pic>
              </a:graphicData>
            </a:graphic>
          </wp:inline>
        </w:drawing>
      </w:r>
    </w:p>
    <w:p w14:paraId="39B26247" w14:textId="1F381D42" w:rsidR="002007E7" w:rsidRDefault="002007E7" w:rsidP="001F1A0F">
      <w:pPr>
        <w:rPr>
          <w:sz w:val="16"/>
          <w:szCs w:val="16"/>
        </w:rPr>
      </w:pPr>
    </w:p>
    <w:p w14:paraId="68470D86" w14:textId="618837EA" w:rsidR="009E56AE" w:rsidRPr="009E56AE" w:rsidRDefault="009E56AE" w:rsidP="009E56AE">
      <w:pPr>
        <w:rPr>
          <w:sz w:val="16"/>
          <w:szCs w:val="16"/>
        </w:rPr>
      </w:pPr>
      <w:r w:rsidRPr="009E56AE">
        <w:rPr>
          <w:sz w:val="16"/>
          <w:szCs w:val="16"/>
        </w:rPr>
        <w:t xml:space="preserve">Individual studies are represented by the circles, with their weight in the overall analysis represented by the size of the circles. The straight red line represents the estimate linear dose response and the grey line the non-linear dose response for the </w:t>
      </w:r>
      <w:r>
        <w:rPr>
          <w:sz w:val="16"/>
          <w:szCs w:val="16"/>
        </w:rPr>
        <w:t xml:space="preserve">isoflavone dose </w:t>
      </w:r>
      <w:r w:rsidRPr="009E56AE">
        <w:rPr>
          <w:sz w:val="16"/>
          <w:szCs w:val="16"/>
        </w:rPr>
        <w:t>and the dashed lines represent the upper and lower 95% confidence intervals.</w:t>
      </w:r>
    </w:p>
    <w:p w14:paraId="6300D1A3" w14:textId="77777777" w:rsidR="009E56AE" w:rsidRDefault="009E56AE" w:rsidP="001F1A0F">
      <w:pPr>
        <w:rPr>
          <w:sz w:val="16"/>
          <w:szCs w:val="16"/>
        </w:rPr>
      </w:pPr>
    </w:p>
    <w:p w14:paraId="46C73069" w14:textId="1A3542E9" w:rsidR="009E56AE" w:rsidRDefault="009E56AE" w:rsidP="001F1A0F">
      <w:pPr>
        <w:rPr>
          <w:sz w:val="16"/>
          <w:szCs w:val="16"/>
        </w:rPr>
      </w:pPr>
      <w:r>
        <w:rPr>
          <w:sz w:val="16"/>
          <w:szCs w:val="16"/>
        </w:rPr>
        <w:t>FSH, follicle-stimulating hormone</w:t>
      </w:r>
    </w:p>
    <w:p w14:paraId="0854B379" w14:textId="77777777" w:rsidR="009E56AE" w:rsidRDefault="009E56AE">
      <w:pPr>
        <w:rPr>
          <w:sz w:val="16"/>
          <w:szCs w:val="16"/>
        </w:rPr>
      </w:pPr>
      <w:r>
        <w:rPr>
          <w:sz w:val="16"/>
          <w:szCs w:val="16"/>
        </w:rPr>
        <w:br w:type="page"/>
      </w:r>
    </w:p>
    <w:p w14:paraId="3475DFBB" w14:textId="1A72213B" w:rsidR="009E56AE" w:rsidRDefault="009E56AE" w:rsidP="00CB4744">
      <w:pPr>
        <w:pStyle w:val="Heading1"/>
      </w:pPr>
      <w:bookmarkStart w:id="77" w:name="_Toc152764323"/>
      <w:bookmarkStart w:id="78" w:name="_Toc153356580"/>
      <w:r w:rsidRPr="00446178">
        <w:rPr>
          <w:b/>
          <w:bCs/>
        </w:rPr>
        <w:lastRenderedPageBreak/>
        <w:t>Supplementa</w:t>
      </w:r>
      <w:r w:rsidR="005C5F52">
        <w:rPr>
          <w:b/>
          <w:bCs/>
        </w:rPr>
        <w:t>l</w:t>
      </w:r>
      <w:r w:rsidRPr="00446178">
        <w:rPr>
          <w:b/>
          <w:bCs/>
        </w:rPr>
        <w:t xml:space="preserve"> Figure 2</w:t>
      </w:r>
      <w:r w:rsidR="00F0156D">
        <w:rPr>
          <w:b/>
          <w:bCs/>
        </w:rPr>
        <w:t>7</w:t>
      </w:r>
      <w:r w:rsidRPr="00446178">
        <w:rPr>
          <w:b/>
          <w:bCs/>
        </w:rPr>
        <w:t>.</w:t>
      </w:r>
      <w:r w:rsidRPr="00446178">
        <w:t xml:space="preserve"> Linear and non-linear meta-regression analys</w:t>
      </w:r>
      <w:r>
        <w:t>i</w:t>
      </w:r>
      <w:r w:rsidRPr="00446178">
        <w:t xml:space="preserve">s for the effect of </w:t>
      </w:r>
      <w:r>
        <w:t xml:space="preserve">soy </w:t>
      </w:r>
      <w:r w:rsidRPr="00446178">
        <w:t xml:space="preserve">isoflavones on </w:t>
      </w:r>
      <w:r>
        <w:t>estradiol</w:t>
      </w:r>
      <w:bookmarkEnd w:id="77"/>
      <w:bookmarkEnd w:id="78"/>
    </w:p>
    <w:p w14:paraId="1EDEB340" w14:textId="608F625C" w:rsidR="009E56AE" w:rsidRDefault="009E56AE" w:rsidP="009E56AE"/>
    <w:p w14:paraId="77BD4187" w14:textId="7F6FA551" w:rsidR="009E56AE" w:rsidRDefault="009E56AE" w:rsidP="009E56AE">
      <w:r>
        <w:rPr>
          <w:noProof/>
        </w:rPr>
        <w:drawing>
          <wp:inline distT="0" distB="0" distL="0" distR="0" wp14:anchorId="792615E6" wp14:editId="6DC1A47F">
            <wp:extent cx="5029200" cy="3657600"/>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pic:cNvPicPr/>
                  </pic:nvPicPr>
                  <pic:blipFill>
                    <a:blip r:embed="rId54">
                      <a:extLst>
                        <a:ext uri="{28A0092B-C50C-407E-A947-70E740481C1C}">
                          <a14:useLocalDpi xmlns:a14="http://schemas.microsoft.com/office/drawing/2010/main" val="0"/>
                        </a:ext>
                      </a:extLst>
                    </a:blip>
                    <a:stretch>
                      <a:fillRect/>
                    </a:stretch>
                  </pic:blipFill>
                  <pic:spPr>
                    <a:xfrm>
                      <a:off x="0" y="0"/>
                      <a:ext cx="5029200" cy="3657600"/>
                    </a:xfrm>
                    <a:prstGeom prst="rect">
                      <a:avLst/>
                    </a:prstGeom>
                  </pic:spPr>
                </pic:pic>
              </a:graphicData>
            </a:graphic>
          </wp:inline>
        </w:drawing>
      </w:r>
    </w:p>
    <w:p w14:paraId="0AF954C2" w14:textId="048149C0" w:rsidR="009E56AE" w:rsidRDefault="009E56AE" w:rsidP="001F1A0F">
      <w:pPr>
        <w:rPr>
          <w:sz w:val="16"/>
          <w:szCs w:val="16"/>
        </w:rPr>
      </w:pPr>
    </w:p>
    <w:p w14:paraId="11E04723" w14:textId="77777777" w:rsidR="009E56AE" w:rsidRPr="009E56AE" w:rsidRDefault="009E56AE" w:rsidP="009E56AE">
      <w:pPr>
        <w:rPr>
          <w:sz w:val="16"/>
          <w:szCs w:val="16"/>
        </w:rPr>
      </w:pPr>
      <w:r w:rsidRPr="009E56AE">
        <w:rPr>
          <w:sz w:val="16"/>
          <w:szCs w:val="16"/>
        </w:rPr>
        <w:t xml:space="preserve">Individual studies are represented by the circles, with their weight in the overall analysis represented by the size of the circles. The straight red line represents the estimate linear dose response and the grey line the non-linear dose response for the </w:t>
      </w:r>
      <w:r>
        <w:rPr>
          <w:sz w:val="16"/>
          <w:szCs w:val="16"/>
        </w:rPr>
        <w:t xml:space="preserve">isoflavone dose </w:t>
      </w:r>
      <w:r w:rsidRPr="009E56AE">
        <w:rPr>
          <w:sz w:val="16"/>
          <w:szCs w:val="16"/>
        </w:rPr>
        <w:t>and the dashed lines represent the upper and lower 95% confidence intervals.</w:t>
      </w:r>
    </w:p>
    <w:p w14:paraId="6415C62E" w14:textId="77777777" w:rsidR="009E56AE" w:rsidRDefault="009E56AE" w:rsidP="009E56AE">
      <w:pPr>
        <w:rPr>
          <w:sz w:val="16"/>
          <w:szCs w:val="16"/>
        </w:rPr>
      </w:pPr>
    </w:p>
    <w:p w14:paraId="3260C2F4" w14:textId="6C7C2E79" w:rsidR="002511DE" w:rsidRDefault="009E56AE" w:rsidP="009E56AE">
      <w:pPr>
        <w:rPr>
          <w:sz w:val="16"/>
          <w:szCs w:val="16"/>
        </w:rPr>
      </w:pPr>
      <w:r>
        <w:rPr>
          <w:sz w:val="16"/>
          <w:szCs w:val="16"/>
        </w:rPr>
        <w:t>E2, estradiol</w:t>
      </w:r>
    </w:p>
    <w:p w14:paraId="730FC37A" w14:textId="77777777" w:rsidR="002511DE" w:rsidRDefault="002511DE">
      <w:pPr>
        <w:rPr>
          <w:sz w:val="16"/>
          <w:szCs w:val="16"/>
        </w:rPr>
      </w:pPr>
      <w:r>
        <w:rPr>
          <w:sz w:val="16"/>
          <w:szCs w:val="16"/>
        </w:rPr>
        <w:br w:type="page"/>
      </w:r>
    </w:p>
    <w:p w14:paraId="5DF843C4" w14:textId="6C9F1553" w:rsidR="002511DE" w:rsidRDefault="002511DE" w:rsidP="00CB4744">
      <w:pPr>
        <w:pStyle w:val="Heading1"/>
      </w:pPr>
      <w:bookmarkStart w:id="79" w:name="_Toc152764324"/>
      <w:bookmarkStart w:id="80" w:name="_Toc153356581"/>
      <w:r w:rsidRPr="002511DE">
        <w:rPr>
          <w:b/>
          <w:bCs/>
        </w:rPr>
        <w:lastRenderedPageBreak/>
        <w:t>Supplementa</w:t>
      </w:r>
      <w:r w:rsidR="005C5F52">
        <w:rPr>
          <w:b/>
          <w:bCs/>
        </w:rPr>
        <w:t>l</w:t>
      </w:r>
      <w:r w:rsidRPr="002511DE">
        <w:rPr>
          <w:b/>
          <w:bCs/>
        </w:rPr>
        <w:t xml:space="preserve"> Figure </w:t>
      </w:r>
      <w:r>
        <w:rPr>
          <w:b/>
          <w:bCs/>
        </w:rPr>
        <w:t>2</w:t>
      </w:r>
      <w:r w:rsidR="00F0156D">
        <w:rPr>
          <w:b/>
          <w:bCs/>
        </w:rPr>
        <w:t>8</w:t>
      </w:r>
      <w:r w:rsidRPr="002511DE">
        <w:rPr>
          <w:b/>
          <w:bCs/>
        </w:rPr>
        <w:t>.</w:t>
      </w:r>
      <w:r w:rsidRPr="002511DE">
        <w:t xml:space="preserve"> Publication bias funnel plots for the effect of </w:t>
      </w:r>
      <w:r>
        <w:t xml:space="preserve">soy </w:t>
      </w:r>
      <w:r w:rsidRPr="002511DE">
        <w:t>isoflavones on endometrial thickness</w:t>
      </w:r>
      <w:bookmarkEnd w:id="79"/>
      <w:bookmarkEnd w:id="80"/>
      <w:r w:rsidRPr="002511DE">
        <w:t xml:space="preserve"> </w:t>
      </w:r>
    </w:p>
    <w:p w14:paraId="2D9E6F28" w14:textId="321B20CE" w:rsidR="002511DE" w:rsidRDefault="002511DE" w:rsidP="002511DE"/>
    <w:p w14:paraId="55C65F6B" w14:textId="5FE556DA" w:rsidR="002511DE" w:rsidRPr="002511DE" w:rsidRDefault="002511DE" w:rsidP="002511DE">
      <w:r>
        <w:rPr>
          <w:noProof/>
        </w:rPr>
        <w:drawing>
          <wp:inline distT="0" distB="0" distL="0" distR="0" wp14:anchorId="7C41CA60" wp14:editId="5A1FDD39">
            <wp:extent cx="5029200" cy="365760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pic:cNvPicPr/>
                  </pic:nvPicPr>
                  <pic:blipFill>
                    <a:blip r:embed="rId55">
                      <a:extLst>
                        <a:ext uri="{28A0092B-C50C-407E-A947-70E740481C1C}">
                          <a14:useLocalDpi xmlns:a14="http://schemas.microsoft.com/office/drawing/2010/main" val="0"/>
                        </a:ext>
                      </a:extLst>
                    </a:blip>
                    <a:stretch>
                      <a:fillRect/>
                    </a:stretch>
                  </pic:blipFill>
                  <pic:spPr>
                    <a:xfrm>
                      <a:off x="0" y="0"/>
                      <a:ext cx="5029200" cy="3657600"/>
                    </a:xfrm>
                    <a:prstGeom prst="rect">
                      <a:avLst/>
                    </a:prstGeom>
                  </pic:spPr>
                </pic:pic>
              </a:graphicData>
            </a:graphic>
          </wp:inline>
        </w:drawing>
      </w:r>
    </w:p>
    <w:p w14:paraId="57838B19" w14:textId="77777777" w:rsidR="009E56AE" w:rsidRDefault="009E56AE" w:rsidP="009E56AE">
      <w:pPr>
        <w:rPr>
          <w:sz w:val="16"/>
          <w:szCs w:val="16"/>
        </w:rPr>
      </w:pPr>
    </w:p>
    <w:p w14:paraId="4EAFB136" w14:textId="1698FADA" w:rsidR="002511DE" w:rsidRPr="002511DE" w:rsidRDefault="002511DE" w:rsidP="002511DE">
      <w:pPr>
        <w:rPr>
          <w:sz w:val="16"/>
          <w:szCs w:val="16"/>
        </w:rPr>
      </w:pPr>
      <w:r w:rsidRPr="002511DE">
        <w:rPr>
          <w:sz w:val="16"/>
          <w:szCs w:val="16"/>
        </w:rPr>
        <w:t>Contour-enhanced funnel plot is a scatter-plot of each trial comparison weighted mean difference (MD) on the x-axis with the standard error (SE) representing precision on the y-axis. The vertical solid red line represents the pooled effect estimate and the dashed red lines represent the pseudo-95% confidence limits. The blue dots represent individual trial comparisons. The contour regions define the regions for the test of significance of individual study effect size for a given p-value range &gt;0.1 (dark grey), 0.5 to &lt;0.1 (medium grey), 0.01 to &lt;0.5 (light grey), &lt;0.01 (white)]. The contour-enhanced funnel plots may suggest funnel-plot asymmetry is due to publication bias when less precise (smaller) studies are missing in the non-significant regions. Quantitative assessment of publication bias was also performed using Egger's and Begg's tests set at a significance level of p&lt;0.05.</w:t>
      </w:r>
    </w:p>
    <w:p w14:paraId="2BD2CFB9" w14:textId="77777777" w:rsidR="002511DE" w:rsidRPr="002511DE" w:rsidRDefault="002511DE" w:rsidP="002511DE">
      <w:pPr>
        <w:rPr>
          <w:sz w:val="16"/>
          <w:szCs w:val="16"/>
        </w:rPr>
      </w:pPr>
    </w:p>
    <w:p w14:paraId="6EF6EC9D" w14:textId="48AD15E8" w:rsidR="00B3010B" w:rsidRDefault="002511DE" w:rsidP="002511DE">
      <w:pPr>
        <w:rPr>
          <w:sz w:val="16"/>
          <w:szCs w:val="16"/>
        </w:rPr>
      </w:pPr>
      <w:r w:rsidRPr="002511DE">
        <w:rPr>
          <w:sz w:val="16"/>
          <w:szCs w:val="16"/>
        </w:rPr>
        <w:t>CI, confidence interval</w:t>
      </w:r>
    </w:p>
    <w:p w14:paraId="332E52F1" w14:textId="77777777" w:rsidR="00B3010B" w:rsidRDefault="00B3010B">
      <w:pPr>
        <w:rPr>
          <w:sz w:val="16"/>
          <w:szCs w:val="16"/>
        </w:rPr>
      </w:pPr>
      <w:r>
        <w:rPr>
          <w:sz w:val="16"/>
          <w:szCs w:val="16"/>
        </w:rPr>
        <w:br w:type="page"/>
      </w:r>
    </w:p>
    <w:p w14:paraId="4CC847BF" w14:textId="4FB4246A" w:rsidR="00B3010B" w:rsidRDefault="00B3010B" w:rsidP="00CB4744">
      <w:pPr>
        <w:pStyle w:val="Heading1"/>
      </w:pPr>
      <w:bookmarkStart w:id="81" w:name="_Toc152764325"/>
      <w:bookmarkStart w:id="82" w:name="_Toc153356582"/>
      <w:r w:rsidRPr="002511DE">
        <w:rPr>
          <w:b/>
          <w:bCs/>
        </w:rPr>
        <w:lastRenderedPageBreak/>
        <w:t>Supplementa</w:t>
      </w:r>
      <w:r w:rsidR="005C5F52">
        <w:rPr>
          <w:b/>
          <w:bCs/>
        </w:rPr>
        <w:t>l</w:t>
      </w:r>
      <w:r w:rsidRPr="002511DE">
        <w:rPr>
          <w:b/>
          <w:bCs/>
        </w:rPr>
        <w:t xml:space="preserve"> Figure </w:t>
      </w:r>
      <w:r>
        <w:rPr>
          <w:b/>
          <w:bCs/>
        </w:rPr>
        <w:t>2</w:t>
      </w:r>
      <w:r w:rsidR="00F0156D">
        <w:rPr>
          <w:b/>
          <w:bCs/>
        </w:rPr>
        <w:t>9</w:t>
      </w:r>
      <w:r w:rsidRPr="002511DE">
        <w:rPr>
          <w:b/>
          <w:bCs/>
        </w:rPr>
        <w:t>.</w:t>
      </w:r>
      <w:r w:rsidRPr="002511DE">
        <w:t xml:space="preserve"> Publication bias funnel plots for the effect of </w:t>
      </w:r>
      <w:r>
        <w:t xml:space="preserve">soy </w:t>
      </w:r>
      <w:r w:rsidRPr="002511DE">
        <w:t xml:space="preserve">isoflavones on </w:t>
      </w:r>
      <w:r>
        <w:t>follicle-stimulating hormone</w:t>
      </w:r>
      <w:bookmarkEnd w:id="81"/>
      <w:bookmarkEnd w:id="82"/>
    </w:p>
    <w:p w14:paraId="31C94361" w14:textId="112AA4A7" w:rsidR="00B3010B" w:rsidRDefault="00B3010B" w:rsidP="002511DE"/>
    <w:p w14:paraId="2BFB47ED" w14:textId="60C4A079" w:rsidR="00B3010B" w:rsidRDefault="00B3010B" w:rsidP="002511DE">
      <w:r>
        <w:rPr>
          <w:noProof/>
        </w:rPr>
        <w:drawing>
          <wp:inline distT="0" distB="0" distL="0" distR="0" wp14:anchorId="2B64C807" wp14:editId="2C15F0D3">
            <wp:extent cx="5029200" cy="3657600"/>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pic:cNvPicPr/>
                  </pic:nvPicPr>
                  <pic:blipFill>
                    <a:blip r:embed="rId56">
                      <a:extLst>
                        <a:ext uri="{28A0092B-C50C-407E-A947-70E740481C1C}">
                          <a14:useLocalDpi xmlns:a14="http://schemas.microsoft.com/office/drawing/2010/main" val="0"/>
                        </a:ext>
                      </a:extLst>
                    </a:blip>
                    <a:stretch>
                      <a:fillRect/>
                    </a:stretch>
                  </pic:blipFill>
                  <pic:spPr>
                    <a:xfrm>
                      <a:off x="0" y="0"/>
                      <a:ext cx="5029200" cy="3657600"/>
                    </a:xfrm>
                    <a:prstGeom prst="rect">
                      <a:avLst/>
                    </a:prstGeom>
                  </pic:spPr>
                </pic:pic>
              </a:graphicData>
            </a:graphic>
          </wp:inline>
        </w:drawing>
      </w:r>
    </w:p>
    <w:p w14:paraId="724D2948" w14:textId="7C9B5671" w:rsidR="00B3010B" w:rsidRDefault="00B3010B" w:rsidP="002511DE"/>
    <w:p w14:paraId="77FB90BE" w14:textId="05DC309A" w:rsidR="00B3010B" w:rsidRPr="002511DE" w:rsidRDefault="00B3010B" w:rsidP="00B3010B">
      <w:pPr>
        <w:rPr>
          <w:sz w:val="16"/>
          <w:szCs w:val="16"/>
        </w:rPr>
      </w:pPr>
      <w:r w:rsidRPr="002511DE">
        <w:rPr>
          <w:sz w:val="16"/>
          <w:szCs w:val="16"/>
        </w:rPr>
        <w:t xml:space="preserve">Contour-enhanced funnel plot is a scatter-plot of each trial comparison weighted mean difference (MD) on the x-axis with the standard error (SE) representing precision on the y-axis. The vertical solid red line represents the pooled effect estimate and the dashed red lines represent the pseudo-95% confidence limits. The blue dots represent individual trial comparisons. The contour regions define the regions for the test of significance of individual study effect size for a given p-value range &gt;0.1 (dark grey), 0.5 to &lt;0.1 (medium grey), 0.01 to &lt;0.5 (light grey), &lt;0.01 (white)]. The contour-enhanced funnel plots may suggest funnel-plot asymmetry is due to publication bias when less precise (smaller) studies are missing in the non-significant regions. Quantitative assessment of publication bias was also performed using Egger's and Begg's tests set at a significance level of p&lt;0.05. </w:t>
      </w:r>
    </w:p>
    <w:p w14:paraId="08ECC628" w14:textId="77777777" w:rsidR="00B3010B" w:rsidRPr="002511DE" w:rsidRDefault="00B3010B" w:rsidP="00B3010B">
      <w:pPr>
        <w:rPr>
          <w:sz w:val="16"/>
          <w:szCs w:val="16"/>
        </w:rPr>
      </w:pPr>
    </w:p>
    <w:p w14:paraId="7E7AAD31" w14:textId="12A62ECC" w:rsidR="00B3010B" w:rsidRDefault="00B3010B" w:rsidP="00B3010B">
      <w:pPr>
        <w:rPr>
          <w:sz w:val="16"/>
          <w:szCs w:val="16"/>
        </w:rPr>
      </w:pPr>
      <w:r w:rsidRPr="002511DE">
        <w:rPr>
          <w:sz w:val="16"/>
          <w:szCs w:val="16"/>
        </w:rPr>
        <w:t>CI, confidence interval</w:t>
      </w:r>
    </w:p>
    <w:p w14:paraId="0C5E125E" w14:textId="77777777" w:rsidR="00B3010B" w:rsidRDefault="00B3010B">
      <w:pPr>
        <w:rPr>
          <w:sz w:val="16"/>
          <w:szCs w:val="16"/>
        </w:rPr>
      </w:pPr>
      <w:r>
        <w:rPr>
          <w:sz w:val="16"/>
          <w:szCs w:val="16"/>
        </w:rPr>
        <w:br w:type="page"/>
      </w:r>
    </w:p>
    <w:p w14:paraId="04E4926A" w14:textId="4C98052C" w:rsidR="00B3010B" w:rsidRDefault="00B3010B" w:rsidP="00CB4744">
      <w:pPr>
        <w:pStyle w:val="Heading1"/>
      </w:pPr>
      <w:bookmarkStart w:id="83" w:name="_Toc152764326"/>
      <w:bookmarkStart w:id="84" w:name="_Toc153356583"/>
      <w:r w:rsidRPr="002511DE">
        <w:rPr>
          <w:b/>
          <w:bCs/>
        </w:rPr>
        <w:lastRenderedPageBreak/>
        <w:t>Supplementa</w:t>
      </w:r>
      <w:r w:rsidR="005C5F52">
        <w:rPr>
          <w:b/>
          <w:bCs/>
        </w:rPr>
        <w:t>l</w:t>
      </w:r>
      <w:r w:rsidRPr="002511DE">
        <w:rPr>
          <w:b/>
          <w:bCs/>
        </w:rPr>
        <w:t xml:space="preserve"> Figure </w:t>
      </w:r>
      <w:r w:rsidR="00F0156D">
        <w:rPr>
          <w:b/>
          <w:bCs/>
        </w:rPr>
        <w:t>30</w:t>
      </w:r>
      <w:r w:rsidRPr="002511DE">
        <w:rPr>
          <w:b/>
          <w:bCs/>
        </w:rPr>
        <w:t>.</w:t>
      </w:r>
      <w:r w:rsidRPr="002511DE">
        <w:t xml:space="preserve"> Publication bias funnel plots for the effect of </w:t>
      </w:r>
      <w:r>
        <w:t xml:space="preserve">soy </w:t>
      </w:r>
      <w:r w:rsidRPr="002511DE">
        <w:t xml:space="preserve">isoflavones on </w:t>
      </w:r>
      <w:r>
        <w:t>estradiol</w:t>
      </w:r>
      <w:bookmarkEnd w:id="83"/>
      <w:bookmarkEnd w:id="84"/>
    </w:p>
    <w:p w14:paraId="126B9A5C" w14:textId="450D68C1" w:rsidR="00B3010B" w:rsidRDefault="00B3010B" w:rsidP="00B3010B"/>
    <w:p w14:paraId="6E502C6D" w14:textId="32CD39FD" w:rsidR="00B3010B" w:rsidRDefault="00B3010B" w:rsidP="002511DE">
      <w:r>
        <w:rPr>
          <w:noProof/>
        </w:rPr>
        <w:drawing>
          <wp:inline distT="0" distB="0" distL="0" distR="0" wp14:anchorId="4D16300A" wp14:editId="4B43F7A7">
            <wp:extent cx="5029200" cy="365760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Picture 55"/>
                    <pic:cNvPicPr/>
                  </pic:nvPicPr>
                  <pic:blipFill>
                    <a:blip r:embed="rId57">
                      <a:extLst>
                        <a:ext uri="{28A0092B-C50C-407E-A947-70E740481C1C}">
                          <a14:useLocalDpi xmlns:a14="http://schemas.microsoft.com/office/drawing/2010/main" val="0"/>
                        </a:ext>
                      </a:extLst>
                    </a:blip>
                    <a:stretch>
                      <a:fillRect/>
                    </a:stretch>
                  </pic:blipFill>
                  <pic:spPr>
                    <a:xfrm>
                      <a:off x="0" y="0"/>
                      <a:ext cx="5029200" cy="3657600"/>
                    </a:xfrm>
                    <a:prstGeom prst="rect">
                      <a:avLst/>
                    </a:prstGeom>
                  </pic:spPr>
                </pic:pic>
              </a:graphicData>
            </a:graphic>
          </wp:inline>
        </w:drawing>
      </w:r>
    </w:p>
    <w:p w14:paraId="0636711C" w14:textId="77777777" w:rsidR="00B3010B" w:rsidRDefault="00B3010B" w:rsidP="002511DE"/>
    <w:p w14:paraId="189EFB2B" w14:textId="23F83EC2" w:rsidR="00B3010B" w:rsidRPr="002511DE" w:rsidRDefault="00B3010B" w:rsidP="00B3010B">
      <w:pPr>
        <w:rPr>
          <w:sz w:val="16"/>
          <w:szCs w:val="16"/>
        </w:rPr>
      </w:pPr>
      <w:r w:rsidRPr="002511DE">
        <w:rPr>
          <w:sz w:val="16"/>
          <w:szCs w:val="16"/>
        </w:rPr>
        <w:t>Contour-enhanced funnel plot is a scatter-plot of each trial comparison weighted mean difference (MD) on the x-axis with the standard error (SE) representing precision on the y-axis. The vertical solid red line represents the pooled effect estimate and the dashed red lines represent the pseudo-95% confidence limits. The blue dots represent individual trial comparisons. The contour regions define the regions for the test of significance of individual study effect size for a given p-value range &gt;0.1 (dark grey), 0.5 to &lt;0.1 (medium grey), 0.01 to &lt;0.5 (light grey), &lt;0.01 (white)]. The contour-enhanced funnel plots may suggest funnel-plot asymmetry is due to publication bias when less precise (smaller) studies are missing in the non-significant regions. Quantitative assessment of publication bias was also performed using Egger's and Begg's tests set at a significance level of p&lt;0.05.</w:t>
      </w:r>
    </w:p>
    <w:p w14:paraId="26166C73" w14:textId="77777777" w:rsidR="00B3010B" w:rsidRPr="002511DE" w:rsidRDefault="00B3010B" w:rsidP="00B3010B">
      <w:pPr>
        <w:rPr>
          <w:sz w:val="16"/>
          <w:szCs w:val="16"/>
        </w:rPr>
      </w:pPr>
    </w:p>
    <w:p w14:paraId="454B4AB9" w14:textId="77777777" w:rsidR="00B3010B" w:rsidRDefault="00B3010B" w:rsidP="00B3010B">
      <w:pPr>
        <w:rPr>
          <w:sz w:val="16"/>
          <w:szCs w:val="16"/>
        </w:rPr>
      </w:pPr>
      <w:r w:rsidRPr="002511DE">
        <w:rPr>
          <w:sz w:val="16"/>
          <w:szCs w:val="16"/>
        </w:rPr>
        <w:t>CI, confidence interval</w:t>
      </w:r>
    </w:p>
    <w:p w14:paraId="68247559" w14:textId="77777777" w:rsidR="00B3010B" w:rsidRPr="00B3010B" w:rsidRDefault="00B3010B" w:rsidP="002511DE"/>
    <w:sectPr w:rsidR="00B3010B" w:rsidRPr="00B3010B" w:rsidSect="00041C4E">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9524DB" w14:textId="77777777" w:rsidR="00490972" w:rsidRDefault="00490972" w:rsidP="004A7E55">
      <w:r>
        <w:separator/>
      </w:r>
    </w:p>
  </w:endnote>
  <w:endnote w:type="continuationSeparator" w:id="0">
    <w:p w14:paraId="31F33018" w14:textId="77777777" w:rsidR="00490972" w:rsidRDefault="00490972" w:rsidP="004A7E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Cardo">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mo">
    <w:altName w:val="Calibri"/>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83229193"/>
      <w:docPartObj>
        <w:docPartGallery w:val="Page Numbers (Bottom of Page)"/>
        <w:docPartUnique/>
      </w:docPartObj>
    </w:sdtPr>
    <w:sdtContent>
      <w:p w14:paraId="450B66EF" w14:textId="71174EFE" w:rsidR="006C3266" w:rsidRDefault="006C3266" w:rsidP="004A7E5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7410937" w14:textId="77777777" w:rsidR="006C3266" w:rsidRDefault="006C32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00222910"/>
      <w:docPartObj>
        <w:docPartGallery w:val="Page Numbers (Bottom of Page)"/>
        <w:docPartUnique/>
      </w:docPartObj>
    </w:sdtPr>
    <w:sdtContent>
      <w:p w14:paraId="29141975" w14:textId="71D8B1D5" w:rsidR="006C3266" w:rsidRDefault="006C3266" w:rsidP="004A7E5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CAB7780" w14:textId="77777777" w:rsidR="006C3266" w:rsidRDefault="006C32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546384" w14:textId="77777777" w:rsidR="00490972" w:rsidRDefault="00490972" w:rsidP="004A7E55">
      <w:r>
        <w:separator/>
      </w:r>
    </w:p>
  </w:footnote>
  <w:footnote w:type="continuationSeparator" w:id="0">
    <w:p w14:paraId="0D20732F" w14:textId="77777777" w:rsidR="00490972" w:rsidRDefault="00490972" w:rsidP="004A7E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0806A5"/>
    <w:multiLevelType w:val="multilevel"/>
    <w:tmpl w:val="2604AD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58E4B46"/>
    <w:multiLevelType w:val="multilevel"/>
    <w:tmpl w:val="0AEA2B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76A7FF8"/>
    <w:multiLevelType w:val="multilevel"/>
    <w:tmpl w:val="692AE4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57488702">
    <w:abstractNumId w:val="2"/>
  </w:num>
  <w:num w:numId="2" w16cid:durableId="49425128">
    <w:abstractNumId w:val="1"/>
  </w:num>
  <w:num w:numId="3" w16cid:durableId="7264129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6BA2"/>
    <w:rsid w:val="00023AEE"/>
    <w:rsid w:val="00041C4E"/>
    <w:rsid w:val="000C02BC"/>
    <w:rsid w:val="000E4EDA"/>
    <w:rsid w:val="000F7CC4"/>
    <w:rsid w:val="00134DAC"/>
    <w:rsid w:val="00134F5B"/>
    <w:rsid w:val="001A5B35"/>
    <w:rsid w:val="001E732F"/>
    <w:rsid w:val="001F1A0F"/>
    <w:rsid w:val="002007E7"/>
    <w:rsid w:val="00217E3B"/>
    <w:rsid w:val="002511DE"/>
    <w:rsid w:val="002820C3"/>
    <w:rsid w:val="002860A3"/>
    <w:rsid w:val="002D504C"/>
    <w:rsid w:val="002E724D"/>
    <w:rsid w:val="0036033F"/>
    <w:rsid w:val="003E1FC2"/>
    <w:rsid w:val="003F6F20"/>
    <w:rsid w:val="00426C13"/>
    <w:rsid w:val="00446178"/>
    <w:rsid w:val="004471F3"/>
    <w:rsid w:val="004677B3"/>
    <w:rsid w:val="00490784"/>
    <w:rsid w:val="00490972"/>
    <w:rsid w:val="0049208A"/>
    <w:rsid w:val="004A7E55"/>
    <w:rsid w:val="004C530E"/>
    <w:rsid w:val="004F5919"/>
    <w:rsid w:val="005254ED"/>
    <w:rsid w:val="00553A30"/>
    <w:rsid w:val="00576E2A"/>
    <w:rsid w:val="005A426B"/>
    <w:rsid w:val="005C5F52"/>
    <w:rsid w:val="005C6153"/>
    <w:rsid w:val="006138E9"/>
    <w:rsid w:val="00665857"/>
    <w:rsid w:val="00681F35"/>
    <w:rsid w:val="006A15E4"/>
    <w:rsid w:val="006C3266"/>
    <w:rsid w:val="00735221"/>
    <w:rsid w:val="00746BA2"/>
    <w:rsid w:val="007528AA"/>
    <w:rsid w:val="007919F5"/>
    <w:rsid w:val="007A01EE"/>
    <w:rsid w:val="007B2DBE"/>
    <w:rsid w:val="007B71F1"/>
    <w:rsid w:val="007C0880"/>
    <w:rsid w:val="007C5A3D"/>
    <w:rsid w:val="007E32E0"/>
    <w:rsid w:val="00831DCB"/>
    <w:rsid w:val="00832071"/>
    <w:rsid w:val="00856F8C"/>
    <w:rsid w:val="00871EA1"/>
    <w:rsid w:val="00873EA4"/>
    <w:rsid w:val="00895025"/>
    <w:rsid w:val="00897A88"/>
    <w:rsid w:val="008A54D2"/>
    <w:rsid w:val="008B1B2B"/>
    <w:rsid w:val="009038D1"/>
    <w:rsid w:val="00947874"/>
    <w:rsid w:val="00956C93"/>
    <w:rsid w:val="0098183B"/>
    <w:rsid w:val="009A677B"/>
    <w:rsid w:val="009B57FF"/>
    <w:rsid w:val="009E56AE"/>
    <w:rsid w:val="009F3BD4"/>
    <w:rsid w:val="00A758C5"/>
    <w:rsid w:val="00A8204E"/>
    <w:rsid w:val="00A9662F"/>
    <w:rsid w:val="00AA38B7"/>
    <w:rsid w:val="00AC7149"/>
    <w:rsid w:val="00B15D45"/>
    <w:rsid w:val="00B173BE"/>
    <w:rsid w:val="00B3010B"/>
    <w:rsid w:val="00BA71F9"/>
    <w:rsid w:val="00C05B26"/>
    <w:rsid w:val="00C11084"/>
    <w:rsid w:val="00C16AF4"/>
    <w:rsid w:val="00C22D6E"/>
    <w:rsid w:val="00C268AB"/>
    <w:rsid w:val="00C33568"/>
    <w:rsid w:val="00C44B38"/>
    <w:rsid w:val="00C567CB"/>
    <w:rsid w:val="00CB4744"/>
    <w:rsid w:val="00D10D3B"/>
    <w:rsid w:val="00D201D3"/>
    <w:rsid w:val="00D311EC"/>
    <w:rsid w:val="00D51FDB"/>
    <w:rsid w:val="00D54058"/>
    <w:rsid w:val="00D56B4F"/>
    <w:rsid w:val="00DB0058"/>
    <w:rsid w:val="00DD5F90"/>
    <w:rsid w:val="00DF56F3"/>
    <w:rsid w:val="00E0654A"/>
    <w:rsid w:val="00ED0C75"/>
    <w:rsid w:val="00EE1339"/>
    <w:rsid w:val="00F0156D"/>
    <w:rsid w:val="00F2540F"/>
    <w:rsid w:val="00F31633"/>
    <w:rsid w:val="00F649F2"/>
    <w:rsid w:val="00F73EE3"/>
    <w:rsid w:val="00F82D60"/>
    <w:rsid w:val="00F86AFF"/>
    <w:rsid w:val="00FC7D22"/>
    <w:rsid w:val="00FF0F2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55DC0"/>
  <w15:chartTrackingRefBased/>
  <w15:docId w15:val="{A7D66F9D-72D5-354C-8BDD-5BCCC37CF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11DE"/>
    <w:rPr>
      <w:rFonts w:ascii="Times New Roman" w:eastAsia="Times New Roman" w:hAnsi="Times New Roman" w:cs="Times New Roman"/>
    </w:rPr>
  </w:style>
  <w:style w:type="paragraph" w:styleId="Heading1">
    <w:name w:val="heading 1"/>
    <w:basedOn w:val="Normal"/>
    <w:next w:val="Normal"/>
    <w:link w:val="Heading1Char"/>
    <w:uiPriority w:val="9"/>
    <w:qFormat/>
    <w:rsid w:val="00CB4744"/>
    <w:pPr>
      <w:keepNext/>
      <w:keepLines/>
      <w:spacing w:before="240"/>
      <w:outlineLvl w:val="0"/>
    </w:pPr>
    <w:rPr>
      <w:rFonts w:eastAsiaTheme="majorEastAsia" w:cstheme="majorBidi"/>
      <w:color w:val="000000" w:themeColor="text1"/>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46BA2"/>
    <w:rPr>
      <w:sz w:val="18"/>
      <w:szCs w:val="18"/>
    </w:rPr>
  </w:style>
  <w:style w:type="character" w:customStyle="1" w:styleId="BalloonTextChar">
    <w:name w:val="Balloon Text Char"/>
    <w:basedOn w:val="DefaultParagraphFont"/>
    <w:link w:val="BalloonText"/>
    <w:uiPriority w:val="99"/>
    <w:semiHidden/>
    <w:rsid w:val="00746BA2"/>
    <w:rPr>
      <w:rFonts w:ascii="Times New Roman" w:eastAsia="Times New Roman" w:hAnsi="Times New Roman" w:cs="Times New Roman"/>
      <w:sz w:val="18"/>
      <w:szCs w:val="18"/>
    </w:rPr>
  </w:style>
  <w:style w:type="paragraph" w:styleId="Footer">
    <w:name w:val="footer"/>
    <w:basedOn w:val="Normal"/>
    <w:link w:val="FooterChar"/>
    <w:uiPriority w:val="99"/>
    <w:unhideWhenUsed/>
    <w:rsid w:val="004A7E55"/>
    <w:pPr>
      <w:tabs>
        <w:tab w:val="center" w:pos="4680"/>
        <w:tab w:val="right" w:pos="9360"/>
      </w:tabs>
    </w:pPr>
  </w:style>
  <w:style w:type="character" w:customStyle="1" w:styleId="FooterChar">
    <w:name w:val="Footer Char"/>
    <w:basedOn w:val="DefaultParagraphFont"/>
    <w:link w:val="Footer"/>
    <w:uiPriority w:val="99"/>
    <w:rsid w:val="004A7E55"/>
    <w:rPr>
      <w:rFonts w:ascii="Times New Roman" w:eastAsia="Times New Roman" w:hAnsi="Times New Roman" w:cs="Times New Roman"/>
    </w:rPr>
  </w:style>
  <w:style w:type="character" w:styleId="PageNumber">
    <w:name w:val="page number"/>
    <w:basedOn w:val="DefaultParagraphFont"/>
    <w:uiPriority w:val="99"/>
    <w:semiHidden/>
    <w:unhideWhenUsed/>
    <w:rsid w:val="004A7E55"/>
  </w:style>
  <w:style w:type="paragraph" w:styleId="NormalWeb">
    <w:name w:val="Normal (Web)"/>
    <w:basedOn w:val="Normal"/>
    <w:uiPriority w:val="99"/>
    <w:semiHidden/>
    <w:unhideWhenUsed/>
    <w:rsid w:val="004A7E55"/>
    <w:pPr>
      <w:spacing w:before="100" w:beforeAutospacing="1" w:after="100" w:afterAutospacing="1"/>
    </w:pPr>
  </w:style>
  <w:style w:type="paragraph" w:styleId="Header">
    <w:name w:val="header"/>
    <w:basedOn w:val="Normal"/>
    <w:link w:val="HeaderChar"/>
    <w:uiPriority w:val="99"/>
    <w:unhideWhenUsed/>
    <w:rsid w:val="008A54D2"/>
    <w:pPr>
      <w:tabs>
        <w:tab w:val="center" w:pos="4680"/>
        <w:tab w:val="right" w:pos="9360"/>
      </w:tabs>
    </w:pPr>
  </w:style>
  <w:style w:type="character" w:customStyle="1" w:styleId="HeaderChar">
    <w:name w:val="Header Char"/>
    <w:basedOn w:val="DefaultParagraphFont"/>
    <w:link w:val="Header"/>
    <w:uiPriority w:val="99"/>
    <w:rsid w:val="008A54D2"/>
    <w:rPr>
      <w:rFonts w:ascii="Times New Roman" w:eastAsia="Times New Roman" w:hAnsi="Times New Roman" w:cs="Times New Roman"/>
    </w:rPr>
  </w:style>
  <w:style w:type="paragraph" w:customStyle="1" w:styleId="Default">
    <w:name w:val="Default"/>
    <w:rsid w:val="00FF0F2F"/>
    <w:pPr>
      <w:autoSpaceDE w:val="0"/>
      <w:autoSpaceDN w:val="0"/>
      <w:adjustRightInd w:val="0"/>
    </w:pPr>
    <w:rPr>
      <w:rFonts w:ascii="Times New Roman" w:hAnsi="Times New Roman" w:cs="Times New Roman"/>
      <w:color w:val="000000"/>
      <w:lang w:val="en-US"/>
    </w:rPr>
  </w:style>
  <w:style w:type="character" w:styleId="CommentReference">
    <w:name w:val="annotation reference"/>
    <w:basedOn w:val="DefaultParagraphFont"/>
    <w:uiPriority w:val="99"/>
    <w:semiHidden/>
    <w:unhideWhenUsed/>
    <w:rsid w:val="00D10D3B"/>
    <w:rPr>
      <w:sz w:val="16"/>
      <w:szCs w:val="16"/>
    </w:rPr>
  </w:style>
  <w:style w:type="paragraph" w:styleId="CommentText">
    <w:name w:val="annotation text"/>
    <w:basedOn w:val="Normal"/>
    <w:link w:val="CommentTextChar"/>
    <w:uiPriority w:val="99"/>
    <w:semiHidden/>
    <w:unhideWhenUsed/>
    <w:rsid w:val="00D10D3B"/>
    <w:rPr>
      <w:sz w:val="20"/>
      <w:szCs w:val="20"/>
    </w:rPr>
  </w:style>
  <w:style w:type="character" w:customStyle="1" w:styleId="CommentTextChar">
    <w:name w:val="Comment Text Char"/>
    <w:basedOn w:val="DefaultParagraphFont"/>
    <w:link w:val="CommentText"/>
    <w:uiPriority w:val="99"/>
    <w:semiHidden/>
    <w:rsid w:val="00D10D3B"/>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D10D3B"/>
    <w:rPr>
      <w:b/>
      <w:bCs/>
    </w:rPr>
  </w:style>
  <w:style w:type="character" w:customStyle="1" w:styleId="CommentSubjectChar">
    <w:name w:val="Comment Subject Char"/>
    <w:basedOn w:val="CommentTextChar"/>
    <w:link w:val="CommentSubject"/>
    <w:uiPriority w:val="99"/>
    <w:semiHidden/>
    <w:rsid w:val="00D10D3B"/>
    <w:rPr>
      <w:rFonts w:ascii="Times New Roman" w:eastAsia="Times New Roman" w:hAnsi="Times New Roman" w:cs="Times New Roman"/>
      <w:b/>
      <w:bCs/>
      <w:sz w:val="20"/>
      <w:szCs w:val="20"/>
    </w:rPr>
  </w:style>
  <w:style w:type="character" w:customStyle="1" w:styleId="Heading1Char">
    <w:name w:val="Heading 1 Char"/>
    <w:basedOn w:val="DefaultParagraphFont"/>
    <w:link w:val="Heading1"/>
    <w:uiPriority w:val="9"/>
    <w:rsid w:val="00CB4744"/>
    <w:rPr>
      <w:rFonts w:ascii="Times New Roman" w:eastAsiaTheme="majorEastAsia" w:hAnsi="Times New Roman" w:cstheme="majorBidi"/>
      <w:color w:val="000000" w:themeColor="text1"/>
      <w:szCs w:val="32"/>
    </w:rPr>
  </w:style>
  <w:style w:type="paragraph" w:styleId="TOCHeading">
    <w:name w:val="TOC Heading"/>
    <w:basedOn w:val="Heading1"/>
    <w:next w:val="Normal"/>
    <w:uiPriority w:val="39"/>
    <w:unhideWhenUsed/>
    <w:qFormat/>
    <w:rsid w:val="00CB4744"/>
    <w:pPr>
      <w:spacing w:before="480" w:line="276" w:lineRule="auto"/>
      <w:outlineLvl w:val="9"/>
    </w:pPr>
    <w:rPr>
      <w:rFonts w:asciiTheme="majorHAnsi" w:hAnsiTheme="majorHAnsi"/>
      <w:b/>
      <w:bCs/>
      <w:color w:val="2F5496" w:themeColor="accent1" w:themeShade="BF"/>
      <w:sz w:val="28"/>
      <w:szCs w:val="28"/>
      <w:lang w:val="en-US"/>
    </w:rPr>
  </w:style>
  <w:style w:type="paragraph" w:styleId="TOC1">
    <w:name w:val="toc 1"/>
    <w:basedOn w:val="Normal"/>
    <w:next w:val="Normal"/>
    <w:autoRedefine/>
    <w:uiPriority w:val="39"/>
    <w:unhideWhenUsed/>
    <w:rsid w:val="007528AA"/>
    <w:pPr>
      <w:spacing w:before="120"/>
    </w:pPr>
    <w:rPr>
      <w:rFonts w:cstheme="minorHAnsi"/>
      <w:bCs/>
      <w:iCs/>
      <w:sz w:val="20"/>
    </w:rPr>
  </w:style>
  <w:style w:type="character" w:styleId="Hyperlink">
    <w:name w:val="Hyperlink"/>
    <w:basedOn w:val="DefaultParagraphFont"/>
    <w:uiPriority w:val="99"/>
    <w:unhideWhenUsed/>
    <w:rsid w:val="00CB4744"/>
    <w:rPr>
      <w:color w:val="0563C1" w:themeColor="hyperlink"/>
      <w:u w:val="single"/>
    </w:rPr>
  </w:style>
  <w:style w:type="paragraph" w:styleId="TOC2">
    <w:name w:val="toc 2"/>
    <w:basedOn w:val="Normal"/>
    <w:next w:val="Normal"/>
    <w:autoRedefine/>
    <w:uiPriority w:val="39"/>
    <w:semiHidden/>
    <w:unhideWhenUsed/>
    <w:rsid w:val="00F86AFF"/>
    <w:pPr>
      <w:spacing w:before="120"/>
      <w:ind w:left="240"/>
    </w:pPr>
    <w:rPr>
      <w:rFonts w:asciiTheme="minorHAnsi" w:hAnsiTheme="minorHAnsi" w:cstheme="minorHAnsi"/>
      <w:b/>
      <w:bCs/>
      <w:sz w:val="22"/>
      <w:szCs w:val="22"/>
    </w:rPr>
  </w:style>
  <w:style w:type="paragraph" w:styleId="TOC3">
    <w:name w:val="toc 3"/>
    <w:basedOn w:val="Normal"/>
    <w:next w:val="Normal"/>
    <w:autoRedefine/>
    <w:uiPriority w:val="39"/>
    <w:semiHidden/>
    <w:unhideWhenUsed/>
    <w:rsid w:val="00CB4744"/>
    <w:pPr>
      <w:ind w:left="48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CB4744"/>
    <w:pPr>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CB4744"/>
    <w:pPr>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CB4744"/>
    <w:pPr>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CB4744"/>
    <w:pPr>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CB4744"/>
    <w:pPr>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CB4744"/>
    <w:pPr>
      <w:ind w:left="1920"/>
    </w:pPr>
    <w:rPr>
      <w:rFonts w:asciiTheme="minorHAnsi" w:hAnsiTheme="minorHAnsi" w:cstheme="minorHAnsi"/>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267902">
      <w:bodyDiv w:val="1"/>
      <w:marLeft w:val="0"/>
      <w:marRight w:val="0"/>
      <w:marTop w:val="0"/>
      <w:marBottom w:val="0"/>
      <w:divBdr>
        <w:top w:val="none" w:sz="0" w:space="0" w:color="auto"/>
        <w:left w:val="none" w:sz="0" w:space="0" w:color="auto"/>
        <w:bottom w:val="none" w:sz="0" w:space="0" w:color="auto"/>
        <w:right w:val="none" w:sz="0" w:space="0" w:color="auto"/>
      </w:divBdr>
    </w:div>
    <w:div w:id="145825497">
      <w:bodyDiv w:val="1"/>
      <w:marLeft w:val="0"/>
      <w:marRight w:val="0"/>
      <w:marTop w:val="0"/>
      <w:marBottom w:val="0"/>
      <w:divBdr>
        <w:top w:val="none" w:sz="0" w:space="0" w:color="auto"/>
        <w:left w:val="none" w:sz="0" w:space="0" w:color="auto"/>
        <w:bottom w:val="none" w:sz="0" w:space="0" w:color="auto"/>
        <w:right w:val="none" w:sz="0" w:space="0" w:color="auto"/>
      </w:divBdr>
    </w:div>
    <w:div w:id="306278627">
      <w:bodyDiv w:val="1"/>
      <w:marLeft w:val="0"/>
      <w:marRight w:val="0"/>
      <w:marTop w:val="0"/>
      <w:marBottom w:val="0"/>
      <w:divBdr>
        <w:top w:val="none" w:sz="0" w:space="0" w:color="auto"/>
        <w:left w:val="none" w:sz="0" w:space="0" w:color="auto"/>
        <w:bottom w:val="none" w:sz="0" w:space="0" w:color="auto"/>
        <w:right w:val="none" w:sz="0" w:space="0" w:color="auto"/>
      </w:divBdr>
    </w:div>
    <w:div w:id="325404166">
      <w:bodyDiv w:val="1"/>
      <w:marLeft w:val="0"/>
      <w:marRight w:val="0"/>
      <w:marTop w:val="0"/>
      <w:marBottom w:val="0"/>
      <w:divBdr>
        <w:top w:val="none" w:sz="0" w:space="0" w:color="auto"/>
        <w:left w:val="none" w:sz="0" w:space="0" w:color="auto"/>
        <w:bottom w:val="none" w:sz="0" w:space="0" w:color="auto"/>
        <w:right w:val="none" w:sz="0" w:space="0" w:color="auto"/>
      </w:divBdr>
    </w:div>
    <w:div w:id="567106250">
      <w:bodyDiv w:val="1"/>
      <w:marLeft w:val="0"/>
      <w:marRight w:val="0"/>
      <w:marTop w:val="0"/>
      <w:marBottom w:val="0"/>
      <w:divBdr>
        <w:top w:val="none" w:sz="0" w:space="0" w:color="auto"/>
        <w:left w:val="none" w:sz="0" w:space="0" w:color="auto"/>
        <w:bottom w:val="none" w:sz="0" w:space="0" w:color="auto"/>
        <w:right w:val="none" w:sz="0" w:space="0" w:color="auto"/>
      </w:divBdr>
    </w:div>
    <w:div w:id="591166617">
      <w:bodyDiv w:val="1"/>
      <w:marLeft w:val="0"/>
      <w:marRight w:val="0"/>
      <w:marTop w:val="0"/>
      <w:marBottom w:val="0"/>
      <w:divBdr>
        <w:top w:val="none" w:sz="0" w:space="0" w:color="auto"/>
        <w:left w:val="none" w:sz="0" w:space="0" w:color="auto"/>
        <w:bottom w:val="none" w:sz="0" w:space="0" w:color="auto"/>
        <w:right w:val="none" w:sz="0" w:space="0" w:color="auto"/>
      </w:divBdr>
    </w:div>
    <w:div w:id="657852003">
      <w:bodyDiv w:val="1"/>
      <w:marLeft w:val="0"/>
      <w:marRight w:val="0"/>
      <w:marTop w:val="0"/>
      <w:marBottom w:val="0"/>
      <w:divBdr>
        <w:top w:val="none" w:sz="0" w:space="0" w:color="auto"/>
        <w:left w:val="none" w:sz="0" w:space="0" w:color="auto"/>
        <w:bottom w:val="none" w:sz="0" w:space="0" w:color="auto"/>
        <w:right w:val="none" w:sz="0" w:space="0" w:color="auto"/>
      </w:divBdr>
    </w:div>
    <w:div w:id="1012680680">
      <w:bodyDiv w:val="1"/>
      <w:marLeft w:val="0"/>
      <w:marRight w:val="0"/>
      <w:marTop w:val="0"/>
      <w:marBottom w:val="0"/>
      <w:divBdr>
        <w:top w:val="none" w:sz="0" w:space="0" w:color="auto"/>
        <w:left w:val="none" w:sz="0" w:space="0" w:color="auto"/>
        <w:bottom w:val="none" w:sz="0" w:space="0" w:color="auto"/>
        <w:right w:val="none" w:sz="0" w:space="0" w:color="auto"/>
      </w:divBdr>
    </w:div>
    <w:div w:id="1189683868">
      <w:bodyDiv w:val="1"/>
      <w:marLeft w:val="0"/>
      <w:marRight w:val="0"/>
      <w:marTop w:val="0"/>
      <w:marBottom w:val="0"/>
      <w:divBdr>
        <w:top w:val="none" w:sz="0" w:space="0" w:color="auto"/>
        <w:left w:val="none" w:sz="0" w:space="0" w:color="auto"/>
        <w:bottom w:val="none" w:sz="0" w:space="0" w:color="auto"/>
        <w:right w:val="none" w:sz="0" w:space="0" w:color="auto"/>
      </w:divBdr>
    </w:div>
    <w:div w:id="1479805484">
      <w:bodyDiv w:val="1"/>
      <w:marLeft w:val="0"/>
      <w:marRight w:val="0"/>
      <w:marTop w:val="0"/>
      <w:marBottom w:val="0"/>
      <w:divBdr>
        <w:top w:val="none" w:sz="0" w:space="0" w:color="auto"/>
        <w:left w:val="none" w:sz="0" w:space="0" w:color="auto"/>
        <w:bottom w:val="none" w:sz="0" w:space="0" w:color="auto"/>
        <w:right w:val="none" w:sz="0" w:space="0" w:color="auto"/>
      </w:divBdr>
    </w:div>
    <w:div w:id="1486630651">
      <w:bodyDiv w:val="1"/>
      <w:marLeft w:val="0"/>
      <w:marRight w:val="0"/>
      <w:marTop w:val="0"/>
      <w:marBottom w:val="0"/>
      <w:divBdr>
        <w:top w:val="none" w:sz="0" w:space="0" w:color="auto"/>
        <w:left w:val="none" w:sz="0" w:space="0" w:color="auto"/>
        <w:bottom w:val="none" w:sz="0" w:space="0" w:color="auto"/>
        <w:right w:val="none" w:sz="0" w:space="0" w:color="auto"/>
      </w:divBdr>
      <w:divsChild>
        <w:div w:id="129246006">
          <w:marLeft w:val="-998"/>
          <w:marRight w:val="0"/>
          <w:marTop w:val="0"/>
          <w:marBottom w:val="0"/>
          <w:divBdr>
            <w:top w:val="none" w:sz="0" w:space="0" w:color="auto"/>
            <w:left w:val="none" w:sz="0" w:space="0" w:color="auto"/>
            <w:bottom w:val="none" w:sz="0" w:space="0" w:color="auto"/>
            <w:right w:val="none" w:sz="0" w:space="0" w:color="auto"/>
          </w:divBdr>
        </w:div>
      </w:divsChild>
    </w:div>
    <w:div w:id="1529946853">
      <w:bodyDiv w:val="1"/>
      <w:marLeft w:val="0"/>
      <w:marRight w:val="0"/>
      <w:marTop w:val="0"/>
      <w:marBottom w:val="0"/>
      <w:divBdr>
        <w:top w:val="none" w:sz="0" w:space="0" w:color="auto"/>
        <w:left w:val="none" w:sz="0" w:space="0" w:color="auto"/>
        <w:bottom w:val="none" w:sz="0" w:space="0" w:color="auto"/>
        <w:right w:val="none" w:sz="0" w:space="0" w:color="auto"/>
      </w:divBdr>
    </w:div>
    <w:div w:id="1807432926">
      <w:bodyDiv w:val="1"/>
      <w:marLeft w:val="0"/>
      <w:marRight w:val="0"/>
      <w:marTop w:val="0"/>
      <w:marBottom w:val="0"/>
      <w:divBdr>
        <w:top w:val="none" w:sz="0" w:space="0" w:color="auto"/>
        <w:left w:val="none" w:sz="0" w:space="0" w:color="auto"/>
        <w:bottom w:val="none" w:sz="0" w:space="0" w:color="auto"/>
        <w:right w:val="none" w:sz="0" w:space="0" w:color="auto"/>
      </w:divBdr>
    </w:div>
    <w:div w:id="1814638087">
      <w:bodyDiv w:val="1"/>
      <w:marLeft w:val="0"/>
      <w:marRight w:val="0"/>
      <w:marTop w:val="0"/>
      <w:marBottom w:val="0"/>
      <w:divBdr>
        <w:top w:val="none" w:sz="0" w:space="0" w:color="auto"/>
        <w:left w:val="none" w:sz="0" w:space="0" w:color="auto"/>
        <w:bottom w:val="none" w:sz="0" w:space="0" w:color="auto"/>
        <w:right w:val="none" w:sz="0" w:space="0" w:color="auto"/>
      </w:divBdr>
    </w:div>
    <w:div w:id="1846626704">
      <w:bodyDiv w:val="1"/>
      <w:marLeft w:val="0"/>
      <w:marRight w:val="0"/>
      <w:marTop w:val="0"/>
      <w:marBottom w:val="0"/>
      <w:divBdr>
        <w:top w:val="none" w:sz="0" w:space="0" w:color="auto"/>
        <w:left w:val="none" w:sz="0" w:space="0" w:color="auto"/>
        <w:bottom w:val="none" w:sz="0" w:space="0" w:color="auto"/>
        <w:right w:val="none" w:sz="0" w:space="0" w:color="auto"/>
      </w:divBdr>
    </w:div>
    <w:div w:id="1858108746">
      <w:bodyDiv w:val="1"/>
      <w:marLeft w:val="0"/>
      <w:marRight w:val="0"/>
      <w:marTop w:val="0"/>
      <w:marBottom w:val="0"/>
      <w:divBdr>
        <w:top w:val="none" w:sz="0" w:space="0" w:color="auto"/>
        <w:left w:val="none" w:sz="0" w:space="0" w:color="auto"/>
        <w:bottom w:val="none" w:sz="0" w:space="0" w:color="auto"/>
        <w:right w:val="none" w:sz="0" w:space="0" w:color="auto"/>
      </w:divBdr>
    </w:div>
    <w:div w:id="2065443727">
      <w:bodyDiv w:val="1"/>
      <w:marLeft w:val="0"/>
      <w:marRight w:val="0"/>
      <w:marTop w:val="0"/>
      <w:marBottom w:val="0"/>
      <w:divBdr>
        <w:top w:val="none" w:sz="0" w:space="0" w:color="auto"/>
        <w:left w:val="none" w:sz="0" w:space="0" w:color="auto"/>
        <w:bottom w:val="none" w:sz="0" w:space="0" w:color="auto"/>
        <w:right w:val="none" w:sz="0" w:space="0" w:color="auto"/>
      </w:divBdr>
    </w:div>
    <w:div w:id="2068869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emf"/><Relationship Id="rId18" Type="http://schemas.openxmlformats.org/officeDocument/2006/relationships/image" Target="media/image9.png"/><Relationship Id="rId26" Type="http://schemas.openxmlformats.org/officeDocument/2006/relationships/image" Target="media/image17.emf"/><Relationship Id="rId39" Type="http://schemas.openxmlformats.org/officeDocument/2006/relationships/image" Target="media/image30.emf"/><Relationship Id="rId21" Type="http://schemas.openxmlformats.org/officeDocument/2006/relationships/image" Target="media/image12.png"/><Relationship Id="rId34" Type="http://schemas.openxmlformats.org/officeDocument/2006/relationships/image" Target="media/image25.emf"/><Relationship Id="rId42" Type="http://schemas.openxmlformats.org/officeDocument/2006/relationships/image" Target="media/image33.emf"/><Relationship Id="rId47" Type="http://schemas.openxmlformats.org/officeDocument/2006/relationships/image" Target="media/image38.emf"/><Relationship Id="rId50" Type="http://schemas.openxmlformats.org/officeDocument/2006/relationships/image" Target="media/image41.emf"/><Relationship Id="rId55" Type="http://schemas.openxmlformats.org/officeDocument/2006/relationships/image" Target="media/image46.emf"/><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emf"/><Relationship Id="rId11" Type="http://schemas.openxmlformats.org/officeDocument/2006/relationships/image" Target="media/image2.emf"/><Relationship Id="rId24" Type="http://schemas.openxmlformats.org/officeDocument/2006/relationships/image" Target="media/image15.emf"/><Relationship Id="rId32" Type="http://schemas.openxmlformats.org/officeDocument/2006/relationships/image" Target="media/image23.emf"/><Relationship Id="rId37" Type="http://schemas.openxmlformats.org/officeDocument/2006/relationships/image" Target="media/image28.emf"/><Relationship Id="rId40" Type="http://schemas.openxmlformats.org/officeDocument/2006/relationships/image" Target="media/image31.emf"/><Relationship Id="rId45" Type="http://schemas.openxmlformats.org/officeDocument/2006/relationships/image" Target="media/image36.emf"/><Relationship Id="rId53" Type="http://schemas.openxmlformats.org/officeDocument/2006/relationships/image" Target="media/image44.emf"/><Relationship Id="rId58" Type="http://schemas.openxmlformats.org/officeDocument/2006/relationships/fontTable" Target="fontTable.xml"/><Relationship Id="rId5" Type="http://schemas.openxmlformats.org/officeDocument/2006/relationships/webSettings" Target="webSettings.xml"/><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emf"/><Relationship Id="rId22" Type="http://schemas.openxmlformats.org/officeDocument/2006/relationships/image" Target="media/image13.png"/><Relationship Id="rId27" Type="http://schemas.openxmlformats.org/officeDocument/2006/relationships/image" Target="media/image18.emf"/><Relationship Id="rId30" Type="http://schemas.openxmlformats.org/officeDocument/2006/relationships/image" Target="media/image21.emf"/><Relationship Id="rId35" Type="http://schemas.openxmlformats.org/officeDocument/2006/relationships/image" Target="media/image26.emf"/><Relationship Id="rId43" Type="http://schemas.openxmlformats.org/officeDocument/2006/relationships/image" Target="media/image34.emf"/><Relationship Id="rId48" Type="http://schemas.openxmlformats.org/officeDocument/2006/relationships/image" Target="media/image39.emf"/><Relationship Id="rId56" Type="http://schemas.openxmlformats.org/officeDocument/2006/relationships/image" Target="media/image47.emf"/><Relationship Id="rId8" Type="http://schemas.openxmlformats.org/officeDocument/2006/relationships/footer" Target="footer1.xml"/><Relationship Id="rId51" Type="http://schemas.openxmlformats.org/officeDocument/2006/relationships/image" Target="media/image42.emf"/><Relationship Id="rId3" Type="http://schemas.openxmlformats.org/officeDocument/2006/relationships/styles" Target="styles.xml"/><Relationship Id="rId12" Type="http://schemas.openxmlformats.org/officeDocument/2006/relationships/image" Target="media/image3.emf"/><Relationship Id="rId17" Type="http://schemas.openxmlformats.org/officeDocument/2006/relationships/image" Target="media/image8.png"/><Relationship Id="rId25" Type="http://schemas.openxmlformats.org/officeDocument/2006/relationships/image" Target="media/image16.emf"/><Relationship Id="rId33" Type="http://schemas.openxmlformats.org/officeDocument/2006/relationships/image" Target="media/image24.emf"/><Relationship Id="rId38" Type="http://schemas.openxmlformats.org/officeDocument/2006/relationships/image" Target="media/image29.emf"/><Relationship Id="rId46" Type="http://schemas.openxmlformats.org/officeDocument/2006/relationships/image" Target="media/image37.emf"/><Relationship Id="rId59" Type="http://schemas.openxmlformats.org/officeDocument/2006/relationships/theme" Target="theme/theme1.xml"/><Relationship Id="rId20" Type="http://schemas.openxmlformats.org/officeDocument/2006/relationships/image" Target="media/image11.png"/><Relationship Id="rId41" Type="http://schemas.openxmlformats.org/officeDocument/2006/relationships/image" Target="media/image32.emf"/><Relationship Id="rId54" Type="http://schemas.openxmlformats.org/officeDocument/2006/relationships/image" Target="media/image45.e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emf"/><Relationship Id="rId23" Type="http://schemas.openxmlformats.org/officeDocument/2006/relationships/image" Target="media/image14.png"/><Relationship Id="rId28" Type="http://schemas.openxmlformats.org/officeDocument/2006/relationships/image" Target="media/image19.emf"/><Relationship Id="rId36" Type="http://schemas.openxmlformats.org/officeDocument/2006/relationships/image" Target="media/image27.emf"/><Relationship Id="rId49" Type="http://schemas.openxmlformats.org/officeDocument/2006/relationships/image" Target="media/image40.emf"/><Relationship Id="rId57" Type="http://schemas.openxmlformats.org/officeDocument/2006/relationships/image" Target="media/image48.emf"/><Relationship Id="rId10" Type="http://schemas.openxmlformats.org/officeDocument/2006/relationships/image" Target="media/image1.emf"/><Relationship Id="rId31" Type="http://schemas.openxmlformats.org/officeDocument/2006/relationships/image" Target="media/image22.emf"/><Relationship Id="rId44" Type="http://schemas.openxmlformats.org/officeDocument/2006/relationships/image" Target="media/image35.emf"/><Relationship Id="rId52" Type="http://schemas.openxmlformats.org/officeDocument/2006/relationships/image" Target="media/image4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33FF64-50C0-9B45-B5AC-4D7499D7E2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64</Pages>
  <Words>9300</Words>
  <Characters>53011</Characters>
  <Application>Microsoft Office Word</Application>
  <DocSecurity>0</DocSecurity>
  <Lines>441</Lines>
  <Paragraphs>124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Gabrielle Viscardi</dc:creator>
  <cp:keywords/>
  <dc:description/>
  <cp:lastModifiedBy>Laura Chiavaroli</cp:lastModifiedBy>
  <cp:revision>11</cp:revision>
  <dcterms:created xsi:type="dcterms:W3CDTF">2023-12-19T02:28:00Z</dcterms:created>
  <dcterms:modified xsi:type="dcterms:W3CDTF">2024-01-04T02:31:00Z</dcterms:modified>
</cp:coreProperties>
</file>