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482" w:hanging="480" w:hangingChars="200"/>
        <w:jc w:val="center"/>
      </w:pPr>
      <w:r>
        <w:rPr>
          <w:rFonts w:hint="default" w:ascii="Times New Roman" w:hAnsi="Times New Roman" w:cs="Times New Roman"/>
          <w:color w:val="231F20"/>
          <w:sz w:val="24"/>
          <w:szCs w:val="24"/>
          <w:lang w:val="en-US" w:eastAsia="zh-CN"/>
        </w:rPr>
        <w:t>Table S</w:t>
      </w:r>
      <w:r>
        <w:rPr>
          <w:rFonts w:hint="eastAsia" w:ascii="Times New Roman" w:hAnsi="Times New Roman" w:cs="Times New Roman"/>
          <w:color w:val="231F20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/>
          <w:b/>
          <w:bCs/>
          <w:sz w:val="24"/>
          <w:szCs w:val="24"/>
          <w:highlight w:val="none"/>
          <w:lang w:val="en-GB" w:eastAsia="zh-CN"/>
        </w:rPr>
        <w:t xml:space="preserve"> </w:t>
      </w:r>
      <w:r>
        <w:rPr>
          <w:rFonts w:hint="eastAsia" w:ascii="Times New Roman" w:hAnsi="Times New Roman" w:eastAsia="宋体"/>
          <w:b/>
          <w:bCs/>
          <w:sz w:val="24"/>
          <w:szCs w:val="24"/>
          <w:highlight w:val="none"/>
          <w:lang w:val="en-US" w:eastAsia="zh-CN"/>
        </w:rPr>
        <w:t xml:space="preserve">List of primer sequences used for tissue-specific analysis of </w:t>
      </w:r>
      <w:r>
        <w:rPr>
          <w:rFonts w:ascii="Times New Roman" w:hAnsi="Times New Roman"/>
          <w:b/>
          <w:bCs/>
          <w:sz w:val="24"/>
          <w:szCs w:val="24"/>
          <w:highlight w:val="none"/>
          <w:lang w:val="en-GB"/>
        </w:rPr>
        <w:t xml:space="preserve">36 </w:t>
      </w:r>
      <w:r>
        <w:rPr>
          <w:rFonts w:ascii="Times New Roman" w:hAnsi="Times New Roman"/>
          <w:b/>
          <w:bCs/>
          <w:i/>
          <w:sz w:val="24"/>
          <w:szCs w:val="24"/>
          <w:highlight w:val="none"/>
          <w:lang w:val="en-GB"/>
        </w:rPr>
        <w:t>CmHsf</w:t>
      </w:r>
      <w:r>
        <w:rPr>
          <w:rFonts w:ascii="Times New Roman" w:hAnsi="Times New Roman"/>
          <w:b/>
          <w:bCs/>
          <w:sz w:val="24"/>
          <w:szCs w:val="24"/>
          <w:highlight w:val="none"/>
          <w:lang w:val="en-GB"/>
        </w:rPr>
        <w:t xml:space="preserve"> gene</w:t>
      </w:r>
      <w:r>
        <w:rPr>
          <w:rFonts w:hint="eastAsia" w:ascii="Times New Roman" w:hAnsi="Times New Roman" w:eastAsia="宋体"/>
          <w:b/>
          <w:bCs/>
          <w:sz w:val="24"/>
          <w:szCs w:val="24"/>
          <w:highlight w:val="none"/>
          <w:lang w:val="en-US" w:eastAsia="zh-CN"/>
        </w:rPr>
        <w:t>s.</w:t>
      </w:r>
      <w:bookmarkStart w:id="0" w:name="_GoBack"/>
      <w:bookmarkEnd w:id="0"/>
    </w:p>
    <w:tbl>
      <w:tblPr>
        <w:tblStyle w:val="2"/>
        <w:tblW w:w="530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4185"/>
        <w:gridCol w:w="390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bidi="ar"/>
              </w:rPr>
              <w:t>ene name</w:t>
            </w:r>
          </w:p>
        </w:tc>
        <w:tc>
          <w:tcPr>
            <w:tcW w:w="2367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Forward primer</w:t>
            </w:r>
          </w:p>
        </w:tc>
        <w:tc>
          <w:tcPr>
            <w:tcW w:w="2206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 xml:space="preserve">Reverse 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rimer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</w:t>
            </w:r>
          </w:p>
        </w:tc>
        <w:tc>
          <w:tcPr>
            <w:tcW w:w="236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CCACCACCGACCATATTG</w:t>
            </w:r>
          </w:p>
        </w:tc>
        <w:tc>
          <w:tcPr>
            <w:tcW w:w="2206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GAGAAGTTGTTGTGCTTGAA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CTGGAGAGGCAAGAACTG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CCATATCTGCTGACACATTG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CCGTCAACTTAACACTTATGG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CCGACAATGCTACCTTCC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CmHsf4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CAAGCAACAACACGAGGTA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GTTCTCATCCATTAGCGTATTG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CmHsf5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GGAAGGAGGAGAAGAAGAAG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AGATTGCTGCTCGTCATC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CmHsf6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AACCAGATGCTTGCTACTC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GAGGCTGCTGAATCTTCTT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CmHsf7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GCTGTGGAAGGAAGTTGA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GCATCTTGTTCTCTGAAGTT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CmHsf8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TGTGGAAGGAAGTTGAGAG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GCATCTGCTGTTGATTCTT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CmHsf9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AAGAGGAGGAGACATTCAAC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TTACCAATTCCGCCATTAAC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CmHsf10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TTCCTTACAACCATCACCAT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ATATGCTCGTCCGAATCTG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CmHsf11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GCTCAACACCTATGGATTC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GTCTTCACGCTTCACTTG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CmHsf12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AATGCCAAGCCAATCACTA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CAGCGGTATCCTCATCAATA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CmHsf13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TGTGAAGACGGTGAATCG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GCAAGCGGAATAAGAACTC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CmHsf14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CACAGTCAGCAACAACCA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GCCTCTCAACCTCTTCCT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CmHsf15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GACCACCGATGATGTCAT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GCTAGAGAAGTTGCTATGTT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CmHsf16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TCATCAAGACCTACGATATGG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GAAGAAGGCGAGCGAATT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CmHsf17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TTCATCCAACAACTCATCCA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GTCATATTCGTCGGAGGTT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CmHsf18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ACCAGTTCATAGCCATTCG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GCCTCTCAACCTCTTCCT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CmHsf19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CGGTTGGTCAGAGGAATG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TGCTTTGAATCGGGCTATT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CmHsf20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CCGAGTTCGCTTCAGATT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CGACGGAAGTTGTTGTTG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CmHsf21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AGCCACAACACCAACAAT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TTAGTGCCAGAGGAGGAG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CmHsf22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CGACAGCTCAATACTTACG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GACGGCGGAATTACTACA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CmHsf23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TCCTCCTCCTCCTCAGAT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AGATGATGTCGGAGTAGAGA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CmHsf24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CTTATCAGATGGTCAACGAT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GCTGGAGAAGTTATTATGCT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CmHsf25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ACTTCCTCCTCCGATTCC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ATGATGTCCGAGTAGAGATTC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CmHsf26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CAAGTAATGGCTATGGAGGA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TTCTGAATGAAGGACGGATT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CmHsf27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ATCTCCTCCGCTAACTGAA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CAACACAACTCCTTGATACTC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CmHsf28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CGGCGTAATTCTCCTTCTAT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CCATACACAGCAGCACAA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CmHsf29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TACCGACTTCTTGAGACTTG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ACCAATCACCATCCATTCTT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CmHsf30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GCTTCATTCGGCAACTTAA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GACGGTGGATGTTCTTCA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CmHsf31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AAGTGGCGTTGTCTTCAG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GATGTCACCTGCTCTTCC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CmHsf32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GATTCAGCGTCGGAAGTT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TCGTCGGAGTCTCATCAG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CmHsf33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CAATCGCAGCAGTCTCAT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CCTCAATCTCACAAGTTCCT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CmHsf34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GCGTATCTTCAAGCAATGG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GCACCTTCCTCTTCTCCT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CmHsf35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TGACCACTGCTTCTAACTC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CATCAATCAACTCCACAAGA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CmHsf36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GAATACAAGAGCCTACCTACA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TGCTGAATGAAGTCTGGATT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6"/>
                <w:szCs w:val="16"/>
                <w:highlight w:val="none"/>
                <w:lang w:val="en-US" w:eastAsia="zh-CN"/>
              </w:rPr>
              <w:t>β-Actin</w:t>
            </w:r>
          </w:p>
        </w:tc>
        <w:tc>
          <w:tcPr>
            <w:tcW w:w="2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 w:eastAsia="zh-CN"/>
              </w:rPr>
              <w:t>GTGCCTGCTATGTATGTTGCC</w:t>
            </w:r>
          </w:p>
        </w:tc>
        <w:tc>
          <w:tcPr>
            <w:tcW w:w="220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 w:eastAsia="zh-CN"/>
              </w:rPr>
              <w:t>GGTCCAAACGGAGAATGGCATG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D28A3"/>
    <w:rsid w:val="20DE703F"/>
    <w:rsid w:val="25B76816"/>
    <w:rsid w:val="2F122B29"/>
    <w:rsid w:val="423D42C3"/>
    <w:rsid w:val="47D66040"/>
    <w:rsid w:val="5F1D3890"/>
    <w:rsid w:val="642F7CDA"/>
    <w:rsid w:val="6F911864"/>
    <w:rsid w:val="7BF6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51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JP YUAN</cp:lastModifiedBy>
  <dcterms:modified xsi:type="dcterms:W3CDTF">2020-06-24T00:52:27Z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