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245AD" w14:textId="79703F11" w:rsidR="00740EB6" w:rsidRPr="00740EB6" w:rsidRDefault="00740EB6" w:rsidP="00740EB6">
      <w:pPr>
        <w:rPr>
          <w:rFonts w:ascii="Arial" w:hAnsi="Arial" w:cs="Arial"/>
          <w:color w:val="000000"/>
          <w:szCs w:val="21"/>
        </w:rPr>
      </w:pPr>
      <w:r w:rsidRPr="00740EB6">
        <w:rPr>
          <w:rFonts w:ascii="Arial" w:hAnsi="Arial" w:cs="Arial"/>
          <w:color w:val="000000"/>
          <w:szCs w:val="21"/>
        </w:rPr>
        <w:t>S</w:t>
      </w:r>
      <w:r w:rsidRPr="00740EB6">
        <w:rPr>
          <w:rFonts w:ascii="Arial" w:hAnsi="Arial" w:cs="Arial"/>
          <w:color w:val="000000"/>
          <w:szCs w:val="21"/>
        </w:rPr>
        <w:t>upplementary figure legends</w:t>
      </w:r>
    </w:p>
    <w:p w14:paraId="309B85AF" w14:textId="77777777" w:rsidR="00740EB6" w:rsidRPr="00740EB6" w:rsidRDefault="00740EB6" w:rsidP="00740EB6">
      <w:pPr>
        <w:rPr>
          <w:rFonts w:ascii="Arial" w:hAnsi="Arial" w:cs="Arial"/>
          <w:color w:val="000000"/>
          <w:szCs w:val="21"/>
        </w:rPr>
      </w:pPr>
    </w:p>
    <w:p w14:paraId="19675E7F" w14:textId="77308DC7" w:rsidR="00740EB6" w:rsidRPr="00740EB6" w:rsidRDefault="00740EB6" w:rsidP="00740EB6">
      <w:pPr>
        <w:rPr>
          <w:rFonts w:ascii="Arial" w:hAnsi="Arial" w:cs="Arial"/>
        </w:rPr>
      </w:pPr>
      <w:r w:rsidRPr="00740EB6">
        <w:rPr>
          <w:rFonts w:ascii="Arial" w:hAnsi="Arial" w:cs="Arial"/>
        </w:rPr>
        <w:t>Figure S1: Correlation between age and (a) anti-SARS-CoV-2 spike protein IgG antibody titers, (b, c, d) the neutralizing antibody titer against (b) WT, (c) BA.1 and (d) BA.5</w:t>
      </w:r>
      <w:proofErr w:type="gramStart"/>
      <w:r w:rsidRPr="00740EB6">
        <w:rPr>
          <w:rFonts w:ascii="Arial" w:hAnsi="Arial" w:cs="Arial"/>
        </w:rPr>
        <w:t>) .</w:t>
      </w:r>
      <w:proofErr w:type="gramEnd"/>
    </w:p>
    <w:p w14:paraId="2DA0FF96" w14:textId="1CBC06ED" w:rsidR="00740EB6" w:rsidRPr="00740EB6" w:rsidRDefault="00740EB6" w:rsidP="00740EB6">
      <w:pPr>
        <w:rPr>
          <w:rFonts w:ascii="Arial" w:hAnsi="Arial" w:cs="Arial"/>
        </w:rPr>
      </w:pPr>
      <w:r w:rsidRPr="00740EB6">
        <w:rPr>
          <w:rFonts w:ascii="Arial" w:hAnsi="Arial" w:cs="Arial"/>
        </w:rPr>
        <w:t>Age is not correlated with anti-SARS-CoV-2 spike protein IgG antibody titers or neutralizing antibody titers</w:t>
      </w:r>
      <w:r w:rsidRPr="00740EB6">
        <w:rPr>
          <w:rFonts w:ascii="Arial" w:hAnsi="Arial" w:cs="Arial"/>
        </w:rPr>
        <w:t>.</w:t>
      </w:r>
    </w:p>
    <w:p w14:paraId="57757389" w14:textId="77777777" w:rsidR="00740EB6" w:rsidRPr="00740EB6" w:rsidRDefault="00740EB6" w:rsidP="00740EB6">
      <w:pPr>
        <w:rPr>
          <w:rFonts w:ascii="Arial" w:hAnsi="Arial" w:cs="Arial"/>
        </w:rPr>
      </w:pPr>
    </w:p>
    <w:p w14:paraId="770B680E" w14:textId="77777777" w:rsidR="00740EB6" w:rsidRPr="00740EB6" w:rsidRDefault="00740EB6" w:rsidP="00740EB6">
      <w:pPr>
        <w:rPr>
          <w:rFonts w:ascii="Arial" w:hAnsi="Arial" w:cs="Arial"/>
        </w:rPr>
      </w:pPr>
      <w:r w:rsidRPr="00740EB6">
        <w:rPr>
          <w:rFonts w:ascii="Arial" w:hAnsi="Arial" w:cs="Arial"/>
        </w:rPr>
        <w:t>Figure S2: The quality check of GFP-carrying recombinant SARS-CoV-2 with spike protein of WT, BA.1, or BA.5 generated by reverse genetics.</w:t>
      </w:r>
    </w:p>
    <w:p w14:paraId="0BA3E005" w14:textId="3647C9B6" w:rsidR="00740EB6" w:rsidRPr="00740EB6" w:rsidRDefault="00740EB6" w:rsidP="00740EB6">
      <w:pPr>
        <w:rPr>
          <w:rFonts w:ascii="Arial" w:hAnsi="Arial" w:cs="Arial"/>
        </w:rPr>
      </w:pPr>
      <w:r w:rsidRPr="00740EB6">
        <w:rPr>
          <w:rFonts w:ascii="Arial" w:hAnsi="Arial" w:cs="Arial"/>
        </w:rPr>
        <w:t>(</w:t>
      </w:r>
      <w:r w:rsidRPr="00740EB6">
        <w:rPr>
          <w:rFonts w:ascii="Arial" w:hAnsi="Arial" w:cs="Arial"/>
        </w:rPr>
        <w:t>a</w:t>
      </w:r>
      <w:r w:rsidRPr="00740EB6">
        <w:rPr>
          <w:rFonts w:ascii="Arial" w:hAnsi="Arial" w:cs="Arial"/>
        </w:rPr>
        <w:t xml:space="preserve"> and </w:t>
      </w:r>
      <w:r w:rsidRPr="00740EB6">
        <w:rPr>
          <w:rFonts w:ascii="Arial" w:hAnsi="Arial" w:cs="Arial"/>
        </w:rPr>
        <w:t>b</w:t>
      </w:r>
      <w:r w:rsidRPr="00740EB6">
        <w:rPr>
          <w:rFonts w:ascii="Arial" w:hAnsi="Arial" w:cs="Arial"/>
        </w:rPr>
        <w:t>) VeroE6/TMPRSS2 cells were infected with these viruses (MOI=0.1). After 36 hours post-infection, the expression of GFP in VeroE6/TMPRSS2 cells was observed by florescent microscopy (</w:t>
      </w:r>
      <w:r w:rsidRPr="00740EB6">
        <w:rPr>
          <w:rFonts w:ascii="Arial" w:hAnsi="Arial" w:cs="Arial"/>
        </w:rPr>
        <w:t>a</w:t>
      </w:r>
      <w:r w:rsidRPr="00740EB6">
        <w:rPr>
          <w:rFonts w:ascii="Arial" w:hAnsi="Arial" w:cs="Arial"/>
        </w:rPr>
        <w:t>) and the copy number of the viral RNA in the cellular supernatants were determined by RT-qPCR (</w:t>
      </w:r>
      <w:r w:rsidRPr="00740EB6">
        <w:rPr>
          <w:rFonts w:ascii="Arial" w:hAnsi="Arial" w:cs="Arial"/>
        </w:rPr>
        <w:t>b</w:t>
      </w:r>
      <w:r w:rsidRPr="00740EB6">
        <w:rPr>
          <w:rFonts w:ascii="Arial" w:hAnsi="Arial" w:cs="Arial"/>
        </w:rPr>
        <w:t xml:space="preserve">). </w:t>
      </w:r>
    </w:p>
    <w:p w14:paraId="7F68FBF8" w14:textId="77777777" w:rsidR="00740EB6" w:rsidRPr="00740EB6" w:rsidRDefault="00740EB6" w:rsidP="00740EB6">
      <w:pPr>
        <w:rPr>
          <w:rFonts w:ascii="Arial" w:hAnsi="Arial" w:cs="Arial"/>
        </w:rPr>
      </w:pPr>
    </w:p>
    <w:p w14:paraId="4DCE0602" w14:textId="77777777" w:rsidR="00740EB6" w:rsidRPr="00740EB6" w:rsidRDefault="00740EB6" w:rsidP="00740EB6">
      <w:pPr>
        <w:rPr>
          <w:rFonts w:ascii="Arial" w:hAnsi="Arial" w:cs="Arial"/>
        </w:rPr>
      </w:pPr>
      <w:r w:rsidRPr="00740EB6">
        <w:rPr>
          <w:rFonts w:ascii="Arial" w:hAnsi="Arial" w:cs="Arial"/>
        </w:rPr>
        <w:t>Figure S3 Gating strategy for antigen-specific CD4</w:t>
      </w:r>
      <w:r w:rsidRPr="00740EB6">
        <w:rPr>
          <w:rFonts w:ascii="Arial" w:hAnsi="Arial" w:cs="Arial"/>
          <w:vertAlign w:val="superscript"/>
        </w:rPr>
        <w:t>+</w:t>
      </w:r>
      <w:r w:rsidRPr="00740EB6">
        <w:rPr>
          <w:rFonts w:ascii="Arial" w:hAnsi="Arial" w:cs="Arial"/>
        </w:rPr>
        <w:t xml:space="preserve"> and CD8</w:t>
      </w:r>
      <w:r w:rsidRPr="00740EB6">
        <w:rPr>
          <w:rFonts w:ascii="Arial" w:hAnsi="Arial" w:cs="Arial"/>
          <w:vertAlign w:val="superscript"/>
        </w:rPr>
        <w:t>+</w:t>
      </w:r>
      <w:r w:rsidRPr="00740EB6">
        <w:rPr>
          <w:rFonts w:ascii="Arial" w:hAnsi="Arial" w:cs="Arial"/>
        </w:rPr>
        <w:t xml:space="preserve"> T-cells.</w:t>
      </w:r>
    </w:p>
    <w:p w14:paraId="73C96546" w14:textId="271AC110" w:rsidR="00740EB6" w:rsidRPr="00740EB6" w:rsidRDefault="00740EB6" w:rsidP="00740EB6">
      <w:pPr>
        <w:rPr>
          <w:rFonts w:ascii="Arial" w:hAnsi="Arial" w:cs="Arial"/>
        </w:rPr>
      </w:pPr>
      <w:r w:rsidRPr="00740EB6">
        <w:rPr>
          <w:rFonts w:ascii="Arial" w:hAnsi="Arial" w:cs="Arial"/>
        </w:rPr>
        <w:t>After gating live single T-cells, based on forward scatter area and height (FSC-A and -H), side scatter area (SSC-A), live/dead cell exclusion, and CD3 staining, we separated the peripheral blood mononuclear cells (PBMCs) into CD4</w:t>
      </w:r>
      <w:r w:rsidRPr="00740EB6">
        <w:rPr>
          <w:rFonts w:ascii="Arial" w:hAnsi="Arial" w:cs="Arial"/>
          <w:vertAlign w:val="superscript"/>
        </w:rPr>
        <w:t>+</w:t>
      </w:r>
      <w:r w:rsidRPr="00740EB6">
        <w:rPr>
          <w:rFonts w:ascii="Arial" w:hAnsi="Arial" w:cs="Arial"/>
        </w:rPr>
        <w:t xml:space="preserve"> and CD8</w:t>
      </w:r>
      <w:r w:rsidRPr="00740EB6">
        <w:rPr>
          <w:rFonts w:ascii="Arial" w:hAnsi="Arial" w:cs="Arial"/>
          <w:vertAlign w:val="superscript"/>
        </w:rPr>
        <w:t>+</w:t>
      </w:r>
      <w:r w:rsidRPr="00740EB6">
        <w:rPr>
          <w:rFonts w:ascii="Arial" w:hAnsi="Arial" w:cs="Arial"/>
        </w:rPr>
        <w:t xml:space="preserve"> T-cells. Subsequently, CD4</w:t>
      </w:r>
      <w:r w:rsidRPr="00740EB6">
        <w:rPr>
          <w:rFonts w:ascii="Arial" w:hAnsi="Arial" w:cs="Arial"/>
          <w:vertAlign w:val="superscript"/>
        </w:rPr>
        <w:t>+</w:t>
      </w:r>
      <w:r w:rsidRPr="00740EB6">
        <w:rPr>
          <w:rFonts w:ascii="Arial" w:hAnsi="Arial" w:cs="Arial"/>
        </w:rPr>
        <w:t xml:space="preserve"> and CD8</w:t>
      </w:r>
      <w:r w:rsidRPr="00740EB6">
        <w:rPr>
          <w:rFonts w:ascii="Arial" w:hAnsi="Arial" w:cs="Arial"/>
          <w:vertAlign w:val="superscript"/>
        </w:rPr>
        <w:t>+</w:t>
      </w:r>
      <w:r w:rsidRPr="00740EB6">
        <w:rPr>
          <w:rFonts w:ascii="Arial" w:hAnsi="Arial" w:cs="Arial"/>
        </w:rPr>
        <w:t xml:space="preserve"> T-cells were further divided into non-naïve phenotypes based on the expression of CD27 and CD45RO. </w:t>
      </w:r>
    </w:p>
    <w:p w14:paraId="3E328B64" w14:textId="77777777" w:rsidR="00740EB6" w:rsidRPr="00740EB6" w:rsidRDefault="00740EB6" w:rsidP="00740EB6">
      <w:pPr>
        <w:rPr>
          <w:rFonts w:hint="eastAsia"/>
        </w:rPr>
      </w:pPr>
    </w:p>
    <w:p w14:paraId="1A5288A1" w14:textId="77777777" w:rsidR="00740EB6" w:rsidRPr="00740EB6" w:rsidRDefault="00740EB6" w:rsidP="00740EB6">
      <w:pPr>
        <w:rPr>
          <w:rFonts w:hint="eastAsia"/>
        </w:rPr>
      </w:pPr>
    </w:p>
    <w:p w14:paraId="1456FF72" w14:textId="77777777" w:rsidR="008956A9" w:rsidRDefault="008956A9"/>
    <w:p w14:paraId="01F5DB01" w14:textId="77777777" w:rsidR="00740EB6" w:rsidRPr="00740EB6" w:rsidRDefault="00740EB6">
      <w:pPr>
        <w:rPr>
          <w:rFonts w:hint="eastAsia"/>
        </w:rPr>
      </w:pPr>
    </w:p>
    <w:sectPr w:rsidR="00740EB6" w:rsidRPr="00740EB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EB6"/>
    <w:rsid w:val="000254CB"/>
    <w:rsid w:val="000372B4"/>
    <w:rsid w:val="00055B9A"/>
    <w:rsid w:val="00092FF0"/>
    <w:rsid w:val="000B27CE"/>
    <w:rsid w:val="000B392A"/>
    <w:rsid w:val="00156263"/>
    <w:rsid w:val="00167FA8"/>
    <w:rsid w:val="0019352C"/>
    <w:rsid w:val="00232802"/>
    <w:rsid w:val="002462E7"/>
    <w:rsid w:val="002F1DCA"/>
    <w:rsid w:val="00322670"/>
    <w:rsid w:val="0033498F"/>
    <w:rsid w:val="0036038A"/>
    <w:rsid w:val="00376306"/>
    <w:rsid w:val="00396A9F"/>
    <w:rsid w:val="003B2C1C"/>
    <w:rsid w:val="003D0D5C"/>
    <w:rsid w:val="00404987"/>
    <w:rsid w:val="00426B0A"/>
    <w:rsid w:val="0045248B"/>
    <w:rsid w:val="0052477B"/>
    <w:rsid w:val="00546DB2"/>
    <w:rsid w:val="00566726"/>
    <w:rsid w:val="005C7CA1"/>
    <w:rsid w:val="006244B4"/>
    <w:rsid w:val="006365F4"/>
    <w:rsid w:val="006B50AE"/>
    <w:rsid w:val="006C2090"/>
    <w:rsid w:val="006C44B9"/>
    <w:rsid w:val="00740EB6"/>
    <w:rsid w:val="00793F1F"/>
    <w:rsid w:val="007A2A53"/>
    <w:rsid w:val="007B5426"/>
    <w:rsid w:val="007B57CE"/>
    <w:rsid w:val="007C69D6"/>
    <w:rsid w:val="007F1C6A"/>
    <w:rsid w:val="007F2D9F"/>
    <w:rsid w:val="00816D0A"/>
    <w:rsid w:val="00875BC2"/>
    <w:rsid w:val="008956A9"/>
    <w:rsid w:val="008A1250"/>
    <w:rsid w:val="008C7411"/>
    <w:rsid w:val="008F1665"/>
    <w:rsid w:val="008F2FBC"/>
    <w:rsid w:val="009A001D"/>
    <w:rsid w:val="00A06747"/>
    <w:rsid w:val="00A8397A"/>
    <w:rsid w:val="00A967DE"/>
    <w:rsid w:val="00A96C2D"/>
    <w:rsid w:val="00AC2F0E"/>
    <w:rsid w:val="00AE2C0C"/>
    <w:rsid w:val="00AE3934"/>
    <w:rsid w:val="00AE7083"/>
    <w:rsid w:val="00AF77CE"/>
    <w:rsid w:val="00B10D38"/>
    <w:rsid w:val="00B33C8A"/>
    <w:rsid w:val="00B45F9A"/>
    <w:rsid w:val="00BB7507"/>
    <w:rsid w:val="00BF117C"/>
    <w:rsid w:val="00C46266"/>
    <w:rsid w:val="00C64AA2"/>
    <w:rsid w:val="00C93612"/>
    <w:rsid w:val="00CB5549"/>
    <w:rsid w:val="00CD5684"/>
    <w:rsid w:val="00D354E3"/>
    <w:rsid w:val="00D44852"/>
    <w:rsid w:val="00D50095"/>
    <w:rsid w:val="00D94DC8"/>
    <w:rsid w:val="00DC566D"/>
    <w:rsid w:val="00DD43FC"/>
    <w:rsid w:val="00DE5232"/>
    <w:rsid w:val="00DE762C"/>
    <w:rsid w:val="00E177AA"/>
    <w:rsid w:val="00E72DA3"/>
    <w:rsid w:val="00EA3EAC"/>
    <w:rsid w:val="00EC2A56"/>
    <w:rsid w:val="00ED1992"/>
    <w:rsid w:val="00F308A1"/>
    <w:rsid w:val="00F333DE"/>
    <w:rsid w:val="00F37AB0"/>
    <w:rsid w:val="00F50990"/>
    <w:rsid w:val="00F9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8E4DE"/>
  <w15:chartTrackingRefBased/>
  <w15:docId w15:val="{AD37DAEB-ABCB-C547-BA07-75E8BB7C5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1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堀田　記世彦</dc:creator>
  <cp:keywords/>
  <dc:description/>
  <cp:lastModifiedBy>堀田　記世彦</cp:lastModifiedBy>
  <cp:revision>1</cp:revision>
  <dcterms:created xsi:type="dcterms:W3CDTF">2024-01-14T11:38:00Z</dcterms:created>
  <dcterms:modified xsi:type="dcterms:W3CDTF">2024-01-14T11:43:00Z</dcterms:modified>
</cp:coreProperties>
</file>