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737238" w14:textId="77777777" w:rsidR="006F0278" w:rsidRPr="00E658B2" w:rsidRDefault="006F0278" w:rsidP="006F0278">
      <w:pPr>
        <w:jc w:val="center"/>
        <w:rPr>
          <w:b/>
          <w:sz w:val="28"/>
          <w:lang w:val="en-US"/>
        </w:rPr>
      </w:pPr>
      <w:r w:rsidRPr="00E658B2">
        <w:rPr>
          <w:b/>
          <w:sz w:val="28"/>
          <w:lang w:val="en-US"/>
        </w:rPr>
        <w:t xml:space="preserve">Additional file </w:t>
      </w:r>
      <w:r>
        <w:rPr>
          <w:b/>
          <w:sz w:val="28"/>
          <w:lang w:val="en-US"/>
        </w:rPr>
        <w:t>2</w:t>
      </w:r>
      <w:r w:rsidRPr="00E658B2">
        <w:rPr>
          <w:b/>
          <w:sz w:val="28"/>
          <w:lang w:val="en-US"/>
        </w:rPr>
        <w:t xml:space="preserve"> – Supplementary </w:t>
      </w:r>
      <w:r>
        <w:rPr>
          <w:b/>
          <w:sz w:val="28"/>
          <w:lang w:val="en-US"/>
        </w:rPr>
        <w:t>figures</w:t>
      </w:r>
    </w:p>
    <w:p w14:paraId="65F19406" w14:textId="77777777" w:rsidR="006F0278" w:rsidRPr="00E658B2" w:rsidRDefault="006F0278" w:rsidP="006F0278">
      <w:pPr>
        <w:rPr>
          <w:b/>
          <w:lang w:val="en-US"/>
        </w:rPr>
      </w:pPr>
    </w:p>
    <w:p w14:paraId="7FC8A788" w14:textId="77777777" w:rsidR="00BA0F95" w:rsidRPr="00E658B2" w:rsidRDefault="00BA0F95" w:rsidP="006F0278">
      <w:pPr>
        <w:rPr>
          <w:b/>
          <w:lang w:val="en-US"/>
        </w:rPr>
      </w:pPr>
    </w:p>
    <w:p w14:paraId="6BE417CA" w14:textId="254DC450" w:rsidR="0096426B" w:rsidRDefault="0096426B" w:rsidP="00BA0F95">
      <w:pPr>
        <w:spacing w:line="360" w:lineRule="auto"/>
        <w:jc w:val="center"/>
      </w:pPr>
      <w:r>
        <w:rPr>
          <w:noProof/>
        </w:rPr>
        <w:drawing>
          <wp:inline distT="0" distB="0" distL="0" distR="0" wp14:anchorId="337105BC" wp14:editId="30D86F44">
            <wp:extent cx="4438425" cy="3225800"/>
            <wp:effectExtent l="0" t="0" r="635" b="0"/>
            <wp:docPr id="1762102816" name="Picture 1" descr="A graph of different colored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2102816" name="Picture 1" descr="A graph of different colored lines&#10;&#10;Description automatically generated with medium confidence"/>
                    <pic:cNvPicPr/>
                  </pic:nvPicPr>
                  <pic:blipFill>
                    <a:blip r:embed="rId4" cstate="print">
                      <a:extLst>
                        <a:ext uri="{28A0092B-C50C-407E-A947-70E740481C1C}">
                          <a14:useLocalDpi xmlns:a14="http://schemas.microsoft.com/office/drawing/2010/main" val="0"/>
                        </a:ext>
                      </a:extLst>
                    </a:blip>
                    <a:stretch>
                      <a:fillRect/>
                    </a:stretch>
                  </pic:blipFill>
                  <pic:spPr>
                    <a:xfrm>
                      <a:off x="0" y="0"/>
                      <a:ext cx="4444976" cy="3230561"/>
                    </a:xfrm>
                    <a:prstGeom prst="rect">
                      <a:avLst/>
                    </a:prstGeom>
                  </pic:spPr>
                </pic:pic>
              </a:graphicData>
            </a:graphic>
          </wp:inline>
        </w:drawing>
      </w:r>
    </w:p>
    <w:p w14:paraId="7AD6F5F8" w14:textId="77777777" w:rsidR="006F0278" w:rsidRPr="006F0278" w:rsidRDefault="006F0278" w:rsidP="006F0278">
      <w:pPr>
        <w:spacing w:line="360" w:lineRule="auto"/>
        <w:rPr>
          <w:sz w:val="20"/>
          <w:szCs w:val="20"/>
          <w:lang w:val="en-US"/>
        </w:rPr>
      </w:pPr>
      <w:r w:rsidRPr="62E20E60">
        <w:rPr>
          <w:b/>
          <w:bCs/>
          <w:sz w:val="20"/>
          <w:szCs w:val="20"/>
          <w:lang w:val="en-US"/>
        </w:rPr>
        <w:t xml:space="preserve">Supplementary </w:t>
      </w:r>
      <w:r w:rsidRPr="62E20E60">
        <w:rPr>
          <w:sz w:val="20"/>
          <w:szCs w:val="20"/>
          <w:lang w:val="en-US"/>
        </w:rPr>
        <w:t xml:space="preserve">Figure S1: Concentration of each mock phage (Φ29, T4, c2, Φ6, ΦX174) in the pure mock phage community (Mock), the fecal filtrate (FFT), the virus-rich fecal fraction (VIR), and the virus-depleted residual fraction (RES). Measured as the number of plaque-forming units (PFU) per </w:t>
      </w:r>
      <w:proofErr w:type="spellStart"/>
      <w:r w:rsidRPr="62E20E60">
        <w:rPr>
          <w:sz w:val="20"/>
          <w:szCs w:val="20"/>
          <w:lang w:val="en-US"/>
        </w:rPr>
        <w:t>mL.</w:t>
      </w:r>
      <w:proofErr w:type="spellEnd"/>
    </w:p>
    <w:p w14:paraId="23A737D0" w14:textId="77777777" w:rsidR="006F0278" w:rsidRDefault="006F0278">
      <w:pPr>
        <w:rPr>
          <w:lang w:val="en-US"/>
        </w:rPr>
      </w:pPr>
    </w:p>
    <w:p w14:paraId="6114DED5" w14:textId="77777777" w:rsidR="0010104F" w:rsidRDefault="0010104F">
      <w:pPr>
        <w:spacing w:after="160" w:line="259" w:lineRule="auto"/>
        <w:rPr>
          <w:lang w:val="en-US"/>
        </w:rPr>
      </w:pPr>
      <w:r>
        <w:rPr>
          <w:lang w:val="en-US"/>
        </w:rPr>
        <w:br w:type="page"/>
      </w:r>
    </w:p>
    <w:p w14:paraId="78B57B06" w14:textId="3DDC7248" w:rsidR="0010104F" w:rsidRDefault="0096426B" w:rsidP="0010104F">
      <w:pPr>
        <w:spacing w:line="360" w:lineRule="auto"/>
        <w:rPr>
          <w:sz w:val="20"/>
          <w:szCs w:val="20"/>
          <w:lang w:val="en-US"/>
        </w:rPr>
      </w:pPr>
      <w:r>
        <w:rPr>
          <w:b/>
          <w:bCs/>
          <w:noProof/>
          <w:sz w:val="20"/>
          <w:szCs w:val="20"/>
          <w:lang w:val="en-US"/>
        </w:rPr>
        <w:lastRenderedPageBreak/>
        <w:drawing>
          <wp:inline distT="0" distB="0" distL="0" distR="0" wp14:anchorId="4D190BE6" wp14:editId="15030B62">
            <wp:extent cx="5714970" cy="6978650"/>
            <wp:effectExtent l="0" t="0" r="635" b="0"/>
            <wp:docPr id="567487784" name="Picture 2" descr="A collage of graphs and diagram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7487784" name="Picture 2" descr="A collage of graphs and diagrams&#10;&#10;Description automatically generated"/>
                    <pic:cNvPicPr/>
                  </pic:nvPicPr>
                  <pic:blipFill rotWithShape="1">
                    <a:blip r:embed="rId5" cstate="print">
                      <a:extLst>
                        <a:ext uri="{28A0092B-C50C-407E-A947-70E740481C1C}">
                          <a14:useLocalDpi xmlns:a14="http://schemas.microsoft.com/office/drawing/2010/main" val="0"/>
                        </a:ext>
                      </a:extLst>
                    </a:blip>
                    <a:srcRect l="1441" t="1502" r="4387" b="1065"/>
                    <a:stretch/>
                  </pic:blipFill>
                  <pic:spPr bwMode="auto">
                    <a:xfrm>
                      <a:off x="0" y="0"/>
                      <a:ext cx="5717673" cy="6981951"/>
                    </a:xfrm>
                    <a:prstGeom prst="rect">
                      <a:avLst/>
                    </a:prstGeom>
                    <a:ln>
                      <a:noFill/>
                    </a:ln>
                    <a:extLst>
                      <a:ext uri="{53640926-AAD7-44D8-BBD7-CCE9431645EC}">
                        <a14:shadowObscured xmlns:a14="http://schemas.microsoft.com/office/drawing/2010/main"/>
                      </a:ext>
                    </a:extLst>
                  </pic:spPr>
                </pic:pic>
              </a:graphicData>
            </a:graphic>
          </wp:inline>
        </w:drawing>
      </w:r>
      <w:r w:rsidR="0010104F" w:rsidRPr="66879567">
        <w:rPr>
          <w:b/>
          <w:bCs/>
          <w:sz w:val="20"/>
          <w:szCs w:val="20"/>
          <w:lang w:val="en-US"/>
        </w:rPr>
        <w:t xml:space="preserve">Supplementary </w:t>
      </w:r>
      <w:r w:rsidR="0010104F" w:rsidRPr="66879567">
        <w:rPr>
          <w:sz w:val="20"/>
          <w:szCs w:val="20"/>
          <w:lang w:val="en-US"/>
        </w:rPr>
        <w:t>Figure S2: brush border enzyme activity, goblet cells, and systemic leukocyte levels. A) Brush-border enzyme activity in ileal mucosae. B) Goblet cell density calculated as the average area of Periodic acid-Schiff (PAS) positive mucosae relative to the total tunica mucosae. C) Microscopic image of colonic tunica mucosae stained with Alcian blue and Periodic acid-Schiff (PAS) (left) and estimation of PAS+ area using stereological software (right). D) Circulating leukocyte levels in blood sampled at euthanasia.</w:t>
      </w:r>
    </w:p>
    <w:p w14:paraId="653D99BA" w14:textId="77777777" w:rsidR="0010104F" w:rsidRDefault="0010104F">
      <w:pPr>
        <w:spacing w:after="160" w:line="259" w:lineRule="auto"/>
        <w:rPr>
          <w:sz w:val="20"/>
          <w:szCs w:val="20"/>
          <w:lang w:val="en-US"/>
        </w:rPr>
      </w:pPr>
      <w:r>
        <w:rPr>
          <w:sz w:val="20"/>
          <w:szCs w:val="20"/>
          <w:lang w:val="en-US"/>
        </w:rPr>
        <w:br w:type="page"/>
      </w:r>
    </w:p>
    <w:p w14:paraId="073F5ADA" w14:textId="6A397101" w:rsidR="0010104F" w:rsidRPr="0010104F" w:rsidRDefault="0096426B" w:rsidP="0010104F">
      <w:pPr>
        <w:spacing w:line="360" w:lineRule="auto"/>
        <w:rPr>
          <w:sz w:val="20"/>
          <w:szCs w:val="20"/>
          <w:lang w:val="en-US"/>
        </w:rPr>
      </w:pPr>
      <w:r>
        <w:rPr>
          <w:b/>
          <w:bCs/>
          <w:noProof/>
          <w:sz w:val="20"/>
          <w:szCs w:val="20"/>
          <w:lang w:val="en-US"/>
        </w:rPr>
        <w:lastRenderedPageBreak/>
        <w:drawing>
          <wp:inline distT="0" distB="0" distL="0" distR="0" wp14:anchorId="7DFBDBAC" wp14:editId="2F5CC51F">
            <wp:extent cx="5721350" cy="3362779"/>
            <wp:effectExtent l="0" t="0" r="0" b="9525"/>
            <wp:docPr id="1780480150" name="Picture 3" descr="A group of graphs showing different types of numb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480150" name="Picture 3" descr="A group of graphs showing different types of numbers&#10;&#10;Description automatically generated with medium confidence"/>
                    <pic:cNvPicPr/>
                  </pic:nvPicPr>
                  <pic:blipFill rotWithShape="1">
                    <a:blip r:embed="rId6" cstate="print">
                      <a:extLst>
                        <a:ext uri="{28A0092B-C50C-407E-A947-70E740481C1C}">
                          <a14:useLocalDpi xmlns:a14="http://schemas.microsoft.com/office/drawing/2010/main" val="0"/>
                        </a:ext>
                      </a:extLst>
                    </a:blip>
                    <a:srcRect l="2105" t="2587" r="1950" b="3345"/>
                    <a:stretch/>
                  </pic:blipFill>
                  <pic:spPr bwMode="auto">
                    <a:xfrm>
                      <a:off x="0" y="0"/>
                      <a:ext cx="5728958" cy="3367251"/>
                    </a:xfrm>
                    <a:prstGeom prst="rect">
                      <a:avLst/>
                    </a:prstGeom>
                    <a:ln>
                      <a:noFill/>
                    </a:ln>
                    <a:extLst>
                      <a:ext uri="{53640926-AAD7-44D8-BBD7-CCE9431645EC}">
                        <a14:shadowObscured xmlns:a14="http://schemas.microsoft.com/office/drawing/2010/main"/>
                      </a:ext>
                    </a:extLst>
                  </pic:spPr>
                </pic:pic>
              </a:graphicData>
            </a:graphic>
          </wp:inline>
        </w:drawing>
      </w:r>
      <w:r w:rsidR="0010104F" w:rsidRPr="66879567">
        <w:rPr>
          <w:b/>
          <w:bCs/>
          <w:sz w:val="20"/>
          <w:szCs w:val="20"/>
          <w:lang w:val="en-US"/>
        </w:rPr>
        <w:t xml:space="preserve">Supplementary </w:t>
      </w:r>
      <w:r w:rsidR="0010104F" w:rsidRPr="66879567">
        <w:rPr>
          <w:sz w:val="20"/>
          <w:szCs w:val="20"/>
          <w:lang w:val="en-US"/>
        </w:rPr>
        <w:t xml:space="preserve">Figure S3: Gene expression of THP-1 cells stimulated with an isolated phage cocktail (Phages), </w:t>
      </w:r>
      <w:r>
        <w:rPr>
          <w:i/>
          <w:iCs/>
          <w:sz w:val="20"/>
          <w:szCs w:val="20"/>
          <w:lang w:val="en-US"/>
        </w:rPr>
        <w:t>E.</w:t>
      </w:r>
      <w:r w:rsidR="0010104F" w:rsidRPr="66879567">
        <w:rPr>
          <w:i/>
          <w:iCs/>
          <w:sz w:val="20"/>
          <w:szCs w:val="20"/>
          <w:lang w:val="en-US"/>
        </w:rPr>
        <w:t xml:space="preserve"> coli</w:t>
      </w:r>
      <w:r w:rsidR="0010104F" w:rsidRPr="66879567">
        <w:rPr>
          <w:sz w:val="20"/>
          <w:szCs w:val="20"/>
          <w:lang w:val="en-US"/>
        </w:rPr>
        <w:t xml:space="preserve"> bacteria, or </w:t>
      </w:r>
      <w:r w:rsidR="0010104F" w:rsidRPr="66879567">
        <w:rPr>
          <w:i/>
          <w:iCs/>
          <w:sz w:val="20"/>
          <w:szCs w:val="20"/>
          <w:lang w:val="en-US"/>
        </w:rPr>
        <w:t>Batch 2</w:t>
      </w:r>
      <w:r w:rsidR="0010104F" w:rsidRPr="66879567">
        <w:rPr>
          <w:sz w:val="20"/>
          <w:szCs w:val="20"/>
          <w:lang w:val="en-US"/>
        </w:rPr>
        <w:t xml:space="preserve"> fecal fractions; FFT = fecal filtrate transfer, VIR = isolated fecal viruses, RES = virus-depleted fecal residual. Expression was calculated as fold changes relative to the level of expression in cells stimulated with autoclaved SM buffer. A) Tumor necrosis factor (TNF) α. B) Interferon (IFN) β. C) IFN-γ. D) Transforming growth factor (TGF) β1. E-H) Toll-like receptor (TLR) 3, 4, 8, and 9.</w:t>
      </w:r>
    </w:p>
    <w:p w14:paraId="248D0E5A" w14:textId="77777777" w:rsidR="0010104F" w:rsidRDefault="0010104F">
      <w:pPr>
        <w:spacing w:after="160" w:line="259" w:lineRule="auto"/>
        <w:rPr>
          <w:lang w:val="en-US"/>
        </w:rPr>
      </w:pPr>
      <w:r>
        <w:rPr>
          <w:lang w:val="en-US"/>
        </w:rPr>
        <w:br w:type="page"/>
      </w:r>
    </w:p>
    <w:p w14:paraId="526C4C2A" w14:textId="77777777" w:rsidR="0010104F" w:rsidRPr="00570934" w:rsidRDefault="0010104F" w:rsidP="0010104F">
      <w:pPr>
        <w:spacing w:before="240" w:line="360" w:lineRule="auto"/>
        <w:rPr>
          <w:sz w:val="20"/>
          <w:szCs w:val="20"/>
          <w:lang w:val="en-US"/>
        </w:rPr>
      </w:pPr>
    </w:p>
    <w:p w14:paraId="1FB2CD50" w14:textId="20E81E6D" w:rsidR="0010104F" w:rsidRDefault="0096426B" w:rsidP="0010104F">
      <w:pPr>
        <w:spacing w:line="360" w:lineRule="auto"/>
        <w:rPr>
          <w:sz w:val="20"/>
          <w:szCs w:val="20"/>
        </w:rPr>
      </w:pPr>
      <w:r>
        <w:rPr>
          <w:b/>
          <w:bCs/>
          <w:noProof/>
          <w:sz w:val="20"/>
          <w:szCs w:val="20"/>
          <w:lang w:val="en-US"/>
        </w:rPr>
        <w:drawing>
          <wp:inline distT="0" distB="0" distL="0" distR="0" wp14:anchorId="5905D190" wp14:editId="626A9ED9">
            <wp:extent cx="5905500" cy="5156200"/>
            <wp:effectExtent l="0" t="0" r="0" b="6350"/>
            <wp:docPr id="787976827" name="Picture 4" descr="A chart of different colored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7976827" name="Picture 4" descr="A chart of different colored lines&#10;&#10;Description automatically generated with medium confidence"/>
                    <pic:cNvPicPr/>
                  </pic:nvPicPr>
                  <pic:blipFill rotWithShape="1">
                    <a:blip r:embed="rId7" cstate="print">
                      <a:extLst>
                        <a:ext uri="{28A0092B-C50C-407E-A947-70E740481C1C}">
                          <a14:useLocalDpi xmlns:a14="http://schemas.microsoft.com/office/drawing/2010/main" val="0"/>
                        </a:ext>
                      </a:extLst>
                    </a:blip>
                    <a:srcRect r="953" b="590"/>
                    <a:stretch/>
                  </pic:blipFill>
                  <pic:spPr bwMode="auto">
                    <a:xfrm>
                      <a:off x="0" y="0"/>
                      <a:ext cx="5909156" cy="5159392"/>
                    </a:xfrm>
                    <a:prstGeom prst="rect">
                      <a:avLst/>
                    </a:prstGeom>
                    <a:ln>
                      <a:noFill/>
                    </a:ln>
                    <a:extLst>
                      <a:ext uri="{53640926-AAD7-44D8-BBD7-CCE9431645EC}">
                        <a14:shadowObscured xmlns:a14="http://schemas.microsoft.com/office/drawing/2010/main"/>
                      </a:ext>
                    </a:extLst>
                  </pic:spPr>
                </pic:pic>
              </a:graphicData>
            </a:graphic>
          </wp:inline>
        </w:drawing>
      </w:r>
      <w:r w:rsidR="0010104F" w:rsidRPr="66879567">
        <w:rPr>
          <w:b/>
          <w:bCs/>
          <w:sz w:val="20"/>
          <w:szCs w:val="20"/>
          <w:lang w:val="en-US"/>
        </w:rPr>
        <w:t>Supplementary</w:t>
      </w:r>
      <w:r w:rsidR="0010104F" w:rsidRPr="66879567">
        <w:rPr>
          <w:b/>
          <w:bCs/>
          <w:i/>
          <w:iCs/>
          <w:sz w:val="20"/>
          <w:szCs w:val="20"/>
          <w:lang w:val="en-US"/>
        </w:rPr>
        <w:t xml:space="preserve"> </w:t>
      </w:r>
      <w:r w:rsidR="0010104F" w:rsidRPr="66879567">
        <w:rPr>
          <w:sz w:val="20"/>
          <w:szCs w:val="20"/>
          <w:lang w:val="en-US"/>
        </w:rPr>
        <w:t xml:space="preserve">Figure S4: </w:t>
      </w:r>
      <w:proofErr w:type="spellStart"/>
      <w:r w:rsidR="0010104F" w:rsidRPr="66879567">
        <w:rPr>
          <w:i/>
          <w:iCs/>
          <w:sz w:val="20"/>
          <w:szCs w:val="20"/>
          <w:lang w:val="en-US"/>
        </w:rPr>
        <w:t>Parvoviridae</w:t>
      </w:r>
      <w:proofErr w:type="spellEnd"/>
      <w:r w:rsidR="0010104F" w:rsidRPr="66879567">
        <w:rPr>
          <w:i/>
          <w:iCs/>
          <w:sz w:val="20"/>
          <w:szCs w:val="20"/>
          <w:lang w:val="en-US"/>
        </w:rPr>
        <w:t xml:space="preserve"> </w:t>
      </w:r>
      <w:r w:rsidR="0010104F" w:rsidRPr="66879567">
        <w:rPr>
          <w:sz w:val="20"/>
          <w:szCs w:val="20"/>
          <w:lang w:val="en-US"/>
        </w:rPr>
        <w:t xml:space="preserve">in </w:t>
      </w:r>
      <w:r w:rsidR="0010104F" w:rsidRPr="66879567">
        <w:rPr>
          <w:i/>
          <w:iCs/>
          <w:sz w:val="20"/>
          <w:szCs w:val="20"/>
          <w:lang w:val="en-US"/>
        </w:rPr>
        <w:t xml:space="preserve">Batch 2 </w:t>
      </w:r>
      <w:r w:rsidR="0010104F" w:rsidRPr="66879567">
        <w:rPr>
          <w:sz w:val="20"/>
          <w:szCs w:val="20"/>
          <w:lang w:val="en-US"/>
        </w:rPr>
        <w:t xml:space="preserve">recipients. A) Relative viral abundance in each recipient summarized at family level. Nine pigs showed &gt;1% </w:t>
      </w:r>
      <w:proofErr w:type="spellStart"/>
      <w:r w:rsidR="0010104F" w:rsidRPr="66879567">
        <w:rPr>
          <w:i/>
          <w:iCs/>
          <w:sz w:val="20"/>
          <w:szCs w:val="20"/>
          <w:lang w:val="en-US"/>
        </w:rPr>
        <w:t>Parvoviridae</w:t>
      </w:r>
      <w:proofErr w:type="spellEnd"/>
      <w:r w:rsidR="0010104F" w:rsidRPr="66879567">
        <w:rPr>
          <w:i/>
          <w:iCs/>
          <w:sz w:val="20"/>
          <w:szCs w:val="20"/>
          <w:lang w:val="en-US"/>
        </w:rPr>
        <w:t xml:space="preserve"> </w:t>
      </w:r>
      <w:r w:rsidR="0010104F" w:rsidRPr="66879567">
        <w:rPr>
          <w:sz w:val="20"/>
          <w:szCs w:val="20"/>
          <w:lang w:val="en-US"/>
        </w:rPr>
        <w:t xml:space="preserve">(#). These are compared with the remaining pigs </w:t>
      </w:r>
      <w:proofErr w:type="gramStart"/>
      <w:r w:rsidR="0010104F" w:rsidRPr="66879567">
        <w:rPr>
          <w:sz w:val="20"/>
          <w:szCs w:val="20"/>
          <w:lang w:val="en-US"/>
        </w:rPr>
        <w:t>in regard to</w:t>
      </w:r>
      <w:proofErr w:type="gramEnd"/>
      <w:r w:rsidR="0010104F" w:rsidRPr="66879567">
        <w:rPr>
          <w:sz w:val="20"/>
          <w:szCs w:val="20"/>
          <w:lang w:val="en-US"/>
        </w:rPr>
        <w:t xml:space="preserve"> diarrhea onset (B), average daily gain (C), and small intestinal weight at euthanasia (D). Ta</w:t>
      </w:r>
      <w:proofErr w:type="spellStart"/>
      <w:r w:rsidR="0010104F" w:rsidRPr="66879567">
        <w:rPr>
          <w:sz w:val="20"/>
          <w:szCs w:val="20"/>
        </w:rPr>
        <w:t>xonomic</w:t>
      </w:r>
      <w:proofErr w:type="spellEnd"/>
      <w:r w:rsidR="0010104F" w:rsidRPr="66879567">
        <w:rPr>
          <w:sz w:val="20"/>
          <w:szCs w:val="20"/>
        </w:rPr>
        <w:t xml:space="preserve"> rank </w:t>
      </w:r>
      <w:proofErr w:type="spellStart"/>
      <w:r w:rsidR="0010104F" w:rsidRPr="66879567">
        <w:rPr>
          <w:sz w:val="20"/>
          <w:szCs w:val="20"/>
        </w:rPr>
        <w:t>specifications</w:t>
      </w:r>
      <w:proofErr w:type="spellEnd"/>
      <w:r w:rsidR="0010104F" w:rsidRPr="66879567">
        <w:rPr>
          <w:sz w:val="20"/>
          <w:szCs w:val="20"/>
        </w:rPr>
        <w:t xml:space="preserve">: r = </w:t>
      </w:r>
      <w:proofErr w:type="spellStart"/>
      <w:r w:rsidR="0010104F" w:rsidRPr="66879567">
        <w:rPr>
          <w:sz w:val="20"/>
          <w:szCs w:val="20"/>
        </w:rPr>
        <w:t>realm</w:t>
      </w:r>
      <w:proofErr w:type="spellEnd"/>
      <w:r w:rsidR="0010104F" w:rsidRPr="66879567">
        <w:rPr>
          <w:sz w:val="20"/>
          <w:szCs w:val="20"/>
        </w:rPr>
        <w:t xml:space="preserve">, c = class. </w:t>
      </w:r>
    </w:p>
    <w:p w14:paraId="297B38AD" w14:textId="77777777" w:rsidR="0010104F" w:rsidRPr="0010104F" w:rsidRDefault="0010104F" w:rsidP="0010104F">
      <w:pPr>
        <w:spacing w:line="360" w:lineRule="auto"/>
        <w:rPr>
          <w:lang w:val="en-US"/>
        </w:rPr>
      </w:pPr>
    </w:p>
    <w:p w14:paraId="773A0AAE" w14:textId="77777777" w:rsidR="006F0278" w:rsidRPr="006F0278" w:rsidRDefault="006F0278">
      <w:pPr>
        <w:rPr>
          <w:lang w:val="en-US"/>
        </w:rPr>
      </w:pPr>
    </w:p>
    <w:sectPr w:rsidR="006F0278" w:rsidRPr="006F027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0278"/>
    <w:rsid w:val="0010104F"/>
    <w:rsid w:val="00570934"/>
    <w:rsid w:val="005924C7"/>
    <w:rsid w:val="006F0278"/>
    <w:rsid w:val="008A1249"/>
    <w:rsid w:val="0096426B"/>
    <w:rsid w:val="009745AB"/>
    <w:rsid w:val="00B43068"/>
    <w:rsid w:val="00BA0F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1F35272"/>
  <w15:chartTrackingRefBased/>
  <w15:docId w15:val="{FE1566BE-1C77-4CC2-878A-BAF52C328D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6F0278"/>
    <w:pPr>
      <w:spacing w:after="0" w:line="276" w:lineRule="auto"/>
    </w:pPr>
    <w:rPr>
      <w:rFonts w:ascii="Arial" w:eastAsia="Arial" w:hAnsi="Arial" w:cs="Arial"/>
      <w:lang w:val="d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0104F"/>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0104F"/>
    <w:rPr>
      <w:rFonts w:ascii="Segoe UI" w:eastAsia="Arial" w:hAnsi="Segoe UI" w:cs="Segoe UI"/>
      <w:sz w:val="18"/>
      <w:szCs w:val="18"/>
      <w:lang w:val="da"/>
    </w:rPr>
  </w:style>
  <w:style w:type="character" w:styleId="CommentReference">
    <w:name w:val="annotation reference"/>
    <w:basedOn w:val="DefaultParagraphFont"/>
    <w:uiPriority w:val="99"/>
    <w:semiHidden/>
    <w:unhideWhenUsed/>
    <w:rsid w:val="0010104F"/>
    <w:rPr>
      <w:sz w:val="16"/>
      <w:szCs w:val="16"/>
    </w:rPr>
  </w:style>
  <w:style w:type="paragraph" w:styleId="CommentText">
    <w:name w:val="annotation text"/>
    <w:basedOn w:val="Normal"/>
    <w:link w:val="CommentTextChar"/>
    <w:uiPriority w:val="99"/>
    <w:semiHidden/>
    <w:unhideWhenUsed/>
    <w:rsid w:val="0010104F"/>
    <w:pPr>
      <w:spacing w:line="240" w:lineRule="auto"/>
    </w:pPr>
    <w:rPr>
      <w:sz w:val="20"/>
      <w:szCs w:val="20"/>
    </w:rPr>
  </w:style>
  <w:style w:type="character" w:customStyle="1" w:styleId="CommentTextChar">
    <w:name w:val="Comment Text Char"/>
    <w:basedOn w:val="DefaultParagraphFont"/>
    <w:link w:val="CommentText"/>
    <w:uiPriority w:val="99"/>
    <w:semiHidden/>
    <w:rsid w:val="0010104F"/>
    <w:rPr>
      <w:rFonts w:ascii="Arial" w:eastAsia="Arial" w:hAnsi="Arial" w:cs="Arial"/>
      <w:sz w:val="20"/>
      <w:szCs w:val="20"/>
      <w:lang w:val="da"/>
    </w:rPr>
  </w:style>
  <w:style w:type="paragraph" w:styleId="CommentSubject">
    <w:name w:val="annotation subject"/>
    <w:basedOn w:val="CommentText"/>
    <w:next w:val="CommentText"/>
    <w:link w:val="CommentSubjectChar"/>
    <w:uiPriority w:val="99"/>
    <w:semiHidden/>
    <w:unhideWhenUsed/>
    <w:rsid w:val="0010104F"/>
    <w:rPr>
      <w:b/>
      <w:bCs/>
    </w:rPr>
  </w:style>
  <w:style w:type="character" w:customStyle="1" w:styleId="CommentSubjectChar">
    <w:name w:val="Comment Subject Char"/>
    <w:basedOn w:val="CommentTextChar"/>
    <w:link w:val="CommentSubject"/>
    <w:uiPriority w:val="99"/>
    <w:semiHidden/>
    <w:rsid w:val="0010104F"/>
    <w:rPr>
      <w:rFonts w:ascii="Arial" w:eastAsia="Arial" w:hAnsi="Arial" w:cs="Arial"/>
      <w:b/>
      <w:bCs/>
      <w:sz w:val="20"/>
      <w:szCs w:val="20"/>
      <w:lang w:val="d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5" Type="http://schemas.openxmlformats.org/officeDocument/2006/relationships/image" Target="media/image2.tiff"/><Relationship Id="rId4" Type="http://schemas.openxmlformats.org/officeDocument/2006/relationships/image" Target="media/image1.tiff"/><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4</Pages>
  <Words>267</Words>
  <Characters>1504</Characters>
  <Application>Microsoft Office Word</Application>
  <DocSecurity>0</DocSecurity>
  <Lines>33</Lines>
  <Paragraphs>5</Paragraphs>
  <ScaleCrop>false</ScaleCrop>
  <HeadingPairs>
    <vt:vector size="2" baseType="variant">
      <vt:variant>
        <vt:lpstr>Title</vt:lpstr>
      </vt:variant>
      <vt:variant>
        <vt:i4>1</vt:i4>
      </vt:variant>
    </vt:vector>
  </HeadingPairs>
  <TitlesOfParts>
    <vt:vector size="1" baseType="lpstr">
      <vt:lpstr/>
    </vt:vector>
  </TitlesOfParts>
  <Company>SUND - KU</Company>
  <LinksUpToDate>false</LinksUpToDate>
  <CharactersWithSpaces>1768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Simone Margaard Offersen</dc:creator>
  <cp:keywords/>
  <dc:description/>
  <cp:lastModifiedBy>Simone Offersen</cp:lastModifiedBy>
  <cp:revision>5</cp:revision>
  <dcterms:created xsi:type="dcterms:W3CDTF">2023-12-18T12:59:00Z</dcterms:created>
  <dcterms:modified xsi:type="dcterms:W3CDTF">2024-01-11T12:50:00Z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Remapped">
    <vt:lpwstr>true</vt:lpwstr>
  </property>
  <property fmtid="{D5CDD505-2E9C-101B-9397-08002B2CF9AE}" pid="3" name="GrammarlyDocumentId">
    <vt:lpwstr>b77a2737-aa2c-4a3a-b0a9-1f7af816a817</vt:lpwstr>
  </property>
</Properties>
</file>