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Appendix</w:t>
      </w:r>
    </w:p>
    <w:p/>
    <w:p>
      <w:r>
        <w:drawing>
          <wp:inline distT="0" distB="0" distL="0" distR="0">
            <wp:extent cx="5278120" cy="2721610"/>
            <wp:effectExtent l="0" t="0" r="0" b="2540"/>
            <wp:docPr id="187606527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6065279" name="图片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325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72205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Appendix 1. Selection flowchart.</w:t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KP, Klebsiella Pneumoniae; BSI, Bloodstream Infection; HM, Hematologic Malignancies</w:t>
      </w:r>
    </w:p>
    <w:p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tbl>
      <w:tblPr>
        <w:tblStyle w:val="4"/>
        <w:tblW w:w="884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32"/>
        <w:gridCol w:w="1830"/>
        <w:gridCol w:w="909"/>
        <w:gridCol w:w="1889"/>
        <w:gridCol w:w="98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8843" w:type="dxa"/>
            <w:gridSpan w:val="5"/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Appendix 2a. Risk Factors for HM patients with BSI Caused by MDR-KP.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3232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39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Univariate</w:t>
            </w:r>
          </w:p>
        </w:tc>
        <w:tc>
          <w:tcPr>
            <w:tcW w:w="2872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Multivariate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3232" w:type="dxa"/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0" w:name="_Hlk152887866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1830" w:type="dxa"/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 (95% CI)</w:t>
            </w:r>
          </w:p>
        </w:tc>
        <w:tc>
          <w:tcPr>
            <w:tcW w:w="909" w:type="dxa"/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1889" w:type="dxa"/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 (95% CI)</w:t>
            </w:r>
          </w:p>
        </w:tc>
        <w:tc>
          <w:tcPr>
            <w:tcW w:w="983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p-Value</w:t>
            </w:r>
          </w:p>
        </w:tc>
      </w:tr>
      <w:bookmarkEnd w:id="0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3232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Neutropenia days ＞15</w:t>
            </w:r>
          </w:p>
        </w:tc>
        <w:tc>
          <w:tcPr>
            <w:tcW w:w="183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3.33 (1.72-6.71)</w:t>
            </w:r>
          </w:p>
        </w:tc>
        <w:tc>
          <w:tcPr>
            <w:tcW w:w="90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&lt;0.001</w:t>
            </w:r>
          </w:p>
        </w:tc>
        <w:tc>
          <w:tcPr>
            <w:tcW w:w="188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2.4 (0.87-6.83)</w:t>
            </w:r>
          </w:p>
        </w:tc>
        <w:tc>
          <w:tcPr>
            <w:tcW w:w="983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3232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Perianal infection</w:t>
            </w:r>
          </w:p>
        </w:tc>
        <w:tc>
          <w:tcPr>
            <w:tcW w:w="183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7.66 (2.5-33.43)</w:t>
            </w:r>
          </w:p>
        </w:tc>
        <w:tc>
          <w:tcPr>
            <w:tcW w:w="90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&lt;0.001</w:t>
            </w:r>
          </w:p>
        </w:tc>
        <w:tc>
          <w:tcPr>
            <w:tcW w:w="188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18.18 (4.13-104.45)</w:t>
            </w:r>
          </w:p>
        </w:tc>
        <w:tc>
          <w:tcPr>
            <w:tcW w:w="983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3232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Charlson comorbidity index score</w:t>
            </w:r>
          </w:p>
        </w:tc>
        <w:tc>
          <w:tcPr>
            <w:tcW w:w="183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1.57 (1.14-2.28)</w:t>
            </w:r>
          </w:p>
        </w:tc>
        <w:tc>
          <w:tcPr>
            <w:tcW w:w="90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0.01</w:t>
            </w:r>
          </w:p>
        </w:tc>
        <w:tc>
          <w:tcPr>
            <w:tcW w:w="188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1.05 (0.64-1.78)</w:t>
            </w:r>
          </w:p>
        </w:tc>
        <w:tc>
          <w:tcPr>
            <w:tcW w:w="983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3232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Congestive heart failure</w:t>
            </w:r>
          </w:p>
        </w:tc>
        <w:tc>
          <w:tcPr>
            <w:tcW w:w="183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5.81 (1.85-25.67)</w:t>
            </w:r>
          </w:p>
        </w:tc>
        <w:tc>
          <w:tcPr>
            <w:tcW w:w="90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0.01</w:t>
            </w:r>
          </w:p>
        </w:tc>
        <w:tc>
          <w:tcPr>
            <w:tcW w:w="188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4.91 (1.02-29.57)</w:t>
            </w:r>
          </w:p>
        </w:tc>
        <w:tc>
          <w:tcPr>
            <w:tcW w:w="983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3232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bookmarkStart w:id="1" w:name="_Hlk152963204"/>
            <w:r>
              <w:rPr>
                <w:rFonts w:hint="default" w:ascii="Times New Roman" w:hAnsi="Times New Roman" w:cs="Times New Roman"/>
                <w:sz w:val="20"/>
                <w:szCs w:val="20"/>
              </w:rPr>
              <w:t>Previous admission in ICU</w:t>
            </w:r>
          </w:p>
        </w:tc>
        <w:tc>
          <w:tcPr>
            <w:tcW w:w="183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8.14 (4.07-17.24)</w:t>
            </w:r>
          </w:p>
        </w:tc>
        <w:tc>
          <w:tcPr>
            <w:tcW w:w="90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&lt;0.001</w:t>
            </w:r>
          </w:p>
        </w:tc>
        <w:tc>
          <w:tcPr>
            <w:tcW w:w="188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 (0.58-7.59)</w:t>
            </w:r>
          </w:p>
        </w:tc>
        <w:tc>
          <w:tcPr>
            <w:tcW w:w="983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</w:tr>
      <w:bookmarkEnd w:id="1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3232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Previous used mechanical ventilation</w:t>
            </w:r>
          </w:p>
        </w:tc>
        <w:tc>
          <w:tcPr>
            <w:tcW w:w="183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3.75 (1.59-9.93)</w:t>
            </w:r>
          </w:p>
        </w:tc>
        <w:tc>
          <w:tcPr>
            <w:tcW w:w="90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&lt;0.001</w:t>
            </w:r>
          </w:p>
        </w:tc>
        <w:tc>
          <w:tcPr>
            <w:tcW w:w="188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0.79 (0.14-4.37)</w:t>
            </w:r>
          </w:p>
        </w:tc>
        <w:tc>
          <w:tcPr>
            <w:tcW w:w="983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3232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Pitt bacteraemia score</w:t>
            </w:r>
          </w:p>
        </w:tc>
        <w:tc>
          <w:tcPr>
            <w:tcW w:w="183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1.25 (1.15-1.38)</w:t>
            </w:r>
          </w:p>
        </w:tc>
        <w:tc>
          <w:tcPr>
            <w:tcW w:w="90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&lt;0.001</w:t>
            </w:r>
          </w:p>
        </w:tc>
        <w:tc>
          <w:tcPr>
            <w:tcW w:w="188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1.03 (0.85-1.25)</w:t>
            </w:r>
          </w:p>
        </w:tc>
        <w:tc>
          <w:tcPr>
            <w:tcW w:w="983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3232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Hypotension</w:t>
            </w:r>
          </w:p>
        </w:tc>
        <w:tc>
          <w:tcPr>
            <w:tcW w:w="183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7.9 (4.1-15.84)</w:t>
            </w:r>
          </w:p>
        </w:tc>
        <w:tc>
          <w:tcPr>
            <w:tcW w:w="90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&lt;0.001</w:t>
            </w:r>
          </w:p>
        </w:tc>
        <w:tc>
          <w:tcPr>
            <w:tcW w:w="188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2.94 (0.71-12.41)</w:t>
            </w:r>
          </w:p>
        </w:tc>
        <w:tc>
          <w:tcPr>
            <w:tcW w:w="983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3232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Hypoalbuminemia</w:t>
            </w:r>
          </w:p>
        </w:tc>
        <w:tc>
          <w:tcPr>
            <w:tcW w:w="183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4.61 (2.43-9.08)</w:t>
            </w:r>
          </w:p>
        </w:tc>
        <w:tc>
          <w:tcPr>
            <w:tcW w:w="90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&lt;0.001</w:t>
            </w:r>
          </w:p>
        </w:tc>
        <w:tc>
          <w:tcPr>
            <w:tcW w:w="188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1.9 (0.71-5.06)</w:t>
            </w:r>
          </w:p>
        </w:tc>
        <w:tc>
          <w:tcPr>
            <w:tcW w:w="983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3232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Empirical anti-infection treatment</w:t>
            </w:r>
          </w:p>
        </w:tc>
        <w:tc>
          <w:tcPr>
            <w:tcW w:w="1830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9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3232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Carbapenems</w:t>
            </w:r>
          </w:p>
        </w:tc>
        <w:tc>
          <w:tcPr>
            <w:tcW w:w="183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8.44 (4.39-16.82)</w:t>
            </w:r>
          </w:p>
        </w:tc>
        <w:tc>
          <w:tcPr>
            <w:tcW w:w="90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&lt;0.001</w:t>
            </w:r>
          </w:p>
        </w:tc>
        <w:tc>
          <w:tcPr>
            <w:tcW w:w="188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4.39 (1.78-11.31)</w:t>
            </w:r>
          </w:p>
        </w:tc>
        <w:tc>
          <w:tcPr>
            <w:tcW w:w="983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3232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Cephalosporins</w:t>
            </w:r>
          </w:p>
        </w:tc>
        <w:tc>
          <w:tcPr>
            <w:tcW w:w="183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6.01 (2.36-18.56)</w:t>
            </w:r>
          </w:p>
        </w:tc>
        <w:tc>
          <w:tcPr>
            <w:tcW w:w="90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&lt;0.001</w:t>
            </w:r>
          </w:p>
        </w:tc>
        <w:tc>
          <w:tcPr>
            <w:tcW w:w="188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2.06 (0.55-8.35)</w:t>
            </w:r>
          </w:p>
        </w:tc>
        <w:tc>
          <w:tcPr>
            <w:tcW w:w="983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3232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Tigecycline</w:t>
            </w:r>
          </w:p>
        </w:tc>
        <w:tc>
          <w:tcPr>
            <w:tcW w:w="183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11.62 (3.25-74.33)</w:t>
            </w:r>
          </w:p>
        </w:tc>
        <w:tc>
          <w:tcPr>
            <w:tcW w:w="90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&lt;0.001</w:t>
            </w:r>
          </w:p>
        </w:tc>
        <w:tc>
          <w:tcPr>
            <w:tcW w:w="188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3.03 (0.46-29.8)</w:t>
            </w:r>
          </w:p>
        </w:tc>
        <w:tc>
          <w:tcPr>
            <w:tcW w:w="983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323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Fluoroquinolones</w:t>
            </w:r>
          </w:p>
        </w:tc>
        <w:tc>
          <w:tcPr>
            <w:tcW w:w="183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6.21 (2.81-15.27)</w:t>
            </w:r>
          </w:p>
        </w:tc>
        <w:tc>
          <w:tcPr>
            <w:tcW w:w="909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&lt;0.001</w:t>
            </w:r>
          </w:p>
        </w:tc>
        <w:tc>
          <w:tcPr>
            <w:tcW w:w="1889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2.6 (0.92-7.81)</w:t>
            </w:r>
          </w:p>
        </w:tc>
        <w:tc>
          <w:tcPr>
            <w:tcW w:w="983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323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Piperacillin tazobactam</w:t>
            </w:r>
          </w:p>
        </w:tc>
        <w:tc>
          <w:tcPr>
            <w:tcW w:w="183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3.44 (1.65-7.68)</w:t>
            </w:r>
          </w:p>
        </w:tc>
        <w:tc>
          <w:tcPr>
            <w:tcW w:w="90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&lt;0.001</w:t>
            </w:r>
          </w:p>
        </w:tc>
        <w:tc>
          <w:tcPr>
            <w:tcW w:w="188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1.69 (0.52-5.48)</w:t>
            </w:r>
          </w:p>
        </w:tc>
        <w:tc>
          <w:tcPr>
            <w:tcW w:w="98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0.38</w:t>
            </w:r>
          </w:p>
        </w:tc>
      </w:tr>
    </w:tbl>
    <w:p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tbl>
      <w:tblPr>
        <w:tblStyle w:val="4"/>
        <w:tblW w:w="783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27"/>
        <w:gridCol w:w="2378"/>
        <w:gridCol w:w="172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7830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  <w:t>Appendix 2b. Risk Factors for MDR-KP BSI Based on Multivariate Analysis.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372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237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 (95% CI)</w:t>
            </w:r>
          </w:p>
        </w:tc>
        <w:tc>
          <w:tcPr>
            <w:tcW w:w="172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P-Value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372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Perianal infection</w:t>
            </w:r>
          </w:p>
        </w:tc>
        <w:tc>
          <w:tcPr>
            <w:tcW w:w="237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10.71(2.72-42.17)</w:t>
            </w:r>
          </w:p>
        </w:tc>
        <w:tc>
          <w:tcPr>
            <w:tcW w:w="172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372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Congestive heart failure</w:t>
            </w:r>
          </w:p>
        </w:tc>
        <w:tc>
          <w:tcPr>
            <w:tcW w:w="237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5.86(1.38-24.88)</w:t>
            </w:r>
          </w:p>
        </w:tc>
        <w:tc>
          <w:tcPr>
            <w:tcW w:w="172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372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Previous use of carbapenems</w:t>
            </w:r>
          </w:p>
        </w:tc>
        <w:tc>
          <w:tcPr>
            <w:tcW w:w="237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6.67(3.17-14.05)</w:t>
            </w:r>
          </w:p>
        </w:tc>
        <w:tc>
          <w:tcPr>
            <w:tcW w:w="172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372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Previous use of fluoroquinolones</w:t>
            </w:r>
          </w:p>
        </w:tc>
        <w:tc>
          <w:tcPr>
            <w:tcW w:w="237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3.64(1.4-9.47)</w:t>
            </w:r>
          </w:p>
        </w:tc>
        <w:tc>
          <w:tcPr>
            <w:tcW w:w="172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7830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The logistic regression model shows moderate explanatory power, with a pseudo R-squared of 0.29 and Nagelkerke's R-squared of 0.44, indicating a significant but not comprehensive explanation of the outcome by the predictors.</w:t>
            </w:r>
          </w:p>
        </w:tc>
      </w:tr>
    </w:tbl>
    <w:p>
      <w:pPr>
        <w:rPr>
          <w:rFonts w:ascii="Times New Roman" w:hAnsi="Times New Roman" w:cs="Times New Roman"/>
          <w:szCs w:val="21"/>
        </w:rPr>
      </w:pPr>
    </w:p>
    <w:p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tbl>
      <w:tblPr>
        <w:tblStyle w:val="4"/>
        <w:tblW w:w="831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7"/>
        <w:gridCol w:w="1492"/>
        <w:gridCol w:w="3878"/>
        <w:gridCol w:w="131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8312" w:type="dxa"/>
            <w:gridSpan w:val="4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Appendix 3. Initial treatment therapy for HM patient with KP BSI.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1627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Monotherapy</w:t>
            </w:r>
          </w:p>
        </w:tc>
        <w:tc>
          <w:tcPr>
            <w:tcW w:w="149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Quantity</w:t>
            </w:r>
          </w:p>
        </w:tc>
        <w:tc>
          <w:tcPr>
            <w:tcW w:w="3878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Combination therapy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Quantity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1627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Carbapenems</w:t>
            </w:r>
          </w:p>
        </w:tc>
        <w:tc>
          <w:tcPr>
            <w:tcW w:w="149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78(42.9%)</w:t>
            </w:r>
          </w:p>
        </w:tc>
        <w:tc>
          <w:tcPr>
            <w:tcW w:w="3878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Carbapenems+Tigecycline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40(22%)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1627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β-lactamase inhibitors</w:t>
            </w:r>
          </w:p>
        </w:tc>
        <w:tc>
          <w:tcPr>
            <w:tcW w:w="149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5(2.7%)</w:t>
            </w:r>
          </w:p>
        </w:tc>
        <w:tc>
          <w:tcPr>
            <w:tcW w:w="3878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Carbapenems+Fluoroquinolones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11(6%)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1627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Cephalosporins</w:t>
            </w:r>
          </w:p>
        </w:tc>
        <w:tc>
          <w:tcPr>
            <w:tcW w:w="149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3(1.6%)</w:t>
            </w:r>
          </w:p>
        </w:tc>
        <w:tc>
          <w:tcPr>
            <w:tcW w:w="3878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Carbapenems+Polymyxin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7(3.8%)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1627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Tigecycline</w:t>
            </w:r>
          </w:p>
        </w:tc>
        <w:tc>
          <w:tcPr>
            <w:tcW w:w="149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4(2.2%)</w:t>
            </w:r>
          </w:p>
        </w:tc>
        <w:tc>
          <w:tcPr>
            <w:tcW w:w="3878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Polymyxin+Carbapenems+Tigecycline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9(4.9%)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1627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Fluoroquinolone</w:t>
            </w:r>
          </w:p>
        </w:tc>
        <w:tc>
          <w:tcPr>
            <w:tcW w:w="149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2(1.1%)</w:t>
            </w:r>
          </w:p>
        </w:tc>
        <w:tc>
          <w:tcPr>
            <w:tcW w:w="3878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Cephalosporin+Carbapenems+Tigecycline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2(1.1%)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1627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Carbapenems+Aminoglycoside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2(1.1%)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1627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Carbapenems+β-lactamase inhibitors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1(0.5%)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1627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Carbapenems+Azactam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1(0.5%)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1627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Carbapenem+Tigacycline+Fosfomycin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1(0.5%)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1627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Cephalosporin+Tigecycline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4(2.2%)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1627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Polymyxin+Cephalosporins+Tigacycline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1(0.5%)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1627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Polymyxin+Carbapenem+Fosfomycin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1(0.5%)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1627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Polymyxin+Carbapenem+Azactam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1(0.5%)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1627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β-lactamase inhibitors+Tigecycline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4(2.2%)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1627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Aminoglycoside+β-lactamase inhibitors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2(1.1%)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1627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Aminoglycoside+Tigecycline+Fuoroquinolones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1(0.5%)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1627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Cephalosporins+Fluoroquinolones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1(0.5%)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1627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Tigecycline+Fosfomycin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1(0.5%)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83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 total of 78 cases of carbapenem regimen in monotherapy were treated with imipenem 43 (55.1%), biapenem 32 (41.0%) and meropenem 3 (3.8%).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83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There were a total of carbapenem containing regimens in the combination treatment: 76 cases, of which 36 were imipenem (47.4%), 29 were biapenem (38.1%) and 11 were meropenem (14.5%).</w:t>
            </w:r>
          </w:p>
        </w:tc>
      </w:tr>
    </w:tbl>
    <w:p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tbl>
      <w:tblPr>
        <w:tblStyle w:val="4"/>
        <w:tblW w:w="9285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20"/>
        <w:gridCol w:w="1489"/>
        <w:gridCol w:w="1841"/>
        <w:gridCol w:w="1596"/>
        <w:gridCol w:w="103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9285" w:type="dxa"/>
            <w:gridSpan w:val="5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Appendix 4. Univariate Cox regression analysis for 30-day mortality in patients with KP BSI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332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Survived</w:t>
            </w:r>
          </w:p>
        </w:tc>
        <w:tc>
          <w:tcPr>
            <w:tcW w:w="1841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Not-survived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HR (95% CI)</w:t>
            </w:r>
          </w:p>
        </w:tc>
        <w:tc>
          <w:tcPr>
            <w:tcW w:w="103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p-value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332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Male sex</w:t>
            </w:r>
          </w:p>
        </w:tc>
        <w:tc>
          <w:tcPr>
            <w:tcW w:w="148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 (50%)</w:t>
            </w:r>
          </w:p>
        </w:tc>
        <w:tc>
          <w:tcPr>
            <w:tcW w:w="1841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 (58%)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1.3(0.77-2.2)</w:t>
            </w:r>
          </w:p>
        </w:tc>
        <w:tc>
          <w:tcPr>
            <w:tcW w:w="103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332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Age≥55 years</w:t>
            </w:r>
          </w:p>
        </w:tc>
        <w:tc>
          <w:tcPr>
            <w:tcW w:w="148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(28%)</w:t>
            </w:r>
          </w:p>
        </w:tc>
        <w:tc>
          <w:tcPr>
            <w:tcW w:w="1841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 (35%)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1.2(0.67-2)</w:t>
            </w:r>
          </w:p>
        </w:tc>
        <w:tc>
          <w:tcPr>
            <w:tcW w:w="103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332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ANC＜500 neutrophils/μL</w:t>
            </w:r>
          </w:p>
        </w:tc>
        <w:tc>
          <w:tcPr>
            <w:tcW w:w="148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 (98%)</w:t>
            </w:r>
          </w:p>
        </w:tc>
        <w:tc>
          <w:tcPr>
            <w:tcW w:w="1841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 (98%)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0.82(0.11-5.9)</w:t>
            </w:r>
          </w:p>
        </w:tc>
        <w:tc>
          <w:tcPr>
            <w:tcW w:w="103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332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ANC＜100 neutrophils/μL</w:t>
            </w:r>
          </w:p>
        </w:tc>
        <w:tc>
          <w:tcPr>
            <w:tcW w:w="148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 (75%)</w:t>
            </w:r>
          </w:p>
        </w:tc>
        <w:tc>
          <w:tcPr>
            <w:tcW w:w="1841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 (78%)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1.1(0.56-2)</w:t>
            </w:r>
          </w:p>
        </w:tc>
        <w:tc>
          <w:tcPr>
            <w:tcW w:w="103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332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ANC&lt;500/mmc for at least 15 days</w:t>
            </w:r>
          </w:p>
        </w:tc>
        <w:tc>
          <w:tcPr>
            <w:tcW w:w="148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 (27%)</w:t>
            </w:r>
          </w:p>
        </w:tc>
        <w:tc>
          <w:tcPr>
            <w:tcW w:w="1841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 (40%)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1.3(0.74-2.2)</w:t>
            </w:r>
          </w:p>
        </w:tc>
        <w:tc>
          <w:tcPr>
            <w:tcW w:w="103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332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Corticosteroid treatment</w:t>
            </w:r>
          </w:p>
        </w:tc>
        <w:tc>
          <w:tcPr>
            <w:tcW w:w="148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 (73%)</w:t>
            </w:r>
          </w:p>
        </w:tc>
        <w:tc>
          <w:tcPr>
            <w:tcW w:w="1841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 (91%)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3(1.2-7.5)</w:t>
            </w:r>
          </w:p>
        </w:tc>
        <w:tc>
          <w:tcPr>
            <w:tcW w:w="103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332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Chemotherapy</w:t>
            </w:r>
          </w:p>
        </w:tc>
        <w:tc>
          <w:tcPr>
            <w:tcW w:w="148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 (74%)</w:t>
            </w:r>
          </w:p>
        </w:tc>
        <w:tc>
          <w:tcPr>
            <w:tcW w:w="1841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 (82%)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1.2(0.6-2.4)</w:t>
            </w:r>
          </w:p>
        </w:tc>
        <w:tc>
          <w:tcPr>
            <w:tcW w:w="103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332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332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_Hlk154434310"/>
            <w:r>
              <w:rPr>
                <w:rFonts w:ascii="Times New Roman" w:hAnsi="Times New Roman" w:cs="Times New Roman"/>
                <w:sz w:val="20"/>
                <w:szCs w:val="20"/>
              </w:rPr>
              <w:t>Acute myeloid leukemia</w:t>
            </w:r>
          </w:p>
        </w:tc>
        <w:tc>
          <w:tcPr>
            <w:tcW w:w="148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 (66%)</w:t>
            </w:r>
          </w:p>
        </w:tc>
        <w:tc>
          <w:tcPr>
            <w:tcW w:w="1841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 (62%)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0.87(0.5-1.5)</w:t>
            </w:r>
          </w:p>
        </w:tc>
        <w:tc>
          <w:tcPr>
            <w:tcW w:w="103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332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Acute lymphatic leukemia</w:t>
            </w:r>
          </w:p>
        </w:tc>
        <w:tc>
          <w:tcPr>
            <w:tcW w:w="148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 (24%)</w:t>
            </w:r>
          </w:p>
        </w:tc>
        <w:tc>
          <w:tcPr>
            <w:tcW w:w="1841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(22%)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0.9(0.47-1.7)</w:t>
            </w:r>
          </w:p>
        </w:tc>
        <w:tc>
          <w:tcPr>
            <w:tcW w:w="103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332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lymphoma</w:t>
            </w:r>
          </w:p>
        </w:tc>
        <w:tc>
          <w:tcPr>
            <w:tcW w:w="148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(0.8%)</w:t>
            </w:r>
          </w:p>
        </w:tc>
        <w:tc>
          <w:tcPr>
            <w:tcW w:w="1841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(3.6%)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2.8(0.68-11)</w:t>
            </w:r>
          </w:p>
        </w:tc>
        <w:tc>
          <w:tcPr>
            <w:tcW w:w="103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332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Multiple Myeloma</w:t>
            </w:r>
          </w:p>
        </w:tc>
        <w:tc>
          <w:tcPr>
            <w:tcW w:w="148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(1.6%)</w:t>
            </w:r>
          </w:p>
        </w:tc>
        <w:tc>
          <w:tcPr>
            <w:tcW w:w="1841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332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Myelodysplastic syndrome</w:t>
            </w:r>
          </w:p>
        </w:tc>
        <w:tc>
          <w:tcPr>
            <w:tcW w:w="148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(7.1%)</w:t>
            </w:r>
          </w:p>
        </w:tc>
        <w:tc>
          <w:tcPr>
            <w:tcW w:w="1841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(13%)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1.6(0.71-3.5)</w:t>
            </w:r>
          </w:p>
        </w:tc>
        <w:tc>
          <w:tcPr>
            <w:tcW w:w="103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</w:p>
        </w:tc>
      </w:tr>
      <w:bookmarkEnd w:id="2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332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HSCT</w:t>
            </w:r>
          </w:p>
        </w:tc>
        <w:tc>
          <w:tcPr>
            <w:tcW w:w="148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(3.1%)</w:t>
            </w:r>
          </w:p>
        </w:tc>
        <w:tc>
          <w:tcPr>
            <w:tcW w:w="1841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(1.8%)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0.65(0.091-4.7)</w:t>
            </w:r>
          </w:p>
        </w:tc>
        <w:tc>
          <w:tcPr>
            <w:tcW w:w="103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332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Previous admission in ICU</w:t>
            </w:r>
          </w:p>
        </w:tc>
        <w:tc>
          <w:tcPr>
            <w:tcW w:w="148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 (19%)</w:t>
            </w:r>
          </w:p>
        </w:tc>
        <w:tc>
          <w:tcPr>
            <w:tcW w:w="1841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 (80%)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16(8-31)</w:t>
            </w:r>
          </w:p>
        </w:tc>
        <w:tc>
          <w:tcPr>
            <w:tcW w:w="103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＜0.001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332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CRKP</w:t>
            </w:r>
          </w:p>
        </w:tc>
        <w:tc>
          <w:tcPr>
            <w:tcW w:w="148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 (22%)</w:t>
            </w:r>
          </w:p>
        </w:tc>
        <w:tc>
          <w:tcPr>
            <w:tcW w:w="1841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 (56%)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3.7(2.2-6.4)</w:t>
            </w:r>
          </w:p>
        </w:tc>
        <w:tc>
          <w:tcPr>
            <w:tcW w:w="103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＜0.001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332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CVC</w:t>
            </w:r>
          </w:p>
        </w:tc>
        <w:tc>
          <w:tcPr>
            <w:tcW w:w="148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 (13%)</w:t>
            </w:r>
          </w:p>
        </w:tc>
        <w:tc>
          <w:tcPr>
            <w:tcW w:w="1841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(20%)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1.3(0.65-2.4)</w:t>
            </w:r>
          </w:p>
        </w:tc>
        <w:tc>
          <w:tcPr>
            <w:tcW w:w="103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332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Surgery</w:t>
            </w:r>
          </w:p>
        </w:tc>
        <w:tc>
          <w:tcPr>
            <w:tcW w:w="148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1841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(9.1%)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5.1(2-13)</w:t>
            </w:r>
          </w:p>
        </w:tc>
        <w:tc>
          <w:tcPr>
            <w:tcW w:w="103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＜0.001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332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CRKP</w:t>
            </w:r>
          </w:p>
        </w:tc>
        <w:tc>
          <w:tcPr>
            <w:tcW w:w="148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 (29%)</w:t>
            </w:r>
          </w:p>
        </w:tc>
        <w:tc>
          <w:tcPr>
            <w:tcW w:w="1841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 (78%)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6.7(3.5-13)</w:t>
            </w:r>
          </w:p>
        </w:tc>
        <w:tc>
          <w:tcPr>
            <w:tcW w:w="103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＜0.001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332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_Hlk154003911"/>
            <w:r>
              <w:rPr>
                <w:rFonts w:ascii="Times New Roman" w:hAnsi="Times New Roman" w:cs="Times New Roman"/>
                <w:sz w:val="20"/>
                <w:szCs w:val="20"/>
              </w:rPr>
              <w:t>IIAT</w:t>
            </w:r>
          </w:p>
        </w:tc>
        <w:tc>
          <w:tcPr>
            <w:tcW w:w="148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10.2%)</w:t>
            </w:r>
          </w:p>
        </w:tc>
        <w:tc>
          <w:tcPr>
            <w:tcW w:w="1841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4(80%)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16(8.3-32)</w:t>
            </w:r>
          </w:p>
        </w:tc>
        <w:tc>
          <w:tcPr>
            <w:tcW w:w="103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＜0.001</w:t>
            </w:r>
          </w:p>
        </w:tc>
      </w:tr>
      <w:bookmarkEnd w:id="3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332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Sepsis Shock</w:t>
            </w:r>
          </w:p>
        </w:tc>
        <w:tc>
          <w:tcPr>
            <w:tcW w:w="148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 (20%)</w:t>
            </w:r>
          </w:p>
        </w:tc>
        <w:tc>
          <w:tcPr>
            <w:tcW w:w="1841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 (95%)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43(13-140)</w:t>
            </w:r>
          </w:p>
        </w:tc>
        <w:tc>
          <w:tcPr>
            <w:tcW w:w="103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＜0.001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332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Combination initial antibiotic therapy</w:t>
            </w:r>
          </w:p>
        </w:tc>
        <w:tc>
          <w:tcPr>
            <w:tcW w:w="148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 (44%)</w:t>
            </w:r>
          </w:p>
        </w:tc>
        <w:tc>
          <w:tcPr>
            <w:tcW w:w="1841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 (58%)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1.6(0.94-2.7)</w:t>
            </w:r>
          </w:p>
        </w:tc>
        <w:tc>
          <w:tcPr>
            <w:tcW w:w="103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0.086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332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SOFA</w:t>
            </w:r>
          </w:p>
        </w:tc>
        <w:tc>
          <w:tcPr>
            <w:tcW w:w="148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 (4.0, 5.5)</w:t>
            </w:r>
          </w:p>
        </w:tc>
        <w:tc>
          <w:tcPr>
            <w:tcW w:w="1841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 (11.0, 15.0)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1.4(1.3-1.5)</w:t>
            </w:r>
          </w:p>
        </w:tc>
        <w:tc>
          <w:tcPr>
            <w:tcW w:w="103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＜0.001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332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CKD</w:t>
            </w:r>
          </w:p>
        </w:tc>
        <w:tc>
          <w:tcPr>
            <w:tcW w:w="148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(3.9%)</w:t>
            </w:r>
          </w:p>
        </w:tc>
        <w:tc>
          <w:tcPr>
            <w:tcW w:w="1841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(13%)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4.1(1.8-9.1)</w:t>
            </w:r>
          </w:p>
        </w:tc>
        <w:tc>
          <w:tcPr>
            <w:tcW w:w="103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＜0.001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332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Drinking</w:t>
            </w:r>
          </w:p>
        </w:tc>
        <w:tc>
          <w:tcPr>
            <w:tcW w:w="148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(4.7%)</w:t>
            </w:r>
          </w:p>
        </w:tc>
        <w:tc>
          <w:tcPr>
            <w:tcW w:w="1841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(5.5%)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1(0.33-3.4)</w:t>
            </w:r>
          </w:p>
        </w:tc>
        <w:tc>
          <w:tcPr>
            <w:tcW w:w="103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332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Smoking</w:t>
            </w:r>
          </w:p>
        </w:tc>
        <w:tc>
          <w:tcPr>
            <w:tcW w:w="148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(9.4%)</w:t>
            </w:r>
          </w:p>
        </w:tc>
        <w:tc>
          <w:tcPr>
            <w:tcW w:w="1841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(11%)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1(0.44-2.4)</w:t>
            </w:r>
          </w:p>
        </w:tc>
        <w:tc>
          <w:tcPr>
            <w:tcW w:w="103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332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Pitt bacteraemia score</w:t>
            </w:r>
          </w:p>
        </w:tc>
        <w:tc>
          <w:tcPr>
            <w:tcW w:w="148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 (1.0, 2.0)</w:t>
            </w:r>
          </w:p>
        </w:tc>
        <w:tc>
          <w:tcPr>
            <w:tcW w:w="1841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 (6.5, 12.0)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1.3(1.3-1.4)</w:t>
            </w:r>
          </w:p>
        </w:tc>
        <w:tc>
          <w:tcPr>
            <w:tcW w:w="103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＜0.001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332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Hypoalbuminemia</w:t>
            </w:r>
          </w:p>
        </w:tc>
        <w:tc>
          <w:tcPr>
            <w:tcW w:w="148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 (28%)</w:t>
            </w:r>
          </w:p>
        </w:tc>
        <w:tc>
          <w:tcPr>
            <w:tcW w:w="1841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 (62%)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3.7(2.1-6.3)</w:t>
            </w:r>
          </w:p>
        </w:tc>
        <w:tc>
          <w:tcPr>
            <w:tcW w:w="103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＜0.001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332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Diabetes</w:t>
            </w:r>
          </w:p>
        </w:tc>
        <w:tc>
          <w:tcPr>
            <w:tcW w:w="148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(3.1%)</w:t>
            </w:r>
          </w:p>
        </w:tc>
        <w:tc>
          <w:tcPr>
            <w:tcW w:w="1841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(9.1%)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2.8(1.1-7.2)</w:t>
            </w:r>
          </w:p>
        </w:tc>
        <w:tc>
          <w:tcPr>
            <w:tcW w:w="103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332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Hypotension</w:t>
            </w:r>
          </w:p>
        </w:tc>
        <w:tc>
          <w:tcPr>
            <w:tcW w:w="148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 (23%)</w:t>
            </w:r>
          </w:p>
        </w:tc>
        <w:tc>
          <w:tcPr>
            <w:tcW w:w="1841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 (95%)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40(12-130)</w:t>
            </w:r>
          </w:p>
        </w:tc>
        <w:tc>
          <w:tcPr>
            <w:tcW w:w="103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＜0.001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332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Pneumonia</w:t>
            </w:r>
          </w:p>
        </w:tc>
        <w:tc>
          <w:tcPr>
            <w:tcW w:w="1489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65(51.2%)</w:t>
            </w:r>
          </w:p>
        </w:tc>
        <w:tc>
          <w:tcPr>
            <w:tcW w:w="1841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33(60%)</w:t>
            </w:r>
          </w:p>
        </w:tc>
        <w:tc>
          <w:tcPr>
            <w:tcW w:w="1596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1.3(0.76-2.2)</w:t>
            </w:r>
          </w:p>
        </w:tc>
        <w:tc>
          <w:tcPr>
            <w:tcW w:w="1039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9285" w:type="dxa"/>
            <w:gridSpan w:val="5"/>
            <w:tcBorders>
              <w:top w:val="single" w:color="000000" w:sz="8" w:space="0"/>
              <w:left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Abbreviations: ANC: Absolute Neutrophil Count; HSCT: Hematopoietic Stem Cell Transplantation; ICU: prior Intensive Care Unit admission; CVC: Central Venous Catheter; CRKP: Carbapenem-Resistant Klebsiella pneumoniae; IIAT: Inappropriate Initial Antibiotic Therapy; CKD: Chronic Kidney Disease.</w:t>
            </w:r>
          </w:p>
        </w:tc>
      </w:tr>
    </w:tbl>
    <w:p>
      <w:pPr>
        <w:rPr>
          <w:rFonts w:ascii="Times New Roman" w:hAnsi="Times New Roman" w:cs="Times New Roman"/>
          <w:szCs w:val="21"/>
        </w:rPr>
      </w:pPr>
      <w:bookmarkStart w:id="4" w:name="_GoBack"/>
      <w:bookmarkEnd w:id="4"/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光行楷_CNKI">
    <w:panose1 w:val="02000500000000000000"/>
    <w:charset w:val="86"/>
    <w:family w:val="auto"/>
    <w:pitch w:val="default"/>
    <w:sig w:usb0="A00002BF" w:usb1="1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光中圆_CNKI">
    <w:panose1 w:val="02000500000000000000"/>
    <w:charset w:val="86"/>
    <w:family w:val="auto"/>
    <w:pitch w:val="default"/>
    <w:sig w:usb0="A00002BF" w:usb1="1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IyNTIzZDEzZmNmNmNmNjIxYWM2ZDUxMjZjYTM2ZWYifQ=="/>
  </w:docVars>
  <w:rsids>
    <w:rsidRoot w:val="0081294E"/>
    <w:rsid w:val="0002211E"/>
    <w:rsid w:val="000964FB"/>
    <w:rsid w:val="001538FC"/>
    <w:rsid w:val="001707AB"/>
    <w:rsid w:val="0020002F"/>
    <w:rsid w:val="00216B3A"/>
    <w:rsid w:val="00240078"/>
    <w:rsid w:val="00277580"/>
    <w:rsid w:val="00292D9B"/>
    <w:rsid w:val="0031648B"/>
    <w:rsid w:val="0032380B"/>
    <w:rsid w:val="003951F1"/>
    <w:rsid w:val="00421D66"/>
    <w:rsid w:val="00432C48"/>
    <w:rsid w:val="0048048B"/>
    <w:rsid w:val="00495A55"/>
    <w:rsid w:val="004D7454"/>
    <w:rsid w:val="004F1E7A"/>
    <w:rsid w:val="00520E6D"/>
    <w:rsid w:val="00535405"/>
    <w:rsid w:val="00591F9D"/>
    <w:rsid w:val="00600CE1"/>
    <w:rsid w:val="00616647"/>
    <w:rsid w:val="00640AF9"/>
    <w:rsid w:val="0074064A"/>
    <w:rsid w:val="00772910"/>
    <w:rsid w:val="0077549C"/>
    <w:rsid w:val="007E4580"/>
    <w:rsid w:val="007E5580"/>
    <w:rsid w:val="007F6BD6"/>
    <w:rsid w:val="0081294E"/>
    <w:rsid w:val="008408F7"/>
    <w:rsid w:val="00844F59"/>
    <w:rsid w:val="00911D1B"/>
    <w:rsid w:val="009305F6"/>
    <w:rsid w:val="00935554"/>
    <w:rsid w:val="00946E13"/>
    <w:rsid w:val="0099501D"/>
    <w:rsid w:val="009B647C"/>
    <w:rsid w:val="00A0516C"/>
    <w:rsid w:val="00A2405B"/>
    <w:rsid w:val="00A63350"/>
    <w:rsid w:val="00AA0E5F"/>
    <w:rsid w:val="00B47C29"/>
    <w:rsid w:val="00B5614A"/>
    <w:rsid w:val="00B60AE7"/>
    <w:rsid w:val="00BF0811"/>
    <w:rsid w:val="00C47580"/>
    <w:rsid w:val="00C47D38"/>
    <w:rsid w:val="00C524DA"/>
    <w:rsid w:val="00C903D4"/>
    <w:rsid w:val="00CF19BC"/>
    <w:rsid w:val="00D128FD"/>
    <w:rsid w:val="00D65CFE"/>
    <w:rsid w:val="00DF5C2E"/>
    <w:rsid w:val="00E027E2"/>
    <w:rsid w:val="00E32BDD"/>
    <w:rsid w:val="00E74FB9"/>
    <w:rsid w:val="00EA07C4"/>
    <w:rsid w:val="00EE1E6E"/>
    <w:rsid w:val="00F5251A"/>
    <w:rsid w:val="00F92EFB"/>
    <w:rsid w:val="1A602F1E"/>
    <w:rsid w:val="7BDD2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sz w:val="18"/>
      <w:szCs w:val="18"/>
    </w:rPr>
  </w:style>
  <w:style w:type="character" w:customStyle="1" w:styleId="8">
    <w:name w:val="font41"/>
    <w:basedOn w:val="5"/>
    <w:uiPriority w:val="0"/>
    <w:rPr>
      <w:rFonts w:ascii="微软雅黑" w:hAnsi="微软雅黑" w:eastAsia="微软雅黑" w:cs="微软雅黑"/>
      <w:color w:val="000000"/>
      <w:sz w:val="20"/>
      <w:szCs w:val="20"/>
      <w:u w:val="none"/>
    </w:rPr>
  </w:style>
  <w:style w:type="character" w:customStyle="1" w:styleId="9">
    <w:name w:val="font21"/>
    <w:basedOn w:val="5"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766</Words>
  <Characters>4370</Characters>
  <Lines>36</Lines>
  <Paragraphs>10</Paragraphs>
  <TotalTime>315</TotalTime>
  <ScaleCrop>false</ScaleCrop>
  <LinksUpToDate>false</LinksUpToDate>
  <CharactersWithSpaces>5126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2023-12-07T14:06:00Z</dcterms:created>
  <dc:creator>哈哈 赖</dc:creator>
  <cp:lastModifiedBy>戴维宁</cp:lastModifiedBy>
  <dcterms:modified xsi:type="dcterms:W3CDTF">2023-12-27T08:54:38Z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10D2497CFBDA498C983376F9CB0D73D2_12</vt:lpwstr>
  </property>
</Properties>
</file>