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DE43FB" w14:textId="112A99F1" w:rsidR="006606E7" w:rsidRPr="00223561" w:rsidRDefault="00E4075A" w:rsidP="00C27049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2A607670" wp14:editId="2F98D967">
            <wp:extent cx="5399589" cy="6416809"/>
            <wp:effectExtent l="0" t="0" r="0" b="3175"/>
            <wp:docPr id="1527601312" name="Imagen 2" descr="Diagrama, Dibujo de ingenierí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601312" name="Imagen 2" descr="Diagrama, Dibujo de ingeniería&#10;&#10;Descripción generada automáticamente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26" b="13331"/>
                    <a:stretch/>
                  </pic:blipFill>
                  <pic:spPr bwMode="auto">
                    <a:xfrm>
                      <a:off x="0" y="0"/>
                      <a:ext cx="5400040" cy="64173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CA59A7" w14:textId="7425A29B" w:rsidR="00345477" w:rsidRPr="00E4075A" w:rsidRDefault="00345477" w:rsidP="00345477">
      <w:pPr>
        <w:spacing w:after="0" w:line="480" w:lineRule="auto"/>
        <w:jc w:val="both"/>
        <w:rPr>
          <w:rFonts w:ascii="Times New Roman" w:hAnsi="Times New Roman" w:cs="Times New Roman"/>
          <w:bCs/>
          <w:i/>
          <w:iCs/>
          <w:color w:val="002060"/>
          <w:sz w:val="24"/>
          <w:szCs w:val="24"/>
          <w:lang w:val="en-US"/>
        </w:rPr>
      </w:pPr>
      <w:r w:rsidRPr="00E4075A">
        <w:rPr>
          <w:rFonts w:ascii="Times New Roman" w:hAnsi="Times New Roman" w:cs="Times New Roman"/>
          <w:b/>
          <w:i/>
          <w:iCs/>
          <w:color w:val="002060"/>
          <w:sz w:val="24"/>
          <w:szCs w:val="24"/>
          <w:lang w:val="en-US"/>
        </w:rPr>
        <w:t>Extended Data Fig. 1. Analysis of tumor susceptibility in Brca1/P53-deficient mice: evaluating the role of parity and cabergoline. a, b</w:t>
      </w:r>
      <w:r w:rsidRPr="00E4075A">
        <w:rPr>
          <w:rFonts w:ascii="Times New Roman" w:hAnsi="Times New Roman" w:cs="Times New Roman"/>
          <w:bCs/>
          <w:i/>
          <w:iCs/>
          <w:color w:val="002060"/>
          <w:sz w:val="24"/>
          <w:szCs w:val="24"/>
          <w:lang w:val="en-US"/>
        </w:rPr>
        <w:t xml:space="preserve">) Tumor latency (a) and incidence (b) comparison in nulliparous versus multiparous mice. </w:t>
      </w:r>
      <w:r w:rsidRPr="00E4075A">
        <w:rPr>
          <w:rFonts w:ascii="Times New Roman" w:hAnsi="Times New Roman" w:cs="Times New Roman"/>
          <w:b/>
          <w:i/>
          <w:iCs/>
          <w:color w:val="002060"/>
          <w:sz w:val="24"/>
          <w:szCs w:val="24"/>
          <w:lang w:val="en-US"/>
        </w:rPr>
        <w:t>c-f</w:t>
      </w:r>
      <w:r w:rsidRPr="00E4075A">
        <w:rPr>
          <w:rFonts w:ascii="Times New Roman" w:hAnsi="Times New Roman" w:cs="Times New Roman"/>
          <w:bCs/>
          <w:i/>
          <w:iCs/>
          <w:color w:val="002060"/>
          <w:sz w:val="24"/>
          <w:szCs w:val="24"/>
          <w:lang w:val="en-US"/>
        </w:rPr>
        <w:t xml:space="preserve">) Enhanced tumor suppression in cabergoline-treated multiparous mice: Increased latency compared to untreated multiparous (c) and nulliparous mice (d), and reduced tumor incidence versus untreated multiparous (e) and nulliparous mice (f). </w:t>
      </w:r>
      <w:r w:rsidRPr="00E4075A">
        <w:rPr>
          <w:rFonts w:ascii="Times New Roman" w:hAnsi="Times New Roman" w:cs="Times New Roman"/>
          <w:b/>
          <w:i/>
          <w:iCs/>
          <w:color w:val="002060"/>
          <w:sz w:val="24"/>
          <w:szCs w:val="24"/>
          <w:lang w:val="en-US"/>
        </w:rPr>
        <w:t>g, h</w:t>
      </w:r>
      <w:r w:rsidRPr="00E4075A">
        <w:rPr>
          <w:rFonts w:ascii="Times New Roman" w:hAnsi="Times New Roman" w:cs="Times New Roman"/>
          <w:bCs/>
          <w:i/>
          <w:iCs/>
          <w:color w:val="002060"/>
          <w:sz w:val="24"/>
          <w:szCs w:val="24"/>
          <w:lang w:val="en-US"/>
        </w:rPr>
        <w:t>) Analysis of tumor latency (g) and multiplicity (h) in biweekly cabergoline-treated nulliparous mice.</w:t>
      </w:r>
      <w:bookmarkStart w:id="0" w:name="_Hlk155814424"/>
      <w:r w:rsidR="00F80CBB" w:rsidRPr="00F80CBB">
        <w:rPr>
          <w:rFonts w:ascii="Times New Roman" w:hAnsi="Times New Roman" w:cs="Times New Roman"/>
          <w:bCs/>
          <w:i/>
          <w:iCs/>
          <w:color w:val="002060"/>
          <w:sz w:val="24"/>
          <w:szCs w:val="24"/>
          <w:lang w:val="en-US"/>
        </w:rPr>
        <w:t xml:space="preserve"> The number of mice </w:t>
      </w:r>
      <w:r w:rsidR="00F80CBB" w:rsidRPr="00F80CBB">
        <w:rPr>
          <w:rFonts w:ascii="Times New Roman" w:hAnsi="Times New Roman" w:cs="Times New Roman"/>
          <w:bCs/>
          <w:i/>
          <w:iCs/>
          <w:color w:val="002060"/>
          <w:sz w:val="24"/>
          <w:szCs w:val="24"/>
          <w:lang w:val="en-US"/>
        </w:rPr>
        <w:lastRenderedPageBreak/>
        <w:t xml:space="preserve">analyzed is indicated in the respective figure panels. </w:t>
      </w:r>
      <w:bookmarkEnd w:id="0"/>
      <w:r w:rsidRPr="00E4075A">
        <w:rPr>
          <w:rFonts w:ascii="Times New Roman" w:hAnsi="Times New Roman" w:cs="Times New Roman"/>
          <w:bCs/>
          <w:i/>
          <w:iCs/>
          <w:color w:val="002060"/>
          <w:sz w:val="24"/>
          <w:szCs w:val="24"/>
          <w:lang w:val="en-US"/>
        </w:rPr>
        <w:t>Kaplan-Meier survival curves and Log-Rank tests used for Panels a, b, d, g; Chi-square tests for Panels b, e, f, h.</w:t>
      </w:r>
    </w:p>
    <w:p w14:paraId="77DA3BBF" w14:textId="77777777" w:rsidR="00345477" w:rsidRPr="00345477" w:rsidRDefault="00345477" w:rsidP="00345477">
      <w:pPr>
        <w:spacing w:after="0" w:line="480" w:lineRule="auto"/>
        <w:jc w:val="both"/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</w:pPr>
    </w:p>
    <w:p w14:paraId="066DD74A" w14:textId="419FA867" w:rsidR="00E4075A" w:rsidRDefault="00C41987" w:rsidP="00C27049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val="en-US"/>
        </w:rPr>
        <w:drawing>
          <wp:inline distT="0" distB="0" distL="0" distR="0" wp14:anchorId="250C3F93" wp14:editId="6FD2BB98">
            <wp:extent cx="5399862" cy="7285134"/>
            <wp:effectExtent l="0" t="0" r="0" b="0"/>
            <wp:docPr id="554692102" name="Imagen 1" descr="Imagen que contiene Calendari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692102" name="Imagen 1" descr="Imagen que contiene Calendario&#10;&#10;Descripción generada automáticamente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63" b="1726"/>
                    <a:stretch/>
                  </pic:blipFill>
                  <pic:spPr bwMode="auto">
                    <a:xfrm>
                      <a:off x="0" y="0"/>
                      <a:ext cx="5400040" cy="7285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4290D7" w14:textId="74720FD0" w:rsidR="00E4075A" w:rsidRPr="00E4075A" w:rsidRDefault="00E4075A" w:rsidP="00E4075A">
      <w:pPr>
        <w:spacing w:after="0" w:line="480" w:lineRule="auto"/>
        <w:jc w:val="both"/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</w:pPr>
      <w:bookmarkStart w:id="1" w:name="_Hlk154821304"/>
      <w:r w:rsidRPr="00E4075A">
        <w:rPr>
          <w:rFonts w:ascii="Times New Roman" w:hAnsi="Times New Roman" w:cs="Times New Roman"/>
          <w:b/>
          <w:i/>
          <w:iCs/>
          <w:color w:val="002060"/>
          <w:sz w:val="24"/>
          <w:szCs w:val="24"/>
          <w:lang w:val="en-US"/>
        </w:rPr>
        <w:lastRenderedPageBreak/>
        <w:t xml:space="preserve">Extended Data </w:t>
      </w:r>
      <w:r w:rsidRPr="00E4075A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  <w:lang w:val="en-US"/>
        </w:rPr>
        <w:t>Fig. 2. Impact of cabergoline on postlactational involution in mice: molecular insights from RNA-seq a</w:t>
      </w:r>
      <w:r w:rsidRPr="00E4075A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) Heatmap from RNA-Seq analysis depicting gene expression variations one day post-lactation in cabergoline-treated and untreated Brca1/P53-deficient mice, highlighting unsupervised clustering based on differential gene transcripts (P &lt; 0.05). </w:t>
      </w:r>
      <w:r w:rsidRPr="00E4075A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  <w:lang w:val="en-US"/>
        </w:rPr>
        <w:t>b</w:t>
      </w:r>
      <w:r w:rsidRPr="00E4075A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) Box plots comparing gene expression levels in mammary glands at 1-day post-lactation between untreated </w:t>
      </w:r>
      <w:r w:rsidR="00F80CBB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(N = 5) </w:t>
      </w:r>
      <w:r w:rsidRPr="00E4075A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>and cabergoline-treated Brca1/P53-deficient mice</w:t>
      </w:r>
      <w:r w:rsidR="00F80CBB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 (N = 4)</w:t>
      </w:r>
      <w:r w:rsidRPr="00E4075A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>. P-values derived from a negative binomial test for differential expression assessment.</w:t>
      </w:r>
    </w:p>
    <w:bookmarkEnd w:id="1"/>
    <w:p w14:paraId="163148DC" w14:textId="77777777" w:rsidR="00F273D8" w:rsidRDefault="00F273D8" w:rsidP="00C27049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1A9549A7" w14:textId="242E91F8" w:rsidR="009C4530" w:rsidRDefault="009C4530" w:rsidP="00C27049">
      <w:pPr>
        <w:spacing w:line="48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iCs/>
          <w:noProof/>
          <w:sz w:val="24"/>
          <w:szCs w:val="24"/>
          <w:lang w:val="en-US"/>
        </w:rPr>
        <w:lastRenderedPageBreak/>
        <w:drawing>
          <wp:inline distT="0" distB="0" distL="0" distR="0" wp14:anchorId="29A2AB8A" wp14:editId="1EC3CD6A">
            <wp:extent cx="5399671" cy="6592837"/>
            <wp:effectExtent l="0" t="0" r="0" b="0"/>
            <wp:docPr id="1194134140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134140" name="Imagen 1194134140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56" b="10397"/>
                    <a:stretch/>
                  </pic:blipFill>
                  <pic:spPr bwMode="auto">
                    <a:xfrm>
                      <a:off x="0" y="0"/>
                      <a:ext cx="5400040" cy="65932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3A4F7B" w14:textId="75CF5D6C" w:rsidR="00117CFB" w:rsidRPr="004411C6" w:rsidRDefault="009C4530" w:rsidP="004411C6">
      <w:pPr>
        <w:spacing w:after="0" w:line="480" w:lineRule="auto"/>
        <w:jc w:val="both"/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</w:pPr>
      <w:bookmarkStart w:id="2" w:name="_Hlk144534622"/>
      <w:r w:rsidRPr="009C4530">
        <w:rPr>
          <w:rFonts w:ascii="Times New Roman" w:hAnsi="Times New Roman" w:cs="Times New Roman"/>
          <w:b/>
          <w:i/>
          <w:iCs/>
          <w:color w:val="002060"/>
          <w:sz w:val="24"/>
          <w:szCs w:val="24"/>
          <w:lang w:val="en-US"/>
        </w:rPr>
        <w:t>Extended Data</w:t>
      </w:r>
      <w:r w:rsidRPr="009C4530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  <w:lang w:val="en-US"/>
        </w:rPr>
        <w:t xml:space="preserve"> Fig. 3. Comparative analysis of ductal changes and proliferation in wild-type and Brca1/P53-deficient mice during postlactational involution.</w:t>
      </w:r>
      <w:r w:rsidRPr="009C4530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 </w:t>
      </w:r>
      <w:r w:rsidRPr="009C4530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  <w:lang w:val="en-US"/>
        </w:rPr>
        <w:t>a, b</w:t>
      </w:r>
      <w:r w:rsidRPr="009C4530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) </w:t>
      </w:r>
      <w:bookmarkStart w:id="3" w:name="_Hlk154916299"/>
      <w:r w:rsidRPr="009C4530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Ductal area assessment at 30 and 60 days post-lactation in nulliparous and multiparous wild-type mice, untreated and treated with cabergoline. </w:t>
      </w:r>
      <w:bookmarkEnd w:id="3"/>
      <w:r w:rsidRPr="009C4530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  <w:lang w:val="en-US"/>
        </w:rPr>
        <w:t>c</w:t>
      </w:r>
      <w:r w:rsidRPr="009C4530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) Comparison of ductal area changes over time in wild-type mice. </w:t>
      </w:r>
      <w:r w:rsidRPr="009C4530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  <w:lang w:val="en-US"/>
        </w:rPr>
        <w:t>d, e</w:t>
      </w:r>
      <w:r w:rsidRPr="009C4530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) Apoptosis evaluation in mammary glands of Brca1/P53-deficient mice at 60 days post-lactation using cleaved-caspase 3 immunohistochemistry, </w:t>
      </w:r>
      <w:r w:rsidRPr="009C4530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lastRenderedPageBreak/>
        <w:t xml:space="preserve">including representative images at 40x magnification. </w:t>
      </w:r>
      <w:r w:rsidRPr="009C4530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  <w:lang w:val="en-US"/>
        </w:rPr>
        <w:t>f, g</w:t>
      </w:r>
      <w:r w:rsidRPr="009C4530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) Proliferation analysis in wild-type mice </w:t>
      </w:r>
      <w:bookmarkStart w:id="4" w:name="_Hlk154916468"/>
      <w:r w:rsidRPr="009C4530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>at 30 and 60 days post-lactation</w:t>
      </w:r>
      <w:bookmarkEnd w:id="4"/>
      <w:r w:rsidRPr="009C4530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>, across different groups.</w:t>
      </w:r>
      <w:r w:rsidRPr="009C4530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  <w:lang w:val="en-US"/>
        </w:rPr>
        <w:t xml:space="preserve"> h</w:t>
      </w:r>
      <w:r w:rsidRPr="009C4530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) Comparison of proliferation changes over time in wild-type mice. </w:t>
      </w:r>
      <w:r w:rsidRPr="009C4530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  <w:lang w:val="en-US"/>
        </w:rPr>
        <w:t>i</w:t>
      </w:r>
      <w:r w:rsidRPr="009C4530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) Proliferation contrast between nulliparous wild-type and Brca1/P53-deficient mice at corresponding ages. </w:t>
      </w:r>
      <w:r w:rsidR="00002B47" w:rsidRPr="00002B47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>In each study, five mice per group were analyzed.</w:t>
      </w:r>
      <w:r w:rsidR="00002B47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 </w:t>
      </w:r>
      <w:r w:rsidRPr="009C4530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>Statistical significance denoted as *** P &lt; 0.0005; ** P &lt; 0.005; * P &lt; 0.05.</w:t>
      </w:r>
      <w:bookmarkEnd w:id="2"/>
    </w:p>
    <w:p w14:paraId="48B8D2E4" w14:textId="6CC7EB99" w:rsidR="00E21FA3" w:rsidRPr="00223561" w:rsidRDefault="00E2781E" w:rsidP="00C2704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4CA64E82" wp14:editId="797FEDF8">
            <wp:extent cx="5399897" cy="7200900"/>
            <wp:effectExtent l="0" t="0" r="0" b="0"/>
            <wp:docPr id="1058749438" name="Imagen 1" descr="Gráfico, Gráfico de cajas y bigote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749438" name="Imagen 1" descr="Gráfico, Gráfico de cajas y bigotes&#10;&#10;Descripción generada automáticamente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24" b="2469"/>
                    <a:stretch/>
                  </pic:blipFill>
                  <pic:spPr bwMode="auto">
                    <a:xfrm>
                      <a:off x="0" y="0"/>
                      <a:ext cx="5400040" cy="72010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32560F" w14:textId="513AB9D5" w:rsidR="007A4D71" w:rsidRPr="007A4D71" w:rsidRDefault="007A4D71" w:rsidP="007A4D71">
      <w:pPr>
        <w:spacing w:after="0" w:line="480" w:lineRule="auto"/>
        <w:jc w:val="both"/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</w:pPr>
      <w:r w:rsidRPr="007A4D71">
        <w:rPr>
          <w:rFonts w:ascii="Times New Roman" w:hAnsi="Times New Roman" w:cs="Times New Roman"/>
          <w:b/>
          <w:i/>
          <w:iCs/>
          <w:color w:val="002060"/>
          <w:sz w:val="24"/>
          <w:szCs w:val="24"/>
          <w:lang w:val="en-US"/>
        </w:rPr>
        <w:t>Extended Data</w:t>
      </w:r>
      <w:r w:rsidRPr="007A4D71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  <w:lang w:val="en-US"/>
        </w:rPr>
        <w:t xml:space="preserve"> Fig. 4. Comprehensive RNA-Seq analysis of mammary gland transcriptomics in Brca1/P53-deficient mice.</w:t>
      </w:r>
      <w:r w:rsidRPr="007A4D71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 </w:t>
      </w:r>
      <w:r w:rsidRPr="007A4D71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  <w:lang w:val="en-US"/>
        </w:rPr>
        <w:t>a</w:t>
      </w:r>
      <w:r w:rsidRPr="007A4D71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) Differential gene expression Analysis: evaluates gene expression in mammary glands at 60 days post-lactational involution, contrasting Brca1/P53-deficient nulliparous (N=5) and multiparous (N=4) mice. The </w:t>
      </w:r>
      <w:r w:rsidRPr="007A4D71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lastRenderedPageBreak/>
        <w:t xml:space="preserve">heatmap displays 394 overexpressed and 845 underexpressed transcripts (q &lt; 0.05). </w:t>
      </w:r>
      <w:r w:rsidRPr="007A4D71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  <w:lang w:val="en-US"/>
        </w:rPr>
        <w:t>b, c</w:t>
      </w:r>
      <w:r w:rsidRPr="007A4D71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) Biological process assessment: top 30 biological processes identified through enrichment analyses (Gene Ontology, ORA) using dot plots, categorizing underexpressed (b) and overexpressed genes (c). </w:t>
      </w:r>
      <w:r w:rsidRPr="007A4D71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  <w:lang w:val="en-US"/>
        </w:rPr>
        <w:t>d</w:t>
      </w:r>
      <w:r w:rsidRPr="007A4D71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>) Expression level comparison: box plots comparing expression in nulliparous and multiparous mice at 60 days post-lactation. Differential expression assessed via a negative binomial test, with adjusted p-values computed using Benjamini-Hochberg for FDR control. The Y-axis shows TPMs (Transcripts Per Million).</w:t>
      </w:r>
    </w:p>
    <w:p w14:paraId="4EBCD0E8" w14:textId="4D1C6AC5" w:rsidR="00E21FA3" w:rsidRPr="00E21FA3" w:rsidRDefault="00E21FA3" w:rsidP="00C27049">
      <w:pPr>
        <w:spacing w:line="480" w:lineRule="auto"/>
        <w:jc w:val="both"/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</w:pPr>
    </w:p>
    <w:p w14:paraId="497F8011" w14:textId="46867068" w:rsidR="006E7E3E" w:rsidRDefault="006E7E3E" w:rsidP="006E7E3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556F0750" wp14:editId="79D7AEA1">
            <wp:extent cx="5399646" cy="5293494"/>
            <wp:effectExtent l="0" t="0" r="0" b="2540"/>
            <wp:docPr id="1429846919" name="Imagen 11" descr="Gráfico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846919" name="Imagen 11" descr="Gráfico&#10;&#10;Descripción generada automáticamente con confianza baja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27" b="28045"/>
                    <a:stretch/>
                  </pic:blipFill>
                  <pic:spPr bwMode="auto">
                    <a:xfrm>
                      <a:off x="0" y="0"/>
                      <a:ext cx="5400040" cy="5293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E7E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6E7E3E">
        <w:rPr>
          <w:rFonts w:ascii="Times New Roman" w:hAnsi="Times New Roman" w:cs="Times New Roman"/>
          <w:b/>
          <w:i/>
          <w:iCs/>
          <w:color w:val="002060"/>
          <w:sz w:val="24"/>
          <w:szCs w:val="24"/>
          <w:lang w:val="en-US"/>
        </w:rPr>
        <w:t>Extended Data</w:t>
      </w:r>
      <w:r w:rsidRPr="006E7E3E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  <w:lang w:val="en-US"/>
        </w:rPr>
        <w:t xml:space="preserve"> Fig. 5a, b. Detailed RNA-Seq analysis of cabergoline's impact on </w:t>
      </w:r>
      <w:r w:rsidRPr="006E7E3E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  <w:lang w:val="en-US"/>
        </w:rPr>
        <w:lastRenderedPageBreak/>
        <w:t>mammary gland gene expression in Brca1/P53-deficient mice. a</w:t>
      </w:r>
      <w:r w:rsidRPr="006E7E3E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) Differential gene expression heatmap: evaluates gene expression changes in non-tumorous mammary glands of cabergoline-treated </w:t>
      </w:r>
      <w:r w:rsidR="00211FFF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(N = 5) </w:t>
      </w:r>
      <w:r w:rsidRPr="006E7E3E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and untreated </w:t>
      </w:r>
      <w:r w:rsidR="00211FFF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(N = 4) </w:t>
      </w:r>
      <w:r w:rsidRPr="006E7E3E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Brca1/P53-deficient mice, 60 days post-lactational involution. It identifies significant gene expression differences post-multitesting correction. </w:t>
      </w:r>
      <w:r w:rsidRPr="006E7E3E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  <w:lang w:val="en-US"/>
        </w:rPr>
        <w:t>b</w:t>
      </w:r>
      <w:r w:rsidRPr="006E7E3E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>) Gene expression level comparison: box plots contrasting gene expression between cabergoline-treated and untreated multiparous Brca1/P53-deficient mice at 60 days post-lactation. Differential expression analysis was conducted using a negative binomial test, with P-values adjusted using the Benjamini-Hochberg method for FDR control. TPMs (transcripts per million) are displayed on the Y-axis.</w:t>
      </w:r>
    </w:p>
    <w:p w14:paraId="1E80C2D7" w14:textId="77777777" w:rsidR="00117CFB" w:rsidRDefault="00117CFB" w:rsidP="00C2704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4649ADE" w14:textId="7E655326" w:rsidR="009D1731" w:rsidRDefault="00F433B3" w:rsidP="009D1731">
      <w:pPr>
        <w:spacing w:after="0" w:line="480" w:lineRule="auto"/>
        <w:jc w:val="both"/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0" distB="0" distL="0" distR="0" wp14:anchorId="2DD1FA06" wp14:editId="621503C8">
            <wp:extent cx="5399405" cy="5085099"/>
            <wp:effectExtent l="0" t="0" r="0" b="1270"/>
            <wp:docPr id="1733437806" name="Imagen 1" descr="Diagram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437806" name="Imagen 1" descr="Diagrama&#10;&#10;Descripción generada automáticamente con confianza media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81" b="25087"/>
                    <a:stretch/>
                  </pic:blipFill>
                  <pic:spPr bwMode="auto">
                    <a:xfrm>
                      <a:off x="0" y="0"/>
                      <a:ext cx="5400040" cy="50856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1731" w:rsidRPr="009D173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9D1731" w:rsidRPr="009D1731">
        <w:rPr>
          <w:rFonts w:ascii="Times New Roman" w:hAnsi="Times New Roman" w:cs="Times New Roman"/>
          <w:b/>
          <w:i/>
          <w:iCs/>
          <w:color w:val="002060"/>
          <w:sz w:val="24"/>
          <w:szCs w:val="24"/>
          <w:lang w:val="en-US"/>
        </w:rPr>
        <w:t>Extended Data</w:t>
      </w:r>
      <w:r w:rsidR="009D1731" w:rsidRPr="009D1731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  <w:lang w:val="en-US"/>
        </w:rPr>
        <w:t xml:space="preserve"> Fig. 5c, d. c) </w:t>
      </w:r>
      <w:r w:rsidR="009D1731" w:rsidRPr="009D1731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Heatmap of post-intersection differential expression: analyzes gene expression in non-tumorous mammary glands of cabergoline-treated </w:t>
      </w:r>
      <w:r w:rsidR="00211FFF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(N = 5) </w:t>
      </w:r>
      <w:r w:rsidR="009D1731" w:rsidRPr="009D1731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>versus nulliparous</w:t>
      </w:r>
      <w:r w:rsidR="00211FFF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 (N = 5)</w:t>
      </w:r>
      <w:r w:rsidR="009D1731" w:rsidRPr="009D1731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 Brca1/P53-deficient mice at 60 days post-lactational involution. The heatmap highlights specific DEGs identified after multitesting correction, focusing on genes uniquely altered in cabergoline-treated mice. </w:t>
      </w:r>
      <w:r w:rsidR="009D1731" w:rsidRPr="009D1731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  <w:lang w:val="en-US"/>
        </w:rPr>
        <w:t>d</w:t>
      </w:r>
      <w:r w:rsidR="009D1731" w:rsidRPr="009D1731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) Comparative gene expression analysis: box plots contrasting specific gene expressions between nulliparous and cabergoline-treated multiparous Brca1/P53-deficient mice. This analysis, conducted with a negative binomial test and adjusted for FDR using the Benjamini-Hochberg procedure, emphasizes the impact of cabergoline treatment on mammary gland gene </w:t>
      </w:r>
      <w:r w:rsidR="009D1731" w:rsidRPr="009D1731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lastRenderedPageBreak/>
        <w:t>expression, excluding overlapping DEGs and focusing on those unique to the treated group.</w:t>
      </w:r>
    </w:p>
    <w:p w14:paraId="28D51722" w14:textId="77777777" w:rsidR="009D1731" w:rsidRPr="009D1731" w:rsidRDefault="009D1731" w:rsidP="009D1731">
      <w:pPr>
        <w:spacing w:after="0" w:line="480" w:lineRule="auto"/>
        <w:jc w:val="both"/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  <w:lang w:val="en-US"/>
        </w:rPr>
      </w:pPr>
    </w:p>
    <w:p w14:paraId="26CDF397" w14:textId="347B38B2" w:rsidR="002C3A89" w:rsidRDefault="00C41987" w:rsidP="002C3A89">
      <w:pPr>
        <w:spacing w:after="0" w:line="480" w:lineRule="auto"/>
        <w:jc w:val="both"/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 wp14:anchorId="763ADCB4" wp14:editId="3922D91C">
            <wp:extent cx="5399773" cy="3657600"/>
            <wp:effectExtent l="0" t="0" r="0" b="0"/>
            <wp:docPr id="566812554" name="Imagen 6" descr="Gráfic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812554" name="Imagen 6" descr="Gráfico&#10;&#10;Descripción generada automáticamente con confianza media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77" b="47021"/>
                    <a:stretch/>
                  </pic:blipFill>
                  <pic:spPr bwMode="auto">
                    <a:xfrm>
                      <a:off x="0" y="0"/>
                      <a:ext cx="5400040" cy="36577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C3A89" w:rsidRPr="002C3A8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2C3A89" w:rsidRPr="002C3A89">
        <w:rPr>
          <w:rFonts w:ascii="Times New Roman" w:hAnsi="Times New Roman" w:cs="Times New Roman"/>
          <w:b/>
          <w:i/>
          <w:iCs/>
          <w:color w:val="002060"/>
          <w:sz w:val="24"/>
          <w:szCs w:val="24"/>
          <w:lang w:val="en-US"/>
        </w:rPr>
        <w:t>Extended Data</w:t>
      </w:r>
      <w:r w:rsidR="002C3A89" w:rsidRPr="002C3A89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  <w:lang w:val="en-US"/>
        </w:rPr>
        <w:t xml:space="preserve"> Fig. 6. Evaluation of non-recombinant (RFP-) epithelial subpopulations in Brca1/P53-deficient mice. </w:t>
      </w:r>
      <w:r w:rsidR="002C3A89" w:rsidRPr="002C3A89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This analysis examines the impact of cabergoline on non-recombinant breast epithelial subpopulations in Brca1/P53-deficient mice, 60 days post-lactational involution. Groups include nulliparous, untreated multiparous, and cabergoline-treated multiparous mice. </w:t>
      </w:r>
      <w:r w:rsidR="002C3A89" w:rsidRPr="002C3A89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  <w:lang w:val="en-US"/>
        </w:rPr>
        <w:t>a</w:t>
      </w:r>
      <w:r w:rsidR="002C3A89" w:rsidRPr="002C3A89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) Subpopulation analysis: identifies luminal (EpCAM high, CD49f low) and basal (EpCAM low, CD49f high) cells, along with ductal (Sca1+) and alveolar (Sca1-) luminal cells, based on EpCAM and CD49f expression. Progenitor (CD61+) and mature cells (CD61-) are differentiated within these subpopulations. </w:t>
      </w:r>
      <w:r w:rsidR="002C3A89" w:rsidRPr="002C3A89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  <w:lang w:val="en-US"/>
        </w:rPr>
        <w:t>b</w:t>
      </w:r>
      <w:r w:rsidR="002C3A89" w:rsidRPr="002C3A89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t xml:space="preserve">) Adjusted subpopulation analysis: mirrors comparisons in panel a, adjusting subpopulation percentages for ductal area (d.a.). Statistical analysis </w:t>
      </w:r>
      <w:r w:rsidR="002C3A89" w:rsidRPr="002C3A89"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  <w:lastRenderedPageBreak/>
        <w:t>uses Kruskal-Wallis test and Wilcoxon post-test. Significance levels indicated as *** P&lt;0.0005; ** P&lt;0.005; *P&lt;0.05.</w:t>
      </w:r>
    </w:p>
    <w:p w14:paraId="00A1E381" w14:textId="77777777" w:rsidR="002C3A89" w:rsidRPr="002C3A89" w:rsidRDefault="002C3A89" w:rsidP="002C3A89">
      <w:pPr>
        <w:spacing w:after="0" w:line="480" w:lineRule="auto"/>
        <w:jc w:val="both"/>
        <w:rPr>
          <w:rFonts w:ascii="Times New Roman" w:hAnsi="Times New Roman" w:cs="Times New Roman"/>
          <w:i/>
          <w:iCs/>
          <w:color w:val="002060"/>
          <w:sz w:val="24"/>
          <w:szCs w:val="24"/>
          <w:lang w:val="en-US"/>
        </w:rPr>
      </w:pPr>
    </w:p>
    <w:p w14:paraId="73646453" w14:textId="384F23C3" w:rsidR="006606E7" w:rsidRPr="00EB4680" w:rsidRDefault="00AD12D5" w:rsidP="002C3A89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i/>
          <w:iCs/>
          <w:noProof/>
          <w:color w:val="002060"/>
          <w:sz w:val="24"/>
          <w:szCs w:val="24"/>
          <w:lang w:val="en-US" w:eastAsia="es-ES"/>
        </w:rPr>
        <w:drawing>
          <wp:inline distT="0" distB="0" distL="0" distR="0" wp14:anchorId="4F1BCAE1" wp14:editId="2EE47168">
            <wp:extent cx="5400040" cy="6705600"/>
            <wp:effectExtent l="0" t="0" r="0" b="0"/>
            <wp:docPr id="200887994" name="Imagen 1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87994" name="Imagen 1" descr="Diagrama&#10;&#10;Descripción generada automáticamente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68" b="8466"/>
                    <a:stretch/>
                  </pic:blipFill>
                  <pic:spPr bwMode="auto">
                    <a:xfrm>
                      <a:off x="0" y="0"/>
                      <a:ext cx="5400040" cy="670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C3A89" w:rsidRPr="00EB4680">
        <w:rPr>
          <w:rFonts w:ascii="Times New Roman" w:eastAsia="Times New Roman" w:hAnsi="Times New Roman" w:cs="Times New Roman"/>
          <w:b/>
          <w:i/>
          <w:iCs/>
          <w:color w:val="002060"/>
          <w:sz w:val="24"/>
          <w:szCs w:val="24"/>
          <w:lang w:val="en-US" w:eastAsia="es-ES"/>
        </w:rPr>
        <w:t xml:space="preserve">Supplementary Figure 7. Flowchart of the SIDIAP Database Study on Post-Pregnancy Cabergoline's Impact on Breast Cancer Risk. </w:t>
      </w:r>
      <w:r w:rsidR="002C3A89" w:rsidRPr="00EB4680">
        <w:rPr>
          <w:rFonts w:ascii="Times New Roman" w:eastAsia="Times New Roman" w:hAnsi="Times New Roman" w:cs="Times New Roman"/>
          <w:bCs/>
          <w:i/>
          <w:iCs/>
          <w:color w:val="002060"/>
          <w:sz w:val="24"/>
          <w:szCs w:val="24"/>
          <w:lang w:val="en-US" w:eastAsia="es-ES"/>
        </w:rPr>
        <w:t xml:space="preserve">This figure presents the methodology of a retrospective dynamic cohort study utilizing the SIDIAP database (2006-2021) to assess </w:t>
      </w:r>
      <w:r w:rsidR="002C3A89" w:rsidRPr="00EB4680">
        <w:rPr>
          <w:rFonts w:ascii="Times New Roman" w:eastAsia="Times New Roman" w:hAnsi="Times New Roman" w:cs="Times New Roman"/>
          <w:bCs/>
          <w:i/>
          <w:iCs/>
          <w:color w:val="002060"/>
          <w:sz w:val="24"/>
          <w:szCs w:val="24"/>
          <w:lang w:val="en-US" w:eastAsia="es-ES"/>
        </w:rPr>
        <w:lastRenderedPageBreak/>
        <w:t>cabergoline's role in breast cancer prevention post-pregnancy. The study categorizes women based on cabergoline intake within one month post-pregnancy: (i) Exposed Group (n = 5,472) - Women who took cabergoline. (ii) Control Group (n = 102,959) - Women who did not. The study's focus includes a) Evaluating breast cancer incidence post-first pregnancy in women over 30, and b) Monitoring disease incidence up to 10 years following the first pregnancy, acknowledging the heightened risk for late first-time mothers.</w:t>
      </w:r>
    </w:p>
    <w:p w14:paraId="6FA30A2F" w14:textId="286DCBA0" w:rsidR="002C3A89" w:rsidRDefault="002C3A89" w:rsidP="00C27049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6CC00742" w14:textId="172974B2" w:rsidR="008222A9" w:rsidRPr="008222A9" w:rsidRDefault="00861A0D" w:rsidP="009C0916">
      <w:pPr>
        <w:rPr>
          <w:rFonts w:ascii="Times New Roman" w:hAnsi="Times New Roman" w:cs="Times New Roman"/>
          <w:noProof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instrText xml:space="preserve"> ADDIN </w:instrTex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fldChar w:fldCharType="end"/>
      </w:r>
    </w:p>
    <w:sectPr w:rsidR="008222A9" w:rsidRPr="008222A9" w:rsidSect="00C318A2">
      <w:footerReference w:type="default" r:id="rId1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431433" w14:textId="77777777" w:rsidR="00AB49CF" w:rsidRDefault="00AB49CF" w:rsidP="00BD7F0C">
      <w:pPr>
        <w:spacing w:after="0" w:line="240" w:lineRule="auto"/>
      </w:pPr>
      <w:r>
        <w:separator/>
      </w:r>
    </w:p>
  </w:endnote>
  <w:endnote w:type="continuationSeparator" w:id="0">
    <w:p w14:paraId="1AEF7887" w14:textId="77777777" w:rsidR="00AB49CF" w:rsidRDefault="00AB49CF" w:rsidP="00BD7F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49480564"/>
      <w:docPartObj>
        <w:docPartGallery w:val="Page Numbers (Bottom of Page)"/>
        <w:docPartUnique/>
      </w:docPartObj>
    </w:sdtPr>
    <w:sdtContent>
      <w:p w14:paraId="387F5552" w14:textId="747045F9" w:rsidR="00C637DC" w:rsidRDefault="00C637D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F4305">
          <w:rPr>
            <w:noProof/>
          </w:rPr>
          <w:t>19</w:t>
        </w:r>
        <w:r>
          <w:fldChar w:fldCharType="end"/>
        </w:r>
      </w:p>
    </w:sdtContent>
  </w:sdt>
  <w:p w14:paraId="422D7418" w14:textId="77777777" w:rsidR="00C637DC" w:rsidRDefault="00C637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4AA1DF" w14:textId="77777777" w:rsidR="00AB49CF" w:rsidRDefault="00AB49CF" w:rsidP="00BD7F0C">
      <w:pPr>
        <w:spacing w:after="0" w:line="240" w:lineRule="auto"/>
      </w:pPr>
      <w:r>
        <w:separator/>
      </w:r>
    </w:p>
  </w:footnote>
  <w:footnote w:type="continuationSeparator" w:id="0">
    <w:p w14:paraId="780A7184" w14:textId="77777777" w:rsidR="00AB49CF" w:rsidRDefault="00AB49CF" w:rsidP="00BD7F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462D3D"/>
    <w:multiLevelType w:val="hybridMultilevel"/>
    <w:tmpl w:val="F60257E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173782"/>
    <w:multiLevelType w:val="hybridMultilevel"/>
    <w:tmpl w:val="251C1632"/>
    <w:lvl w:ilvl="0" w:tplc="D73A466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4215898">
    <w:abstractNumId w:val="0"/>
  </w:num>
  <w:num w:numId="2" w16cid:durableId="13279001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Q1MTW0MDUwNTc1sjRX0lEKTi0uzszPAykwNDKvBQAGliAhLg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fxfx22p9aztetzep0favpvx0tfwf0tfsvpfv&quot;&gt;My EndNote Library&lt;record-ids&gt;&lt;item&gt;1&lt;/item&gt;&lt;item&gt;2&lt;/item&gt;&lt;item&gt;3&lt;/item&gt;&lt;item&gt;4&lt;/item&gt;&lt;item&gt;5&lt;/item&gt;&lt;item&gt;8&lt;/item&gt;&lt;item&gt;10&lt;/item&gt;&lt;item&gt;11&lt;/item&gt;&lt;item&gt;12&lt;/item&gt;&lt;item&gt;14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52&lt;/item&gt;&lt;item&gt;53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1&lt;/item&gt;&lt;/record-ids&gt;&lt;/item&gt;&lt;/Libraries&gt;"/>
  </w:docVars>
  <w:rsids>
    <w:rsidRoot w:val="00CB57BE"/>
    <w:rsid w:val="00000894"/>
    <w:rsid w:val="00002B47"/>
    <w:rsid w:val="00002D65"/>
    <w:rsid w:val="0000544B"/>
    <w:rsid w:val="00006605"/>
    <w:rsid w:val="00007D8D"/>
    <w:rsid w:val="00007E53"/>
    <w:rsid w:val="000109F0"/>
    <w:rsid w:val="00010E70"/>
    <w:rsid w:val="00011EE5"/>
    <w:rsid w:val="0001240F"/>
    <w:rsid w:val="00012662"/>
    <w:rsid w:val="00013FCD"/>
    <w:rsid w:val="00020903"/>
    <w:rsid w:val="00022269"/>
    <w:rsid w:val="00022613"/>
    <w:rsid w:val="00023BF4"/>
    <w:rsid w:val="00033AB7"/>
    <w:rsid w:val="00037440"/>
    <w:rsid w:val="000406C1"/>
    <w:rsid w:val="00041131"/>
    <w:rsid w:val="000415A0"/>
    <w:rsid w:val="00042F06"/>
    <w:rsid w:val="0004478D"/>
    <w:rsid w:val="00045358"/>
    <w:rsid w:val="000455DB"/>
    <w:rsid w:val="00045743"/>
    <w:rsid w:val="00051260"/>
    <w:rsid w:val="000513BE"/>
    <w:rsid w:val="00051A9A"/>
    <w:rsid w:val="00056160"/>
    <w:rsid w:val="00062151"/>
    <w:rsid w:val="00062EF8"/>
    <w:rsid w:val="000636A4"/>
    <w:rsid w:val="00063D4E"/>
    <w:rsid w:val="000641A3"/>
    <w:rsid w:val="00065D29"/>
    <w:rsid w:val="00071815"/>
    <w:rsid w:val="00072EA0"/>
    <w:rsid w:val="000735EC"/>
    <w:rsid w:val="0007559F"/>
    <w:rsid w:val="00076A02"/>
    <w:rsid w:val="00077C5D"/>
    <w:rsid w:val="00080409"/>
    <w:rsid w:val="00080673"/>
    <w:rsid w:val="00081119"/>
    <w:rsid w:val="00083DA5"/>
    <w:rsid w:val="00091DE6"/>
    <w:rsid w:val="0009395E"/>
    <w:rsid w:val="000948B0"/>
    <w:rsid w:val="00096516"/>
    <w:rsid w:val="00097401"/>
    <w:rsid w:val="00097749"/>
    <w:rsid w:val="00097E62"/>
    <w:rsid w:val="00097FA9"/>
    <w:rsid w:val="000A455F"/>
    <w:rsid w:val="000A4D9C"/>
    <w:rsid w:val="000A64E4"/>
    <w:rsid w:val="000A66BE"/>
    <w:rsid w:val="000A795D"/>
    <w:rsid w:val="000B0077"/>
    <w:rsid w:val="000B0C1F"/>
    <w:rsid w:val="000B1E9E"/>
    <w:rsid w:val="000B2F94"/>
    <w:rsid w:val="000B693B"/>
    <w:rsid w:val="000C11EC"/>
    <w:rsid w:val="000C13E2"/>
    <w:rsid w:val="000C1D0C"/>
    <w:rsid w:val="000C361F"/>
    <w:rsid w:val="000C4E02"/>
    <w:rsid w:val="000C5404"/>
    <w:rsid w:val="000C54BB"/>
    <w:rsid w:val="000C6AC8"/>
    <w:rsid w:val="000D1769"/>
    <w:rsid w:val="000D39F7"/>
    <w:rsid w:val="000D3C2A"/>
    <w:rsid w:val="000D3CFB"/>
    <w:rsid w:val="000D477F"/>
    <w:rsid w:val="000D50BC"/>
    <w:rsid w:val="000D539B"/>
    <w:rsid w:val="000D5FB3"/>
    <w:rsid w:val="000E05FA"/>
    <w:rsid w:val="000E0848"/>
    <w:rsid w:val="000E1066"/>
    <w:rsid w:val="000E11E2"/>
    <w:rsid w:val="000E1B2C"/>
    <w:rsid w:val="000E1DD3"/>
    <w:rsid w:val="000E3A5E"/>
    <w:rsid w:val="000E4512"/>
    <w:rsid w:val="000E7198"/>
    <w:rsid w:val="000E7C39"/>
    <w:rsid w:val="000F1152"/>
    <w:rsid w:val="000F310C"/>
    <w:rsid w:val="000F3568"/>
    <w:rsid w:val="000F4923"/>
    <w:rsid w:val="0010097E"/>
    <w:rsid w:val="00104DE1"/>
    <w:rsid w:val="00105167"/>
    <w:rsid w:val="00105394"/>
    <w:rsid w:val="0010781C"/>
    <w:rsid w:val="00107BA9"/>
    <w:rsid w:val="00114E99"/>
    <w:rsid w:val="00116240"/>
    <w:rsid w:val="00117CFB"/>
    <w:rsid w:val="001262E3"/>
    <w:rsid w:val="00126F57"/>
    <w:rsid w:val="00130BFD"/>
    <w:rsid w:val="001345DC"/>
    <w:rsid w:val="00135D34"/>
    <w:rsid w:val="00136947"/>
    <w:rsid w:val="00136F5E"/>
    <w:rsid w:val="00141F51"/>
    <w:rsid w:val="001446F3"/>
    <w:rsid w:val="001447B6"/>
    <w:rsid w:val="0014531F"/>
    <w:rsid w:val="0014582F"/>
    <w:rsid w:val="00145956"/>
    <w:rsid w:val="001463CC"/>
    <w:rsid w:val="001515AF"/>
    <w:rsid w:val="00157499"/>
    <w:rsid w:val="00157FED"/>
    <w:rsid w:val="00162568"/>
    <w:rsid w:val="00163CB6"/>
    <w:rsid w:val="0016545F"/>
    <w:rsid w:val="0016795E"/>
    <w:rsid w:val="0017105A"/>
    <w:rsid w:val="0017178A"/>
    <w:rsid w:val="00171E4A"/>
    <w:rsid w:val="00172162"/>
    <w:rsid w:val="00175765"/>
    <w:rsid w:val="0017639F"/>
    <w:rsid w:val="00177597"/>
    <w:rsid w:val="00180ADD"/>
    <w:rsid w:val="00183957"/>
    <w:rsid w:val="00184154"/>
    <w:rsid w:val="001925BD"/>
    <w:rsid w:val="00192BFF"/>
    <w:rsid w:val="001955EB"/>
    <w:rsid w:val="001A0571"/>
    <w:rsid w:val="001A0DAF"/>
    <w:rsid w:val="001A6982"/>
    <w:rsid w:val="001B1F16"/>
    <w:rsid w:val="001B233E"/>
    <w:rsid w:val="001B236F"/>
    <w:rsid w:val="001B33C1"/>
    <w:rsid w:val="001B4528"/>
    <w:rsid w:val="001B4EA2"/>
    <w:rsid w:val="001B698D"/>
    <w:rsid w:val="001B7BBE"/>
    <w:rsid w:val="001B7F7D"/>
    <w:rsid w:val="001C0C93"/>
    <w:rsid w:val="001C1554"/>
    <w:rsid w:val="001C3733"/>
    <w:rsid w:val="001C4A47"/>
    <w:rsid w:val="001C4EFB"/>
    <w:rsid w:val="001C73DD"/>
    <w:rsid w:val="001D03C5"/>
    <w:rsid w:val="001D2633"/>
    <w:rsid w:val="001D4DC4"/>
    <w:rsid w:val="001D5BCB"/>
    <w:rsid w:val="001D6922"/>
    <w:rsid w:val="001E0D9E"/>
    <w:rsid w:val="001E2949"/>
    <w:rsid w:val="001E2ED4"/>
    <w:rsid w:val="001E4D7F"/>
    <w:rsid w:val="001F15A4"/>
    <w:rsid w:val="001F2423"/>
    <w:rsid w:val="001F41F1"/>
    <w:rsid w:val="00201BF6"/>
    <w:rsid w:val="00203148"/>
    <w:rsid w:val="00203363"/>
    <w:rsid w:val="00203BCC"/>
    <w:rsid w:val="002045D8"/>
    <w:rsid w:val="00204DF0"/>
    <w:rsid w:val="00205543"/>
    <w:rsid w:val="00207F84"/>
    <w:rsid w:val="00211FFF"/>
    <w:rsid w:val="00213328"/>
    <w:rsid w:val="00215590"/>
    <w:rsid w:val="002166D3"/>
    <w:rsid w:val="00216E3D"/>
    <w:rsid w:val="002170F5"/>
    <w:rsid w:val="00223666"/>
    <w:rsid w:val="00225D50"/>
    <w:rsid w:val="00231173"/>
    <w:rsid w:val="002320AF"/>
    <w:rsid w:val="00233BAD"/>
    <w:rsid w:val="00241CA3"/>
    <w:rsid w:val="002435C6"/>
    <w:rsid w:val="0024464F"/>
    <w:rsid w:val="002451A5"/>
    <w:rsid w:val="00245A57"/>
    <w:rsid w:val="00245CA4"/>
    <w:rsid w:val="00245E74"/>
    <w:rsid w:val="00246054"/>
    <w:rsid w:val="00246142"/>
    <w:rsid w:val="0024654A"/>
    <w:rsid w:val="002466A8"/>
    <w:rsid w:val="002468A8"/>
    <w:rsid w:val="00247B6C"/>
    <w:rsid w:val="00247DC1"/>
    <w:rsid w:val="00250F24"/>
    <w:rsid w:val="0025121B"/>
    <w:rsid w:val="00253612"/>
    <w:rsid w:val="0025556D"/>
    <w:rsid w:val="00260A40"/>
    <w:rsid w:val="002610FB"/>
    <w:rsid w:val="002634A0"/>
    <w:rsid w:val="00263893"/>
    <w:rsid w:val="002645D6"/>
    <w:rsid w:val="00264D2A"/>
    <w:rsid w:val="00271D3D"/>
    <w:rsid w:val="00272470"/>
    <w:rsid w:val="002741F8"/>
    <w:rsid w:val="00275A49"/>
    <w:rsid w:val="002762F3"/>
    <w:rsid w:val="002773A3"/>
    <w:rsid w:val="002812B6"/>
    <w:rsid w:val="00281E3A"/>
    <w:rsid w:val="0028536C"/>
    <w:rsid w:val="00285E24"/>
    <w:rsid w:val="00295EDB"/>
    <w:rsid w:val="002967CF"/>
    <w:rsid w:val="002A284D"/>
    <w:rsid w:val="002A3EA9"/>
    <w:rsid w:val="002A570B"/>
    <w:rsid w:val="002A58EC"/>
    <w:rsid w:val="002A6027"/>
    <w:rsid w:val="002A7A85"/>
    <w:rsid w:val="002B515A"/>
    <w:rsid w:val="002B53B8"/>
    <w:rsid w:val="002B6D5D"/>
    <w:rsid w:val="002C1C0A"/>
    <w:rsid w:val="002C1FB1"/>
    <w:rsid w:val="002C239A"/>
    <w:rsid w:val="002C3A89"/>
    <w:rsid w:val="002C64D8"/>
    <w:rsid w:val="002E1A59"/>
    <w:rsid w:val="002E1B34"/>
    <w:rsid w:val="002E24EC"/>
    <w:rsid w:val="002E2CFC"/>
    <w:rsid w:val="002E3AE7"/>
    <w:rsid w:val="002E3FA9"/>
    <w:rsid w:val="002E6D27"/>
    <w:rsid w:val="002F1554"/>
    <w:rsid w:val="002F181A"/>
    <w:rsid w:val="002F2E96"/>
    <w:rsid w:val="002F41F6"/>
    <w:rsid w:val="002F5F2F"/>
    <w:rsid w:val="002F75C6"/>
    <w:rsid w:val="00300668"/>
    <w:rsid w:val="003008E3"/>
    <w:rsid w:val="00304214"/>
    <w:rsid w:val="00314BD3"/>
    <w:rsid w:val="00316CFD"/>
    <w:rsid w:val="00317A1D"/>
    <w:rsid w:val="00321C27"/>
    <w:rsid w:val="00321F2E"/>
    <w:rsid w:val="003245CB"/>
    <w:rsid w:val="003263F7"/>
    <w:rsid w:val="00326AE1"/>
    <w:rsid w:val="003312A9"/>
    <w:rsid w:val="0033237E"/>
    <w:rsid w:val="00332CEA"/>
    <w:rsid w:val="003360A3"/>
    <w:rsid w:val="00336A26"/>
    <w:rsid w:val="00337EC5"/>
    <w:rsid w:val="003428BC"/>
    <w:rsid w:val="003441D8"/>
    <w:rsid w:val="0034443E"/>
    <w:rsid w:val="00345477"/>
    <w:rsid w:val="00345A6A"/>
    <w:rsid w:val="00347347"/>
    <w:rsid w:val="00347718"/>
    <w:rsid w:val="00347A3A"/>
    <w:rsid w:val="00351811"/>
    <w:rsid w:val="0035210C"/>
    <w:rsid w:val="00353499"/>
    <w:rsid w:val="00355449"/>
    <w:rsid w:val="00355CBD"/>
    <w:rsid w:val="00356313"/>
    <w:rsid w:val="003565FD"/>
    <w:rsid w:val="00357D28"/>
    <w:rsid w:val="00362371"/>
    <w:rsid w:val="0036264C"/>
    <w:rsid w:val="003628FB"/>
    <w:rsid w:val="00364E30"/>
    <w:rsid w:val="00364E9C"/>
    <w:rsid w:val="00365EF8"/>
    <w:rsid w:val="0036608F"/>
    <w:rsid w:val="00367FE7"/>
    <w:rsid w:val="0037553D"/>
    <w:rsid w:val="00375A8F"/>
    <w:rsid w:val="003766BA"/>
    <w:rsid w:val="003767A5"/>
    <w:rsid w:val="00376F70"/>
    <w:rsid w:val="00377A17"/>
    <w:rsid w:val="00377D28"/>
    <w:rsid w:val="003802E0"/>
    <w:rsid w:val="003827B7"/>
    <w:rsid w:val="003833D1"/>
    <w:rsid w:val="003835CC"/>
    <w:rsid w:val="00385E15"/>
    <w:rsid w:val="00387BC8"/>
    <w:rsid w:val="00396C53"/>
    <w:rsid w:val="003A0E0E"/>
    <w:rsid w:val="003A1981"/>
    <w:rsid w:val="003A2130"/>
    <w:rsid w:val="003A4CA6"/>
    <w:rsid w:val="003B0CE5"/>
    <w:rsid w:val="003B16ED"/>
    <w:rsid w:val="003B2106"/>
    <w:rsid w:val="003B3BC5"/>
    <w:rsid w:val="003B428C"/>
    <w:rsid w:val="003B5D05"/>
    <w:rsid w:val="003B6C7C"/>
    <w:rsid w:val="003C1E8A"/>
    <w:rsid w:val="003C1EC6"/>
    <w:rsid w:val="003C311A"/>
    <w:rsid w:val="003D02E7"/>
    <w:rsid w:val="003D1EB2"/>
    <w:rsid w:val="003D5A8D"/>
    <w:rsid w:val="003D72D3"/>
    <w:rsid w:val="003F2584"/>
    <w:rsid w:val="00400E32"/>
    <w:rsid w:val="0040101A"/>
    <w:rsid w:val="0040342A"/>
    <w:rsid w:val="00404394"/>
    <w:rsid w:val="004050F4"/>
    <w:rsid w:val="004056FA"/>
    <w:rsid w:val="0040601F"/>
    <w:rsid w:val="00406875"/>
    <w:rsid w:val="00406BE3"/>
    <w:rsid w:val="00406FFC"/>
    <w:rsid w:val="00411D67"/>
    <w:rsid w:val="004137D7"/>
    <w:rsid w:val="004146BF"/>
    <w:rsid w:val="00414D00"/>
    <w:rsid w:val="004154DB"/>
    <w:rsid w:val="004168F1"/>
    <w:rsid w:val="00417A7C"/>
    <w:rsid w:val="00417C05"/>
    <w:rsid w:val="0042082A"/>
    <w:rsid w:val="0042092E"/>
    <w:rsid w:val="00420AAD"/>
    <w:rsid w:val="00422B6C"/>
    <w:rsid w:val="00424671"/>
    <w:rsid w:val="0042752C"/>
    <w:rsid w:val="004277B6"/>
    <w:rsid w:val="00427B3A"/>
    <w:rsid w:val="00427E90"/>
    <w:rsid w:val="004305A5"/>
    <w:rsid w:val="00431290"/>
    <w:rsid w:val="00432185"/>
    <w:rsid w:val="004338B5"/>
    <w:rsid w:val="00433BBD"/>
    <w:rsid w:val="00436158"/>
    <w:rsid w:val="00437292"/>
    <w:rsid w:val="004411C6"/>
    <w:rsid w:val="004414F5"/>
    <w:rsid w:val="00441AB0"/>
    <w:rsid w:val="00444D82"/>
    <w:rsid w:val="0044538A"/>
    <w:rsid w:val="00445437"/>
    <w:rsid w:val="0045391C"/>
    <w:rsid w:val="00456BE1"/>
    <w:rsid w:val="00456C2D"/>
    <w:rsid w:val="00457192"/>
    <w:rsid w:val="00457671"/>
    <w:rsid w:val="00457C1D"/>
    <w:rsid w:val="00460D01"/>
    <w:rsid w:val="00460F2E"/>
    <w:rsid w:val="00461D5E"/>
    <w:rsid w:val="004626DB"/>
    <w:rsid w:val="004642FA"/>
    <w:rsid w:val="00467E3B"/>
    <w:rsid w:val="0047013F"/>
    <w:rsid w:val="00470704"/>
    <w:rsid w:val="00472384"/>
    <w:rsid w:val="004752DC"/>
    <w:rsid w:val="00475E62"/>
    <w:rsid w:val="004769C8"/>
    <w:rsid w:val="004848C2"/>
    <w:rsid w:val="00486270"/>
    <w:rsid w:val="004909B4"/>
    <w:rsid w:val="00491E2B"/>
    <w:rsid w:val="00493EFB"/>
    <w:rsid w:val="0049401D"/>
    <w:rsid w:val="0049430D"/>
    <w:rsid w:val="00495193"/>
    <w:rsid w:val="004A1C88"/>
    <w:rsid w:val="004A2977"/>
    <w:rsid w:val="004A5CC4"/>
    <w:rsid w:val="004A7EC4"/>
    <w:rsid w:val="004B092F"/>
    <w:rsid w:val="004B2AC2"/>
    <w:rsid w:val="004B2D7B"/>
    <w:rsid w:val="004B3C1A"/>
    <w:rsid w:val="004B4829"/>
    <w:rsid w:val="004B4F59"/>
    <w:rsid w:val="004B529A"/>
    <w:rsid w:val="004C0281"/>
    <w:rsid w:val="004C05FA"/>
    <w:rsid w:val="004C66CE"/>
    <w:rsid w:val="004C6D24"/>
    <w:rsid w:val="004D05BE"/>
    <w:rsid w:val="004D3034"/>
    <w:rsid w:val="004D39F2"/>
    <w:rsid w:val="004D3C03"/>
    <w:rsid w:val="004D5D9F"/>
    <w:rsid w:val="004E07A3"/>
    <w:rsid w:val="004E4DD9"/>
    <w:rsid w:val="004E55B3"/>
    <w:rsid w:val="004E6936"/>
    <w:rsid w:val="004F1780"/>
    <w:rsid w:val="004F1A7F"/>
    <w:rsid w:val="004F2AE3"/>
    <w:rsid w:val="004F4CD0"/>
    <w:rsid w:val="004F7A7C"/>
    <w:rsid w:val="004F7D91"/>
    <w:rsid w:val="005013A6"/>
    <w:rsid w:val="00501906"/>
    <w:rsid w:val="0050278E"/>
    <w:rsid w:val="0050437B"/>
    <w:rsid w:val="00510AC6"/>
    <w:rsid w:val="00511AA4"/>
    <w:rsid w:val="00511CBE"/>
    <w:rsid w:val="00512A72"/>
    <w:rsid w:val="005163B0"/>
    <w:rsid w:val="005206BA"/>
    <w:rsid w:val="00520D7C"/>
    <w:rsid w:val="00522C86"/>
    <w:rsid w:val="00524507"/>
    <w:rsid w:val="005257B3"/>
    <w:rsid w:val="00525E0D"/>
    <w:rsid w:val="00531B2A"/>
    <w:rsid w:val="00531FD5"/>
    <w:rsid w:val="00533F44"/>
    <w:rsid w:val="00534ED8"/>
    <w:rsid w:val="0053709D"/>
    <w:rsid w:val="00543807"/>
    <w:rsid w:val="00544B59"/>
    <w:rsid w:val="00545138"/>
    <w:rsid w:val="00546E64"/>
    <w:rsid w:val="00547548"/>
    <w:rsid w:val="005514C5"/>
    <w:rsid w:val="00551F94"/>
    <w:rsid w:val="00552A06"/>
    <w:rsid w:val="00555611"/>
    <w:rsid w:val="00561A2A"/>
    <w:rsid w:val="00563A8D"/>
    <w:rsid w:val="00564402"/>
    <w:rsid w:val="0057018C"/>
    <w:rsid w:val="00570E52"/>
    <w:rsid w:val="005727D2"/>
    <w:rsid w:val="00573EA5"/>
    <w:rsid w:val="00574645"/>
    <w:rsid w:val="00574B20"/>
    <w:rsid w:val="00580E03"/>
    <w:rsid w:val="00582E01"/>
    <w:rsid w:val="00584835"/>
    <w:rsid w:val="005863C6"/>
    <w:rsid w:val="00586EFF"/>
    <w:rsid w:val="0058726B"/>
    <w:rsid w:val="005879C9"/>
    <w:rsid w:val="00587A88"/>
    <w:rsid w:val="0059107E"/>
    <w:rsid w:val="00594B9D"/>
    <w:rsid w:val="0059568B"/>
    <w:rsid w:val="00595EE4"/>
    <w:rsid w:val="005A012F"/>
    <w:rsid w:val="005A6003"/>
    <w:rsid w:val="005A6A62"/>
    <w:rsid w:val="005B0EB3"/>
    <w:rsid w:val="005B1464"/>
    <w:rsid w:val="005B1B1E"/>
    <w:rsid w:val="005B42E0"/>
    <w:rsid w:val="005B4B82"/>
    <w:rsid w:val="005B4D7E"/>
    <w:rsid w:val="005B5916"/>
    <w:rsid w:val="005B63BB"/>
    <w:rsid w:val="005B764C"/>
    <w:rsid w:val="005C10E2"/>
    <w:rsid w:val="005C5517"/>
    <w:rsid w:val="005C5DF0"/>
    <w:rsid w:val="005C6234"/>
    <w:rsid w:val="005C77E9"/>
    <w:rsid w:val="005C7912"/>
    <w:rsid w:val="005D0BE5"/>
    <w:rsid w:val="005D264C"/>
    <w:rsid w:val="005D2C87"/>
    <w:rsid w:val="005D51F0"/>
    <w:rsid w:val="005E0C8F"/>
    <w:rsid w:val="005E373F"/>
    <w:rsid w:val="005E3CAE"/>
    <w:rsid w:val="005E538F"/>
    <w:rsid w:val="005F2298"/>
    <w:rsid w:val="005F2415"/>
    <w:rsid w:val="005F69D3"/>
    <w:rsid w:val="0060182F"/>
    <w:rsid w:val="00606BC2"/>
    <w:rsid w:val="00607F9B"/>
    <w:rsid w:val="006104E1"/>
    <w:rsid w:val="00610FAB"/>
    <w:rsid w:val="006126FD"/>
    <w:rsid w:val="00612785"/>
    <w:rsid w:val="00613620"/>
    <w:rsid w:val="006223D0"/>
    <w:rsid w:val="00622626"/>
    <w:rsid w:val="00623541"/>
    <w:rsid w:val="00623591"/>
    <w:rsid w:val="00625087"/>
    <w:rsid w:val="00625711"/>
    <w:rsid w:val="006257E2"/>
    <w:rsid w:val="006266BE"/>
    <w:rsid w:val="00626FD7"/>
    <w:rsid w:val="0062745B"/>
    <w:rsid w:val="00630A5B"/>
    <w:rsid w:val="006310DC"/>
    <w:rsid w:val="00632544"/>
    <w:rsid w:val="006354B1"/>
    <w:rsid w:val="00635EA4"/>
    <w:rsid w:val="0064523B"/>
    <w:rsid w:val="006456BB"/>
    <w:rsid w:val="00645A96"/>
    <w:rsid w:val="0064646C"/>
    <w:rsid w:val="00646972"/>
    <w:rsid w:val="006471DF"/>
    <w:rsid w:val="006472A2"/>
    <w:rsid w:val="00651896"/>
    <w:rsid w:val="00652117"/>
    <w:rsid w:val="00653763"/>
    <w:rsid w:val="006539ED"/>
    <w:rsid w:val="00653B34"/>
    <w:rsid w:val="00657E31"/>
    <w:rsid w:val="006606E7"/>
    <w:rsid w:val="006609C1"/>
    <w:rsid w:val="00660E19"/>
    <w:rsid w:val="00661230"/>
    <w:rsid w:val="00661D54"/>
    <w:rsid w:val="00662C6A"/>
    <w:rsid w:val="0066311E"/>
    <w:rsid w:val="00664FB9"/>
    <w:rsid w:val="00666F8E"/>
    <w:rsid w:val="006700C6"/>
    <w:rsid w:val="00671277"/>
    <w:rsid w:val="006728E2"/>
    <w:rsid w:val="006738FA"/>
    <w:rsid w:val="00675966"/>
    <w:rsid w:val="006762FA"/>
    <w:rsid w:val="00676950"/>
    <w:rsid w:val="00676B4A"/>
    <w:rsid w:val="00676E74"/>
    <w:rsid w:val="00683850"/>
    <w:rsid w:val="0068391F"/>
    <w:rsid w:val="00683C8A"/>
    <w:rsid w:val="006858D0"/>
    <w:rsid w:val="006908CF"/>
    <w:rsid w:val="00690C81"/>
    <w:rsid w:val="00691949"/>
    <w:rsid w:val="00695297"/>
    <w:rsid w:val="00696B83"/>
    <w:rsid w:val="006A06BF"/>
    <w:rsid w:val="006A147B"/>
    <w:rsid w:val="006A230D"/>
    <w:rsid w:val="006A357D"/>
    <w:rsid w:val="006A5798"/>
    <w:rsid w:val="006A7E05"/>
    <w:rsid w:val="006B062C"/>
    <w:rsid w:val="006B3C92"/>
    <w:rsid w:val="006B5683"/>
    <w:rsid w:val="006B5F06"/>
    <w:rsid w:val="006B632B"/>
    <w:rsid w:val="006B6DDA"/>
    <w:rsid w:val="006C2739"/>
    <w:rsid w:val="006C3368"/>
    <w:rsid w:val="006C3F8E"/>
    <w:rsid w:val="006C4720"/>
    <w:rsid w:val="006C6DB0"/>
    <w:rsid w:val="006C795B"/>
    <w:rsid w:val="006D15A9"/>
    <w:rsid w:val="006D1A1A"/>
    <w:rsid w:val="006D2E20"/>
    <w:rsid w:val="006D5EF3"/>
    <w:rsid w:val="006D608E"/>
    <w:rsid w:val="006D6AB1"/>
    <w:rsid w:val="006E1604"/>
    <w:rsid w:val="006E6AE9"/>
    <w:rsid w:val="006E7464"/>
    <w:rsid w:val="006E7E3E"/>
    <w:rsid w:val="006F08CC"/>
    <w:rsid w:val="006F4305"/>
    <w:rsid w:val="006F6982"/>
    <w:rsid w:val="0070019B"/>
    <w:rsid w:val="0070254B"/>
    <w:rsid w:val="00703B43"/>
    <w:rsid w:val="00707119"/>
    <w:rsid w:val="00710ABE"/>
    <w:rsid w:val="007154C7"/>
    <w:rsid w:val="00717D7F"/>
    <w:rsid w:val="007242E8"/>
    <w:rsid w:val="00732E96"/>
    <w:rsid w:val="00733394"/>
    <w:rsid w:val="007410B3"/>
    <w:rsid w:val="00742256"/>
    <w:rsid w:val="0074227A"/>
    <w:rsid w:val="00742B08"/>
    <w:rsid w:val="00743AFA"/>
    <w:rsid w:val="007448DB"/>
    <w:rsid w:val="0074490A"/>
    <w:rsid w:val="00745654"/>
    <w:rsid w:val="00745899"/>
    <w:rsid w:val="007462B0"/>
    <w:rsid w:val="00746F08"/>
    <w:rsid w:val="00747177"/>
    <w:rsid w:val="00750E8A"/>
    <w:rsid w:val="007527DE"/>
    <w:rsid w:val="007528EC"/>
    <w:rsid w:val="007544CA"/>
    <w:rsid w:val="00760A86"/>
    <w:rsid w:val="007645B2"/>
    <w:rsid w:val="00765B5C"/>
    <w:rsid w:val="00766AB3"/>
    <w:rsid w:val="00767A63"/>
    <w:rsid w:val="00770988"/>
    <w:rsid w:val="00770BD4"/>
    <w:rsid w:val="00771A94"/>
    <w:rsid w:val="007724AD"/>
    <w:rsid w:val="00775ECD"/>
    <w:rsid w:val="00776DEA"/>
    <w:rsid w:val="00777264"/>
    <w:rsid w:val="0078024A"/>
    <w:rsid w:val="007819F7"/>
    <w:rsid w:val="0078255E"/>
    <w:rsid w:val="00782A89"/>
    <w:rsid w:val="00785C21"/>
    <w:rsid w:val="00786C9F"/>
    <w:rsid w:val="0079046A"/>
    <w:rsid w:val="007916D3"/>
    <w:rsid w:val="00791C75"/>
    <w:rsid w:val="007925E8"/>
    <w:rsid w:val="007A1408"/>
    <w:rsid w:val="007A47E5"/>
    <w:rsid w:val="007A4D71"/>
    <w:rsid w:val="007B0708"/>
    <w:rsid w:val="007B4B35"/>
    <w:rsid w:val="007B6A0C"/>
    <w:rsid w:val="007C1606"/>
    <w:rsid w:val="007C26F5"/>
    <w:rsid w:val="007C621F"/>
    <w:rsid w:val="007C7B16"/>
    <w:rsid w:val="007D0365"/>
    <w:rsid w:val="007D18EA"/>
    <w:rsid w:val="007D221A"/>
    <w:rsid w:val="007D400A"/>
    <w:rsid w:val="007D5A6D"/>
    <w:rsid w:val="007D7D11"/>
    <w:rsid w:val="007E1749"/>
    <w:rsid w:val="007E1FDE"/>
    <w:rsid w:val="007E3343"/>
    <w:rsid w:val="007E5C1C"/>
    <w:rsid w:val="007E66E9"/>
    <w:rsid w:val="007E708C"/>
    <w:rsid w:val="007E79AC"/>
    <w:rsid w:val="007F0176"/>
    <w:rsid w:val="007F02A8"/>
    <w:rsid w:val="007F119B"/>
    <w:rsid w:val="007F2486"/>
    <w:rsid w:val="007F320E"/>
    <w:rsid w:val="007F35B7"/>
    <w:rsid w:val="007F458F"/>
    <w:rsid w:val="007F47A3"/>
    <w:rsid w:val="007F4FE9"/>
    <w:rsid w:val="007F5429"/>
    <w:rsid w:val="007F5481"/>
    <w:rsid w:val="008009B7"/>
    <w:rsid w:val="00801276"/>
    <w:rsid w:val="00801733"/>
    <w:rsid w:val="00801FB5"/>
    <w:rsid w:val="0080279A"/>
    <w:rsid w:val="008027B0"/>
    <w:rsid w:val="008043E4"/>
    <w:rsid w:val="00804BBC"/>
    <w:rsid w:val="00804F95"/>
    <w:rsid w:val="008055FF"/>
    <w:rsid w:val="008074D2"/>
    <w:rsid w:val="00807C06"/>
    <w:rsid w:val="00812011"/>
    <w:rsid w:val="00813080"/>
    <w:rsid w:val="00816B5E"/>
    <w:rsid w:val="00816C8B"/>
    <w:rsid w:val="00817B0C"/>
    <w:rsid w:val="0082170B"/>
    <w:rsid w:val="00821B7E"/>
    <w:rsid w:val="008222A9"/>
    <w:rsid w:val="0082243A"/>
    <w:rsid w:val="00822556"/>
    <w:rsid w:val="008228EE"/>
    <w:rsid w:val="00822BAA"/>
    <w:rsid w:val="00824724"/>
    <w:rsid w:val="008262CE"/>
    <w:rsid w:val="00827F92"/>
    <w:rsid w:val="00831500"/>
    <w:rsid w:val="00832618"/>
    <w:rsid w:val="00832C87"/>
    <w:rsid w:val="008355A0"/>
    <w:rsid w:val="0083582D"/>
    <w:rsid w:val="008425B4"/>
    <w:rsid w:val="0084358E"/>
    <w:rsid w:val="00846BFF"/>
    <w:rsid w:val="00846C50"/>
    <w:rsid w:val="008476D9"/>
    <w:rsid w:val="00855F03"/>
    <w:rsid w:val="00856057"/>
    <w:rsid w:val="00856589"/>
    <w:rsid w:val="00857964"/>
    <w:rsid w:val="00860D20"/>
    <w:rsid w:val="00861721"/>
    <w:rsid w:val="00861A0D"/>
    <w:rsid w:val="00861ACE"/>
    <w:rsid w:val="00862BB7"/>
    <w:rsid w:val="00863102"/>
    <w:rsid w:val="008661BA"/>
    <w:rsid w:val="00866207"/>
    <w:rsid w:val="0087132D"/>
    <w:rsid w:val="00872367"/>
    <w:rsid w:val="008733EF"/>
    <w:rsid w:val="00875A69"/>
    <w:rsid w:val="00882091"/>
    <w:rsid w:val="0088271C"/>
    <w:rsid w:val="00883079"/>
    <w:rsid w:val="00884B67"/>
    <w:rsid w:val="00886529"/>
    <w:rsid w:val="008874AE"/>
    <w:rsid w:val="008878A9"/>
    <w:rsid w:val="008929BF"/>
    <w:rsid w:val="00894D25"/>
    <w:rsid w:val="008953D8"/>
    <w:rsid w:val="008A0B97"/>
    <w:rsid w:val="008A1F73"/>
    <w:rsid w:val="008A30D3"/>
    <w:rsid w:val="008B1A73"/>
    <w:rsid w:val="008B3DE2"/>
    <w:rsid w:val="008B5574"/>
    <w:rsid w:val="008C09C3"/>
    <w:rsid w:val="008C11C8"/>
    <w:rsid w:val="008C34B3"/>
    <w:rsid w:val="008C3A8C"/>
    <w:rsid w:val="008C76D8"/>
    <w:rsid w:val="008D23C5"/>
    <w:rsid w:val="008D3347"/>
    <w:rsid w:val="008D3DE1"/>
    <w:rsid w:val="008D4394"/>
    <w:rsid w:val="008D607F"/>
    <w:rsid w:val="008D6B8D"/>
    <w:rsid w:val="008D7270"/>
    <w:rsid w:val="008E0E7E"/>
    <w:rsid w:val="008E1C1E"/>
    <w:rsid w:val="008E2591"/>
    <w:rsid w:val="008E5A52"/>
    <w:rsid w:val="008F09F3"/>
    <w:rsid w:val="008F0E03"/>
    <w:rsid w:val="008F14A5"/>
    <w:rsid w:val="008F2F51"/>
    <w:rsid w:val="008F4406"/>
    <w:rsid w:val="008F6FC0"/>
    <w:rsid w:val="00901AB6"/>
    <w:rsid w:val="009045B8"/>
    <w:rsid w:val="00904AA0"/>
    <w:rsid w:val="00904E6E"/>
    <w:rsid w:val="00904F92"/>
    <w:rsid w:val="00912504"/>
    <w:rsid w:val="009175BB"/>
    <w:rsid w:val="00917BB6"/>
    <w:rsid w:val="0092101E"/>
    <w:rsid w:val="0092289D"/>
    <w:rsid w:val="00924B8D"/>
    <w:rsid w:val="00925BDD"/>
    <w:rsid w:val="00927519"/>
    <w:rsid w:val="009310FD"/>
    <w:rsid w:val="009321CB"/>
    <w:rsid w:val="009330A6"/>
    <w:rsid w:val="009337C0"/>
    <w:rsid w:val="009366F1"/>
    <w:rsid w:val="0094230E"/>
    <w:rsid w:val="009424F8"/>
    <w:rsid w:val="009434CD"/>
    <w:rsid w:val="009435E1"/>
    <w:rsid w:val="0094475C"/>
    <w:rsid w:val="00944E72"/>
    <w:rsid w:val="00951214"/>
    <w:rsid w:val="00952256"/>
    <w:rsid w:val="00953ECE"/>
    <w:rsid w:val="00953FBB"/>
    <w:rsid w:val="00954957"/>
    <w:rsid w:val="0095690C"/>
    <w:rsid w:val="00956E4B"/>
    <w:rsid w:val="009572F4"/>
    <w:rsid w:val="0096320B"/>
    <w:rsid w:val="00964070"/>
    <w:rsid w:val="009660CF"/>
    <w:rsid w:val="0096773E"/>
    <w:rsid w:val="00972D9D"/>
    <w:rsid w:val="00973161"/>
    <w:rsid w:val="00973C45"/>
    <w:rsid w:val="00974AF5"/>
    <w:rsid w:val="0097757B"/>
    <w:rsid w:val="009802A8"/>
    <w:rsid w:val="009803C8"/>
    <w:rsid w:val="00981187"/>
    <w:rsid w:val="00982928"/>
    <w:rsid w:val="009840BF"/>
    <w:rsid w:val="00984A65"/>
    <w:rsid w:val="00984D97"/>
    <w:rsid w:val="0098688F"/>
    <w:rsid w:val="0099170F"/>
    <w:rsid w:val="00993782"/>
    <w:rsid w:val="0099786E"/>
    <w:rsid w:val="009A0337"/>
    <w:rsid w:val="009A0552"/>
    <w:rsid w:val="009A06C2"/>
    <w:rsid w:val="009A09B1"/>
    <w:rsid w:val="009A26B3"/>
    <w:rsid w:val="009A3096"/>
    <w:rsid w:val="009A31B8"/>
    <w:rsid w:val="009A393A"/>
    <w:rsid w:val="009A3EF7"/>
    <w:rsid w:val="009A48CD"/>
    <w:rsid w:val="009A4F0F"/>
    <w:rsid w:val="009A769D"/>
    <w:rsid w:val="009B0A18"/>
    <w:rsid w:val="009B147C"/>
    <w:rsid w:val="009B3D8A"/>
    <w:rsid w:val="009B41A3"/>
    <w:rsid w:val="009B43E2"/>
    <w:rsid w:val="009B462F"/>
    <w:rsid w:val="009B5D17"/>
    <w:rsid w:val="009B5F55"/>
    <w:rsid w:val="009B69C5"/>
    <w:rsid w:val="009B734F"/>
    <w:rsid w:val="009C0916"/>
    <w:rsid w:val="009C25E6"/>
    <w:rsid w:val="009C3342"/>
    <w:rsid w:val="009C3489"/>
    <w:rsid w:val="009C4530"/>
    <w:rsid w:val="009C54D4"/>
    <w:rsid w:val="009D08E5"/>
    <w:rsid w:val="009D11FB"/>
    <w:rsid w:val="009D1731"/>
    <w:rsid w:val="009D3CAB"/>
    <w:rsid w:val="009D6A23"/>
    <w:rsid w:val="009E276C"/>
    <w:rsid w:val="009E2DFC"/>
    <w:rsid w:val="009E408F"/>
    <w:rsid w:val="009E6AE5"/>
    <w:rsid w:val="009E71C7"/>
    <w:rsid w:val="009E7D34"/>
    <w:rsid w:val="009E7D37"/>
    <w:rsid w:val="009E7EE1"/>
    <w:rsid w:val="009F3073"/>
    <w:rsid w:val="009F40BD"/>
    <w:rsid w:val="009F5085"/>
    <w:rsid w:val="009F5B8B"/>
    <w:rsid w:val="009F5DC4"/>
    <w:rsid w:val="009F6C2E"/>
    <w:rsid w:val="00A0561D"/>
    <w:rsid w:val="00A06A0D"/>
    <w:rsid w:val="00A07592"/>
    <w:rsid w:val="00A07B98"/>
    <w:rsid w:val="00A10901"/>
    <w:rsid w:val="00A1271E"/>
    <w:rsid w:val="00A1689C"/>
    <w:rsid w:val="00A20666"/>
    <w:rsid w:val="00A2093A"/>
    <w:rsid w:val="00A22BAF"/>
    <w:rsid w:val="00A24AA5"/>
    <w:rsid w:val="00A25005"/>
    <w:rsid w:val="00A30078"/>
    <w:rsid w:val="00A30475"/>
    <w:rsid w:val="00A308F9"/>
    <w:rsid w:val="00A32249"/>
    <w:rsid w:val="00A34A39"/>
    <w:rsid w:val="00A361FC"/>
    <w:rsid w:val="00A3659B"/>
    <w:rsid w:val="00A373B9"/>
    <w:rsid w:val="00A37F5B"/>
    <w:rsid w:val="00A411F1"/>
    <w:rsid w:val="00A42101"/>
    <w:rsid w:val="00A45519"/>
    <w:rsid w:val="00A46ADA"/>
    <w:rsid w:val="00A505A9"/>
    <w:rsid w:val="00A52A5F"/>
    <w:rsid w:val="00A53FDA"/>
    <w:rsid w:val="00A54D5E"/>
    <w:rsid w:val="00A55BB8"/>
    <w:rsid w:val="00A57AEE"/>
    <w:rsid w:val="00A611F8"/>
    <w:rsid w:val="00A6124E"/>
    <w:rsid w:val="00A61DFF"/>
    <w:rsid w:val="00A61E96"/>
    <w:rsid w:val="00A64CCE"/>
    <w:rsid w:val="00A71BD8"/>
    <w:rsid w:val="00A71FDE"/>
    <w:rsid w:val="00A72CC1"/>
    <w:rsid w:val="00A7421B"/>
    <w:rsid w:val="00A754AB"/>
    <w:rsid w:val="00A7787D"/>
    <w:rsid w:val="00A81FD1"/>
    <w:rsid w:val="00A8206F"/>
    <w:rsid w:val="00A82576"/>
    <w:rsid w:val="00A83BA1"/>
    <w:rsid w:val="00A871C6"/>
    <w:rsid w:val="00A96899"/>
    <w:rsid w:val="00A976A2"/>
    <w:rsid w:val="00A976AE"/>
    <w:rsid w:val="00A97DE9"/>
    <w:rsid w:val="00AA0844"/>
    <w:rsid w:val="00AA17F8"/>
    <w:rsid w:val="00AA1C5F"/>
    <w:rsid w:val="00AA2BAD"/>
    <w:rsid w:val="00AA52E8"/>
    <w:rsid w:val="00AA65D9"/>
    <w:rsid w:val="00AA6D21"/>
    <w:rsid w:val="00AB1A55"/>
    <w:rsid w:val="00AB28E5"/>
    <w:rsid w:val="00AB42F1"/>
    <w:rsid w:val="00AB49CF"/>
    <w:rsid w:val="00AB5C6A"/>
    <w:rsid w:val="00AC0988"/>
    <w:rsid w:val="00AC0989"/>
    <w:rsid w:val="00AC135F"/>
    <w:rsid w:val="00AC4229"/>
    <w:rsid w:val="00AC4F39"/>
    <w:rsid w:val="00AC57ED"/>
    <w:rsid w:val="00AC5AE2"/>
    <w:rsid w:val="00AC61B5"/>
    <w:rsid w:val="00AC6DF1"/>
    <w:rsid w:val="00AD0DD1"/>
    <w:rsid w:val="00AD12D5"/>
    <w:rsid w:val="00AD19B7"/>
    <w:rsid w:val="00AD4632"/>
    <w:rsid w:val="00AD5533"/>
    <w:rsid w:val="00AE57A0"/>
    <w:rsid w:val="00AE5A58"/>
    <w:rsid w:val="00AE7201"/>
    <w:rsid w:val="00AE73D8"/>
    <w:rsid w:val="00AF0AB2"/>
    <w:rsid w:val="00AF2CBB"/>
    <w:rsid w:val="00AF5202"/>
    <w:rsid w:val="00B019C8"/>
    <w:rsid w:val="00B03293"/>
    <w:rsid w:val="00B045A0"/>
    <w:rsid w:val="00B0602B"/>
    <w:rsid w:val="00B101F7"/>
    <w:rsid w:val="00B1571A"/>
    <w:rsid w:val="00B167CF"/>
    <w:rsid w:val="00B16DA3"/>
    <w:rsid w:val="00B175B7"/>
    <w:rsid w:val="00B203D2"/>
    <w:rsid w:val="00B214E7"/>
    <w:rsid w:val="00B21C66"/>
    <w:rsid w:val="00B22569"/>
    <w:rsid w:val="00B240F0"/>
    <w:rsid w:val="00B25B12"/>
    <w:rsid w:val="00B27E63"/>
    <w:rsid w:val="00B3182F"/>
    <w:rsid w:val="00B3374E"/>
    <w:rsid w:val="00B359C2"/>
    <w:rsid w:val="00B360A8"/>
    <w:rsid w:val="00B3772C"/>
    <w:rsid w:val="00B42808"/>
    <w:rsid w:val="00B42E45"/>
    <w:rsid w:val="00B433D5"/>
    <w:rsid w:val="00B46C1E"/>
    <w:rsid w:val="00B46E4A"/>
    <w:rsid w:val="00B47070"/>
    <w:rsid w:val="00B52AE5"/>
    <w:rsid w:val="00B538A6"/>
    <w:rsid w:val="00B56572"/>
    <w:rsid w:val="00B60578"/>
    <w:rsid w:val="00B61C44"/>
    <w:rsid w:val="00B62323"/>
    <w:rsid w:val="00B62FAC"/>
    <w:rsid w:val="00B636D5"/>
    <w:rsid w:val="00B654EF"/>
    <w:rsid w:val="00B663BB"/>
    <w:rsid w:val="00B66D24"/>
    <w:rsid w:val="00B71C34"/>
    <w:rsid w:val="00B753C1"/>
    <w:rsid w:val="00B81785"/>
    <w:rsid w:val="00B82A3C"/>
    <w:rsid w:val="00B83134"/>
    <w:rsid w:val="00B83323"/>
    <w:rsid w:val="00B8558F"/>
    <w:rsid w:val="00B9613D"/>
    <w:rsid w:val="00B963B1"/>
    <w:rsid w:val="00B97679"/>
    <w:rsid w:val="00BA1871"/>
    <w:rsid w:val="00BA1E73"/>
    <w:rsid w:val="00BA2804"/>
    <w:rsid w:val="00BA53D7"/>
    <w:rsid w:val="00BA565F"/>
    <w:rsid w:val="00BB2361"/>
    <w:rsid w:val="00BB430D"/>
    <w:rsid w:val="00BC2994"/>
    <w:rsid w:val="00BC329D"/>
    <w:rsid w:val="00BC4EF4"/>
    <w:rsid w:val="00BC6FB8"/>
    <w:rsid w:val="00BC7AF1"/>
    <w:rsid w:val="00BD2245"/>
    <w:rsid w:val="00BD25E1"/>
    <w:rsid w:val="00BD7E83"/>
    <w:rsid w:val="00BD7F0C"/>
    <w:rsid w:val="00BE09AA"/>
    <w:rsid w:val="00BE5726"/>
    <w:rsid w:val="00BE71D1"/>
    <w:rsid w:val="00BF1505"/>
    <w:rsid w:val="00BF2A22"/>
    <w:rsid w:val="00BF6321"/>
    <w:rsid w:val="00BF7488"/>
    <w:rsid w:val="00C005B9"/>
    <w:rsid w:val="00C00EC4"/>
    <w:rsid w:val="00C02CCD"/>
    <w:rsid w:val="00C06E98"/>
    <w:rsid w:val="00C10E54"/>
    <w:rsid w:val="00C11E03"/>
    <w:rsid w:val="00C144A7"/>
    <w:rsid w:val="00C157F8"/>
    <w:rsid w:val="00C16A21"/>
    <w:rsid w:val="00C16DD3"/>
    <w:rsid w:val="00C24E2A"/>
    <w:rsid w:val="00C2545A"/>
    <w:rsid w:val="00C27049"/>
    <w:rsid w:val="00C27621"/>
    <w:rsid w:val="00C30F07"/>
    <w:rsid w:val="00C31042"/>
    <w:rsid w:val="00C31072"/>
    <w:rsid w:val="00C318A2"/>
    <w:rsid w:val="00C33C21"/>
    <w:rsid w:val="00C3497E"/>
    <w:rsid w:val="00C35452"/>
    <w:rsid w:val="00C402F4"/>
    <w:rsid w:val="00C41987"/>
    <w:rsid w:val="00C425CA"/>
    <w:rsid w:val="00C42CC6"/>
    <w:rsid w:val="00C44245"/>
    <w:rsid w:val="00C45DCB"/>
    <w:rsid w:val="00C55D3B"/>
    <w:rsid w:val="00C57D25"/>
    <w:rsid w:val="00C6029C"/>
    <w:rsid w:val="00C60875"/>
    <w:rsid w:val="00C615D0"/>
    <w:rsid w:val="00C6172D"/>
    <w:rsid w:val="00C637DC"/>
    <w:rsid w:val="00C643F1"/>
    <w:rsid w:val="00C64A4B"/>
    <w:rsid w:val="00C67C43"/>
    <w:rsid w:val="00C704DF"/>
    <w:rsid w:val="00C707C2"/>
    <w:rsid w:val="00C72756"/>
    <w:rsid w:val="00C74B68"/>
    <w:rsid w:val="00C832F4"/>
    <w:rsid w:val="00C84490"/>
    <w:rsid w:val="00C8602F"/>
    <w:rsid w:val="00C87EB7"/>
    <w:rsid w:val="00C90573"/>
    <w:rsid w:val="00C9127F"/>
    <w:rsid w:val="00C91B06"/>
    <w:rsid w:val="00C92A95"/>
    <w:rsid w:val="00C9505E"/>
    <w:rsid w:val="00C96F16"/>
    <w:rsid w:val="00C97915"/>
    <w:rsid w:val="00CA1752"/>
    <w:rsid w:val="00CA4D5A"/>
    <w:rsid w:val="00CA5281"/>
    <w:rsid w:val="00CA5871"/>
    <w:rsid w:val="00CA6296"/>
    <w:rsid w:val="00CA667D"/>
    <w:rsid w:val="00CA7C89"/>
    <w:rsid w:val="00CB2683"/>
    <w:rsid w:val="00CB2DBE"/>
    <w:rsid w:val="00CB34CA"/>
    <w:rsid w:val="00CB49A6"/>
    <w:rsid w:val="00CB57BE"/>
    <w:rsid w:val="00CB57EA"/>
    <w:rsid w:val="00CC03D6"/>
    <w:rsid w:val="00CC041A"/>
    <w:rsid w:val="00CC172E"/>
    <w:rsid w:val="00CC1E17"/>
    <w:rsid w:val="00CC285E"/>
    <w:rsid w:val="00CC381E"/>
    <w:rsid w:val="00CC3CCC"/>
    <w:rsid w:val="00CC406E"/>
    <w:rsid w:val="00CC4682"/>
    <w:rsid w:val="00CC7232"/>
    <w:rsid w:val="00CC7D19"/>
    <w:rsid w:val="00CD2678"/>
    <w:rsid w:val="00CD29F6"/>
    <w:rsid w:val="00CD490C"/>
    <w:rsid w:val="00CE00CF"/>
    <w:rsid w:val="00CE1CA6"/>
    <w:rsid w:val="00CE3832"/>
    <w:rsid w:val="00CE387F"/>
    <w:rsid w:val="00CE4FB0"/>
    <w:rsid w:val="00CE6254"/>
    <w:rsid w:val="00CE71EE"/>
    <w:rsid w:val="00CF1E75"/>
    <w:rsid w:val="00CF266D"/>
    <w:rsid w:val="00CF35B2"/>
    <w:rsid w:val="00CF51AD"/>
    <w:rsid w:val="00D006C9"/>
    <w:rsid w:val="00D0177B"/>
    <w:rsid w:val="00D01951"/>
    <w:rsid w:val="00D043D2"/>
    <w:rsid w:val="00D07494"/>
    <w:rsid w:val="00D1139D"/>
    <w:rsid w:val="00D12082"/>
    <w:rsid w:val="00D12A6D"/>
    <w:rsid w:val="00D15BDD"/>
    <w:rsid w:val="00D202E3"/>
    <w:rsid w:val="00D21835"/>
    <w:rsid w:val="00D2194C"/>
    <w:rsid w:val="00D25D2C"/>
    <w:rsid w:val="00D279C0"/>
    <w:rsid w:val="00D30067"/>
    <w:rsid w:val="00D30485"/>
    <w:rsid w:val="00D30E2D"/>
    <w:rsid w:val="00D31253"/>
    <w:rsid w:val="00D33198"/>
    <w:rsid w:val="00D332E1"/>
    <w:rsid w:val="00D335F4"/>
    <w:rsid w:val="00D3659C"/>
    <w:rsid w:val="00D40E2C"/>
    <w:rsid w:val="00D4112E"/>
    <w:rsid w:val="00D43028"/>
    <w:rsid w:val="00D43088"/>
    <w:rsid w:val="00D43129"/>
    <w:rsid w:val="00D43193"/>
    <w:rsid w:val="00D43399"/>
    <w:rsid w:val="00D43DBC"/>
    <w:rsid w:val="00D44124"/>
    <w:rsid w:val="00D47622"/>
    <w:rsid w:val="00D5211A"/>
    <w:rsid w:val="00D53D11"/>
    <w:rsid w:val="00D55B3F"/>
    <w:rsid w:val="00D55D5E"/>
    <w:rsid w:val="00D57103"/>
    <w:rsid w:val="00D60945"/>
    <w:rsid w:val="00D62520"/>
    <w:rsid w:val="00D65942"/>
    <w:rsid w:val="00D664E1"/>
    <w:rsid w:val="00D66B54"/>
    <w:rsid w:val="00D679A9"/>
    <w:rsid w:val="00D67E9B"/>
    <w:rsid w:val="00D73648"/>
    <w:rsid w:val="00D737C5"/>
    <w:rsid w:val="00D73E5E"/>
    <w:rsid w:val="00D76DFC"/>
    <w:rsid w:val="00D770FF"/>
    <w:rsid w:val="00D80DC5"/>
    <w:rsid w:val="00D819AA"/>
    <w:rsid w:val="00D823FD"/>
    <w:rsid w:val="00D8280F"/>
    <w:rsid w:val="00D82AAA"/>
    <w:rsid w:val="00D8326D"/>
    <w:rsid w:val="00D85860"/>
    <w:rsid w:val="00D8596B"/>
    <w:rsid w:val="00D86D18"/>
    <w:rsid w:val="00D87004"/>
    <w:rsid w:val="00D87A50"/>
    <w:rsid w:val="00D90721"/>
    <w:rsid w:val="00D93291"/>
    <w:rsid w:val="00D93AC2"/>
    <w:rsid w:val="00D952B4"/>
    <w:rsid w:val="00D96145"/>
    <w:rsid w:val="00D972B9"/>
    <w:rsid w:val="00DA0EE1"/>
    <w:rsid w:val="00DA1226"/>
    <w:rsid w:val="00DA4514"/>
    <w:rsid w:val="00DA6FF9"/>
    <w:rsid w:val="00DB0371"/>
    <w:rsid w:val="00DB0877"/>
    <w:rsid w:val="00DB10F7"/>
    <w:rsid w:val="00DB1D32"/>
    <w:rsid w:val="00DB2059"/>
    <w:rsid w:val="00DB380D"/>
    <w:rsid w:val="00DB452F"/>
    <w:rsid w:val="00DC0C9B"/>
    <w:rsid w:val="00DC1919"/>
    <w:rsid w:val="00DC5EAA"/>
    <w:rsid w:val="00DC61BF"/>
    <w:rsid w:val="00DC695B"/>
    <w:rsid w:val="00DC6B15"/>
    <w:rsid w:val="00DD0B98"/>
    <w:rsid w:val="00DD5915"/>
    <w:rsid w:val="00DD653E"/>
    <w:rsid w:val="00DD72DD"/>
    <w:rsid w:val="00DD7D49"/>
    <w:rsid w:val="00DE00A0"/>
    <w:rsid w:val="00DE0990"/>
    <w:rsid w:val="00DE199B"/>
    <w:rsid w:val="00DE3ED2"/>
    <w:rsid w:val="00DE5F8A"/>
    <w:rsid w:val="00DE6A67"/>
    <w:rsid w:val="00DF0F25"/>
    <w:rsid w:val="00DF2E55"/>
    <w:rsid w:val="00DF360D"/>
    <w:rsid w:val="00DF47A4"/>
    <w:rsid w:val="00DF4966"/>
    <w:rsid w:val="00DF5A67"/>
    <w:rsid w:val="00DF79E8"/>
    <w:rsid w:val="00E05B61"/>
    <w:rsid w:val="00E06536"/>
    <w:rsid w:val="00E0754B"/>
    <w:rsid w:val="00E109D8"/>
    <w:rsid w:val="00E10E47"/>
    <w:rsid w:val="00E11906"/>
    <w:rsid w:val="00E11FD2"/>
    <w:rsid w:val="00E12CE5"/>
    <w:rsid w:val="00E16531"/>
    <w:rsid w:val="00E17B0A"/>
    <w:rsid w:val="00E20BA3"/>
    <w:rsid w:val="00E21FA3"/>
    <w:rsid w:val="00E221A8"/>
    <w:rsid w:val="00E246F2"/>
    <w:rsid w:val="00E258E8"/>
    <w:rsid w:val="00E264F8"/>
    <w:rsid w:val="00E26570"/>
    <w:rsid w:val="00E2781E"/>
    <w:rsid w:val="00E302C1"/>
    <w:rsid w:val="00E367FC"/>
    <w:rsid w:val="00E3755A"/>
    <w:rsid w:val="00E37AFA"/>
    <w:rsid w:val="00E37B45"/>
    <w:rsid w:val="00E4075A"/>
    <w:rsid w:val="00E4095C"/>
    <w:rsid w:val="00E4326C"/>
    <w:rsid w:val="00E44A8A"/>
    <w:rsid w:val="00E455E1"/>
    <w:rsid w:val="00E45B7D"/>
    <w:rsid w:val="00E4606D"/>
    <w:rsid w:val="00E46633"/>
    <w:rsid w:val="00E46BC3"/>
    <w:rsid w:val="00E474C5"/>
    <w:rsid w:val="00E50347"/>
    <w:rsid w:val="00E5125E"/>
    <w:rsid w:val="00E51879"/>
    <w:rsid w:val="00E5359D"/>
    <w:rsid w:val="00E5393B"/>
    <w:rsid w:val="00E55358"/>
    <w:rsid w:val="00E62C2B"/>
    <w:rsid w:val="00E633EF"/>
    <w:rsid w:val="00E65383"/>
    <w:rsid w:val="00E6548B"/>
    <w:rsid w:val="00E6750A"/>
    <w:rsid w:val="00E716D5"/>
    <w:rsid w:val="00E71760"/>
    <w:rsid w:val="00E73B67"/>
    <w:rsid w:val="00E73C72"/>
    <w:rsid w:val="00E7567A"/>
    <w:rsid w:val="00E7634C"/>
    <w:rsid w:val="00E817E4"/>
    <w:rsid w:val="00E839D8"/>
    <w:rsid w:val="00E85A1A"/>
    <w:rsid w:val="00E8675C"/>
    <w:rsid w:val="00E92C31"/>
    <w:rsid w:val="00E92F02"/>
    <w:rsid w:val="00E93074"/>
    <w:rsid w:val="00E931E2"/>
    <w:rsid w:val="00E943FA"/>
    <w:rsid w:val="00EA0426"/>
    <w:rsid w:val="00EA08F9"/>
    <w:rsid w:val="00EA1071"/>
    <w:rsid w:val="00EA189E"/>
    <w:rsid w:val="00EA326A"/>
    <w:rsid w:val="00EA4579"/>
    <w:rsid w:val="00EA488C"/>
    <w:rsid w:val="00EA5EF4"/>
    <w:rsid w:val="00EA683B"/>
    <w:rsid w:val="00EB28EA"/>
    <w:rsid w:val="00EB3B62"/>
    <w:rsid w:val="00EB44AD"/>
    <w:rsid w:val="00EB4680"/>
    <w:rsid w:val="00EB604A"/>
    <w:rsid w:val="00EB79A7"/>
    <w:rsid w:val="00EC56A3"/>
    <w:rsid w:val="00EC6AE9"/>
    <w:rsid w:val="00ED0C1A"/>
    <w:rsid w:val="00ED1984"/>
    <w:rsid w:val="00ED1A12"/>
    <w:rsid w:val="00ED32D3"/>
    <w:rsid w:val="00ED5586"/>
    <w:rsid w:val="00ED61AF"/>
    <w:rsid w:val="00ED6498"/>
    <w:rsid w:val="00ED7DA9"/>
    <w:rsid w:val="00EE2024"/>
    <w:rsid w:val="00EE4B43"/>
    <w:rsid w:val="00EF204E"/>
    <w:rsid w:val="00EF2492"/>
    <w:rsid w:val="00EF400B"/>
    <w:rsid w:val="00EF461F"/>
    <w:rsid w:val="00EF4C07"/>
    <w:rsid w:val="00F028FA"/>
    <w:rsid w:val="00F065DB"/>
    <w:rsid w:val="00F12C4A"/>
    <w:rsid w:val="00F13C3A"/>
    <w:rsid w:val="00F14D4B"/>
    <w:rsid w:val="00F20A29"/>
    <w:rsid w:val="00F22061"/>
    <w:rsid w:val="00F25397"/>
    <w:rsid w:val="00F26E58"/>
    <w:rsid w:val="00F27017"/>
    <w:rsid w:val="00F273D8"/>
    <w:rsid w:val="00F32013"/>
    <w:rsid w:val="00F3251D"/>
    <w:rsid w:val="00F351F3"/>
    <w:rsid w:val="00F428AF"/>
    <w:rsid w:val="00F433B3"/>
    <w:rsid w:val="00F44680"/>
    <w:rsid w:val="00F47F2B"/>
    <w:rsid w:val="00F507AA"/>
    <w:rsid w:val="00F56160"/>
    <w:rsid w:val="00F575D0"/>
    <w:rsid w:val="00F62937"/>
    <w:rsid w:val="00F6347F"/>
    <w:rsid w:val="00F670E2"/>
    <w:rsid w:val="00F67D18"/>
    <w:rsid w:val="00F70FFE"/>
    <w:rsid w:val="00F71B1D"/>
    <w:rsid w:val="00F724B9"/>
    <w:rsid w:val="00F72F95"/>
    <w:rsid w:val="00F741F1"/>
    <w:rsid w:val="00F76D4D"/>
    <w:rsid w:val="00F80CBB"/>
    <w:rsid w:val="00F82161"/>
    <w:rsid w:val="00F8442F"/>
    <w:rsid w:val="00F91505"/>
    <w:rsid w:val="00F916E3"/>
    <w:rsid w:val="00F91B1F"/>
    <w:rsid w:val="00F92855"/>
    <w:rsid w:val="00FA1D84"/>
    <w:rsid w:val="00FA261A"/>
    <w:rsid w:val="00FA2B40"/>
    <w:rsid w:val="00FA4F09"/>
    <w:rsid w:val="00FA6F32"/>
    <w:rsid w:val="00FA78A9"/>
    <w:rsid w:val="00FB189E"/>
    <w:rsid w:val="00FB450A"/>
    <w:rsid w:val="00FB7519"/>
    <w:rsid w:val="00FC0C0A"/>
    <w:rsid w:val="00FC1802"/>
    <w:rsid w:val="00FC25C2"/>
    <w:rsid w:val="00FC6D5D"/>
    <w:rsid w:val="00FC6FF7"/>
    <w:rsid w:val="00FD1928"/>
    <w:rsid w:val="00FD1DED"/>
    <w:rsid w:val="00FD3E92"/>
    <w:rsid w:val="00FD453C"/>
    <w:rsid w:val="00FD4A9F"/>
    <w:rsid w:val="00FD4C69"/>
    <w:rsid w:val="00FD663E"/>
    <w:rsid w:val="00FD72D6"/>
    <w:rsid w:val="00FD7C68"/>
    <w:rsid w:val="00FE0197"/>
    <w:rsid w:val="00FE1A8A"/>
    <w:rsid w:val="00FE34F3"/>
    <w:rsid w:val="00FE4178"/>
    <w:rsid w:val="00FE4DE1"/>
    <w:rsid w:val="00FE5370"/>
    <w:rsid w:val="00FE54E6"/>
    <w:rsid w:val="00FF05C3"/>
    <w:rsid w:val="00FF074C"/>
    <w:rsid w:val="00FF0994"/>
    <w:rsid w:val="00FF420C"/>
    <w:rsid w:val="00FF4A91"/>
    <w:rsid w:val="00FF622F"/>
    <w:rsid w:val="00FF6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4C6D9B"/>
  <w15:docId w15:val="{D3F83775-5AE5-4362-91D0-B285AEB38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1CA6"/>
  </w:style>
  <w:style w:type="paragraph" w:styleId="Heading4">
    <w:name w:val="heading 4"/>
    <w:basedOn w:val="Normal"/>
    <w:link w:val="Heading4Char"/>
    <w:uiPriority w:val="1"/>
    <w:qFormat/>
    <w:rsid w:val="003D72D3"/>
    <w:pPr>
      <w:widowControl w:val="0"/>
      <w:autoSpaceDE w:val="0"/>
      <w:autoSpaceDN w:val="0"/>
      <w:spacing w:after="0" w:line="290" w:lineRule="exact"/>
      <w:ind w:left="928" w:hanging="360"/>
      <w:outlineLvl w:val="3"/>
    </w:pPr>
    <w:rPr>
      <w:rFonts w:ascii="Tahoma" w:eastAsia="Tahoma" w:hAnsi="Tahoma" w:cs="Tahom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ar"/>
    <w:rsid w:val="002451A5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">
    <w:name w:val="EndNote Bibliography Title Car"/>
    <w:basedOn w:val="DefaultParagraphFont"/>
    <w:link w:val="EndNoteBibliographyTitle"/>
    <w:rsid w:val="002451A5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2451A5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DefaultParagraphFont"/>
    <w:link w:val="EndNoteBibliography"/>
    <w:rsid w:val="002451A5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2451A5"/>
    <w:rPr>
      <w:color w:val="0563C1" w:themeColor="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9E408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474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4C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474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474C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474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74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74C5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D7F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7F0C"/>
  </w:style>
  <w:style w:type="paragraph" w:styleId="Footer">
    <w:name w:val="footer"/>
    <w:basedOn w:val="Normal"/>
    <w:link w:val="FooterChar"/>
    <w:uiPriority w:val="99"/>
    <w:unhideWhenUsed/>
    <w:rsid w:val="00BD7F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7F0C"/>
  </w:style>
  <w:style w:type="paragraph" w:customStyle="1" w:styleId="Figuras">
    <w:name w:val="Figuras"/>
    <w:basedOn w:val="Normal"/>
    <w:link w:val="FigurasCar"/>
    <w:qFormat/>
    <w:rsid w:val="00630A5B"/>
    <w:pPr>
      <w:spacing w:line="240" w:lineRule="auto"/>
      <w:jc w:val="both"/>
    </w:pPr>
    <w:rPr>
      <w:rFonts w:ascii="Times New Roman" w:hAnsi="Times New Roman" w:cs="Times New Roman"/>
      <w:b/>
      <w:i/>
    </w:rPr>
  </w:style>
  <w:style w:type="character" w:customStyle="1" w:styleId="FigurasCar">
    <w:name w:val="Figuras Car"/>
    <w:basedOn w:val="DefaultParagraphFont"/>
    <w:link w:val="Figuras"/>
    <w:rsid w:val="00630A5B"/>
    <w:rPr>
      <w:rFonts w:ascii="Times New Roman" w:hAnsi="Times New Roman" w:cs="Times New Roman"/>
      <w:b/>
      <w:i/>
    </w:rPr>
  </w:style>
  <w:style w:type="character" w:customStyle="1" w:styleId="ts-alignment-element">
    <w:name w:val="ts-alignment-element"/>
    <w:basedOn w:val="DefaultParagraphFont"/>
    <w:rsid w:val="009A3096"/>
  </w:style>
  <w:style w:type="character" w:customStyle="1" w:styleId="Heading4Char">
    <w:name w:val="Heading 4 Char"/>
    <w:basedOn w:val="DefaultParagraphFont"/>
    <w:link w:val="Heading4"/>
    <w:uiPriority w:val="1"/>
    <w:rsid w:val="003D72D3"/>
    <w:rPr>
      <w:rFonts w:ascii="Tahoma" w:eastAsia="Tahoma" w:hAnsi="Tahoma" w:cs="Tahoma"/>
      <w:sz w:val="24"/>
      <w:szCs w:val="24"/>
      <w:lang w:val="en-US"/>
    </w:rPr>
  </w:style>
  <w:style w:type="paragraph" w:customStyle="1" w:styleId="paragraph">
    <w:name w:val="paragraph"/>
    <w:basedOn w:val="Normal"/>
    <w:rsid w:val="00BC7A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Default">
    <w:name w:val="Default"/>
    <w:rsid w:val="0017105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691949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564402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DE5F8A"/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E109D8"/>
  </w:style>
  <w:style w:type="character" w:styleId="FollowedHyperlink">
    <w:name w:val="FollowedHyperlink"/>
    <w:basedOn w:val="DefaultParagraphFont"/>
    <w:uiPriority w:val="99"/>
    <w:semiHidden/>
    <w:unhideWhenUsed/>
    <w:rsid w:val="00CC03D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00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13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44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5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20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487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4719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0737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201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6534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5308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35085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48106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4282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16595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047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99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28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46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790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352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575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912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7002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98627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7938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6664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91412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16530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38547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120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4223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518394520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1596981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44703823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67383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813181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957220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69D2B6-83CB-4DD6-A529-580A0B513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12</Pages>
  <Words>1002</Words>
  <Characters>5713</Characters>
  <Application>Microsoft Office Word</Application>
  <DocSecurity>0</DocSecurity>
  <Lines>47</Lines>
  <Paragraphs>13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Celso Collazo López</dc:creator>
  <cp:lastModifiedBy>Nilesh Nawale</cp:lastModifiedBy>
  <cp:revision>2</cp:revision>
  <dcterms:created xsi:type="dcterms:W3CDTF">2024-02-05T11:18:00Z</dcterms:created>
  <dcterms:modified xsi:type="dcterms:W3CDTF">2024-02-05T11:18:00Z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-1282397104</vt:i4>
  </property>
  <property fmtid="{D5CDD505-2E9C-101B-9397-08002B2CF9AE}" pid="3" name="GrammarlyDocumentId">
    <vt:lpwstr>6b6c530ebf7f667f3053a214de5dc4555f4e588230fc788a13e89926e6519beb</vt:lpwstr>
  </property>
</Properties>
</file>