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914C88" w14:textId="52362D5E" w:rsidR="006A5BC6" w:rsidRDefault="00685AD3" w:rsidP="00302DEB">
      <w:pPr>
        <w:adjustRightInd w:val="0"/>
        <w:snapToGrid w:val="0"/>
        <w:spacing w:line="276" w:lineRule="auto"/>
        <w:rPr>
          <w:rFonts w:ascii="Arial" w:hAnsi="Arial" w:cs="Arial"/>
          <w:b/>
          <w:bCs/>
          <w:color w:val="000000" w:themeColor="text1"/>
          <w:sz w:val="20"/>
        </w:rPr>
      </w:pPr>
      <w:r>
        <w:rPr>
          <w:rFonts w:ascii="Arial" w:hAnsi="Arial" w:cs="Arial"/>
          <w:b/>
          <w:bCs/>
          <w:noProof/>
          <w:color w:val="000000" w:themeColor="text1"/>
          <w:sz w:val="20"/>
          <w:lang w:eastAsia="zh-CN"/>
        </w:rPr>
        <w:drawing>
          <wp:inline distT="0" distB="0" distL="0" distR="0" wp14:anchorId="0377591A" wp14:editId="30154921">
            <wp:extent cx="5249514" cy="6251418"/>
            <wp:effectExtent l="0" t="0" r="8890" b="0"/>
            <wp:docPr id="56741552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415521" name="図 5674155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65573" cy="6270542"/>
                    </a:xfrm>
                    <a:prstGeom prst="rect">
                      <a:avLst/>
                    </a:prstGeom>
                  </pic:spPr>
                </pic:pic>
              </a:graphicData>
            </a:graphic>
          </wp:inline>
        </w:drawing>
      </w:r>
    </w:p>
    <w:p w14:paraId="3CEC6A01" w14:textId="77777777" w:rsidR="005760F0" w:rsidRPr="00F35C5D" w:rsidRDefault="005760F0" w:rsidP="005760F0">
      <w:pPr>
        <w:pBdr>
          <w:top w:val="nil"/>
          <w:left w:val="nil"/>
          <w:bottom w:val="nil"/>
          <w:right w:val="nil"/>
          <w:between w:val="nil"/>
        </w:pBdr>
        <w:adjustRightInd w:val="0"/>
        <w:snapToGrid w:val="0"/>
        <w:spacing w:after="60"/>
        <w:rPr>
          <w:rFonts w:ascii="Arial" w:hAnsi="Arial" w:cs="Arial"/>
          <w:color w:val="FF0000"/>
          <w:sz w:val="20"/>
        </w:rPr>
      </w:pPr>
    </w:p>
    <w:p w14:paraId="54AB7E01" w14:textId="77777777" w:rsidR="005760F0" w:rsidRPr="008E09DC" w:rsidRDefault="005760F0" w:rsidP="005760F0">
      <w:pPr>
        <w:pBdr>
          <w:top w:val="nil"/>
          <w:left w:val="nil"/>
          <w:bottom w:val="nil"/>
          <w:right w:val="nil"/>
          <w:between w:val="nil"/>
        </w:pBdr>
        <w:snapToGrid w:val="0"/>
        <w:rPr>
          <w:rFonts w:ascii="Arial" w:hAnsi="Arial" w:cs="Arial"/>
          <w:sz w:val="20"/>
        </w:rPr>
      </w:pPr>
      <w:r w:rsidRPr="008E09DC">
        <w:rPr>
          <w:rFonts w:ascii="Arial" w:hAnsi="Arial" w:cs="Arial"/>
          <w:b/>
          <w:bCs/>
          <w:sz w:val="20"/>
        </w:rPr>
        <w:t xml:space="preserve">Fig. S1. Overview of primary culture, PGC </w:t>
      </w:r>
      <w:proofErr w:type="spellStart"/>
      <w:r w:rsidRPr="008E09DC">
        <w:rPr>
          <w:rFonts w:ascii="Arial" w:hAnsi="Arial" w:cs="Arial"/>
          <w:b/>
          <w:bCs/>
          <w:sz w:val="20"/>
        </w:rPr>
        <w:t>cryobanking</w:t>
      </w:r>
      <w:proofErr w:type="spellEnd"/>
      <w:r w:rsidRPr="008E09DC">
        <w:rPr>
          <w:rFonts w:ascii="Arial" w:hAnsi="Arial" w:cs="Arial"/>
          <w:b/>
          <w:bCs/>
          <w:sz w:val="20"/>
        </w:rPr>
        <w:t xml:space="preserve">, native chicken regeneration and knockout (KO) chicken generation. (A) </w:t>
      </w:r>
      <w:r w:rsidRPr="008E09DC">
        <w:rPr>
          <w:rFonts w:ascii="Arial" w:hAnsi="Arial" w:cs="Arial"/>
          <w:sz w:val="20"/>
        </w:rPr>
        <w:t xml:space="preserve">Primary culture and PGC </w:t>
      </w:r>
      <w:proofErr w:type="spellStart"/>
      <w:r w:rsidRPr="008E09DC">
        <w:rPr>
          <w:rFonts w:ascii="Arial" w:hAnsi="Arial" w:cs="Arial"/>
          <w:sz w:val="20"/>
        </w:rPr>
        <w:t>cryobanking</w:t>
      </w:r>
      <w:proofErr w:type="spellEnd"/>
      <w:r w:rsidRPr="008E09DC">
        <w:rPr>
          <w:rFonts w:ascii="Arial" w:hAnsi="Arial" w:cs="Arial"/>
          <w:sz w:val="20"/>
        </w:rPr>
        <w:t xml:space="preserve">, donor PGC native chicken regeneration. Freshly fertilized eggs </w:t>
      </w:r>
      <w:r>
        <w:rPr>
          <w:rFonts w:ascii="Arial" w:hAnsi="Arial" w:cs="Arial"/>
          <w:sz w:val="20"/>
        </w:rPr>
        <w:t>were</w:t>
      </w:r>
      <w:r w:rsidRPr="008E09DC">
        <w:rPr>
          <w:rFonts w:ascii="Arial" w:hAnsi="Arial" w:cs="Arial"/>
          <w:sz w:val="20"/>
        </w:rPr>
        <w:t xml:space="preserve"> collected from native chickens and PGC-containing single embryo blood samples </w:t>
      </w:r>
      <w:r>
        <w:rPr>
          <w:rFonts w:ascii="Arial" w:hAnsi="Arial" w:cs="Arial"/>
          <w:sz w:val="20"/>
        </w:rPr>
        <w:t>were</w:t>
      </w:r>
      <w:r w:rsidRPr="008E09DC">
        <w:rPr>
          <w:rFonts w:ascii="Arial" w:hAnsi="Arial" w:cs="Arial"/>
          <w:sz w:val="20"/>
        </w:rPr>
        <w:t xml:space="preserve"> collected at embryonic stages HH13–16. These samples </w:t>
      </w:r>
      <w:r>
        <w:rPr>
          <w:rFonts w:ascii="Arial" w:hAnsi="Arial" w:cs="Arial"/>
          <w:sz w:val="20"/>
        </w:rPr>
        <w:t>were</w:t>
      </w:r>
      <w:r w:rsidRPr="008E09DC">
        <w:rPr>
          <w:rFonts w:ascii="Arial" w:hAnsi="Arial" w:cs="Arial"/>
          <w:sz w:val="20"/>
        </w:rPr>
        <w:t xml:space="preserve"> cultured in vitro for 2–10 weeks and expanded to &gt;100,000 cells. Expanded PGC lines can be cryopreserved in liquid nitrogen.</w:t>
      </w:r>
      <w:r>
        <w:rPr>
          <w:rFonts w:ascii="Arial" w:hAnsi="Arial" w:cs="Arial"/>
          <w:sz w:val="20"/>
          <w:lang w:eastAsia="ja-JP"/>
        </w:rPr>
        <w:t xml:space="preserve"> </w:t>
      </w:r>
      <w:r w:rsidRPr="00C205E6">
        <w:rPr>
          <w:rFonts w:ascii="Arial" w:hAnsi="Arial" w:cs="Arial"/>
          <w:sz w:val="20"/>
          <w:lang w:eastAsia="ja-JP"/>
        </w:rPr>
        <w:t>Frozen-t</w:t>
      </w:r>
      <w:r w:rsidRPr="00C205E6">
        <w:rPr>
          <w:rFonts w:ascii="Arial" w:hAnsi="Arial" w:cs="Arial"/>
          <w:sz w:val="20"/>
        </w:rPr>
        <w:t>hawed PGCs</w:t>
      </w:r>
      <w:r>
        <w:rPr>
          <w:rFonts w:ascii="Arial" w:hAnsi="Arial" w:cs="Arial"/>
          <w:sz w:val="20"/>
        </w:rPr>
        <w:t xml:space="preserve"> were</w:t>
      </w:r>
      <w:r w:rsidRPr="008E09DC">
        <w:rPr>
          <w:rFonts w:ascii="Arial" w:hAnsi="Arial" w:cs="Arial"/>
          <w:sz w:val="20"/>
        </w:rPr>
        <w:t xml:space="preserve"> re-expanded and then transplanted as donor cells into recipient embryos, and recipient chicks </w:t>
      </w:r>
      <w:r>
        <w:rPr>
          <w:rFonts w:ascii="Arial" w:hAnsi="Arial" w:cs="Arial"/>
          <w:sz w:val="20"/>
        </w:rPr>
        <w:t>were</w:t>
      </w:r>
      <w:r w:rsidRPr="008E09DC">
        <w:rPr>
          <w:rFonts w:ascii="Arial" w:hAnsi="Arial" w:cs="Arial"/>
          <w:sz w:val="20"/>
        </w:rPr>
        <w:t xml:space="preserve"> hatched by embryonic culture using surrogate eggshells. Mature male and female recipient chickens </w:t>
      </w:r>
      <w:r>
        <w:rPr>
          <w:rFonts w:ascii="Arial" w:hAnsi="Arial" w:cs="Arial"/>
          <w:sz w:val="20"/>
        </w:rPr>
        <w:t>were</w:t>
      </w:r>
      <w:r w:rsidRPr="008E09DC">
        <w:rPr>
          <w:rFonts w:ascii="Arial" w:hAnsi="Arial" w:cs="Arial"/>
          <w:sz w:val="20"/>
        </w:rPr>
        <w:t xml:space="preserve"> mated to produce donor PGC-derived pure </w:t>
      </w:r>
      <w:proofErr w:type="spellStart"/>
      <w:r w:rsidRPr="008E09DC">
        <w:rPr>
          <w:rFonts w:ascii="Arial" w:hAnsi="Arial" w:cs="Arial"/>
          <w:sz w:val="20"/>
        </w:rPr>
        <w:t>Piao</w:t>
      </w:r>
      <w:proofErr w:type="spellEnd"/>
      <w:r w:rsidRPr="008E09DC">
        <w:rPr>
          <w:rFonts w:ascii="Arial" w:hAnsi="Arial" w:cs="Arial"/>
          <w:sz w:val="20"/>
        </w:rPr>
        <w:t xml:space="preserve"> chicks. The hatched chicks </w:t>
      </w:r>
      <w:r>
        <w:rPr>
          <w:rFonts w:ascii="Arial" w:hAnsi="Arial" w:cs="Arial"/>
          <w:sz w:val="20"/>
        </w:rPr>
        <w:t>were</w:t>
      </w:r>
      <w:r w:rsidRPr="008E09DC">
        <w:rPr>
          <w:rFonts w:ascii="Arial" w:hAnsi="Arial" w:cs="Arial"/>
          <w:sz w:val="20"/>
        </w:rPr>
        <w:t xml:space="preserve"> classified by donor-derived mutations (</w:t>
      </w:r>
      <w:proofErr w:type="spellStart"/>
      <w:r w:rsidRPr="008E09DC">
        <w:rPr>
          <w:rFonts w:ascii="Arial" w:hAnsi="Arial" w:cs="Arial"/>
          <w:sz w:val="20"/>
        </w:rPr>
        <w:t>rumplessness</w:t>
      </w:r>
      <w:proofErr w:type="spellEnd"/>
      <w:r w:rsidRPr="008E09DC">
        <w:rPr>
          <w:rFonts w:ascii="Arial" w:hAnsi="Arial" w:cs="Arial"/>
          <w:sz w:val="20"/>
        </w:rPr>
        <w:t xml:space="preserve">, </w:t>
      </w:r>
      <w:proofErr w:type="spellStart"/>
      <w:r w:rsidRPr="008E09DC">
        <w:rPr>
          <w:rFonts w:ascii="Arial" w:hAnsi="Arial" w:cs="Arial"/>
          <w:i/>
          <w:iCs/>
          <w:sz w:val="20"/>
        </w:rPr>
        <w:t>Rp</w:t>
      </w:r>
      <w:proofErr w:type="spellEnd"/>
      <w:r w:rsidRPr="008E09DC">
        <w:rPr>
          <w:rFonts w:ascii="Arial" w:hAnsi="Arial" w:cs="Arial"/>
          <w:sz w:val="20"/>
        </w:rPr>
        <w:t xml:space="preserve">; </w:t>
      </w:r>
      <w:proofErr w:type="spellStart"/>
      <w:r w:rsidRPr="008E09DC">
        <w:rPr>
          <w:rFonts w:ascii="Arial" w:hAnsi="Arial" w:cs="Arial"/>
          <w:sz w:val="20"/>
        </w:rPr>
        <w:t>fibromelanosis</w:t>
      </w:r>
      <w:proofErr w:type="spellEnd"/>
      <w:r w:rsidRPr="008E09DC">
        <w:rPr>
          <w:rFonts w:ascii="Arial" w:hAnsi="Arial" w:cs="Arial"/>
          <w:sz w:val="20"/>
        </w:rPr>
        <w:t xml:space="preserve">, </w:t>
      </w:r>
      <w:proofErr w:type="spellStart"/>
      <w:r w:rsidRPr="008E09DC">
        <w:rPr>
          <w:rFonts w:ascii="Arial" w:hAnsi="Arial" w:cs="Arial"/>
          <w:i/>
          <w:iCs/>
          <w:sz w:val="20"/>
        </w:rPr>
        <w:t>Fm</w:t>
      </w:r>
      <w:proofErr w:type="spellEnd"/>
      <w:r w:rsidRPr="008E09DC">
        <w:rPr>
          <w:rFonts w:ascii="Arial" w:hAnsi="Arial" w:cs="Arial"/>
          <w:sz w:val="20"/>
        </w:rPr>
        <w:t xml:space="preserve">; etc.) and finally, pure </w:t>
      </w:r>
      <w:proofErr w:type="spellStart"/>
      <w:r w:rsidRPr="008E09DC">
        <w:rPr>
          <w:rFonts w:ascii="Arial" w:hAnsi="Arial" w:cs="Arial"/>
          <w:sz w:val="20"/>
        </w:rPr>
        <w:t>Piao</w:t>
      </w:r>
      <w:proofErr w:type="spellEnd"/>
      <w:r w:rsidRPr="008E09DC">
        <w:rPr>
          <w:rFonts w:ascii="Arial" w:hAnsi="Arial" w:cs="Arial"/>
          <w:sz w:val="20"/>
        </w:rPr>
        <w:t xml:space="preserve"> chicks derived from male and female donor PGCs </w:t>
      </w:r>
      <w:r>
        <w:rPr>
          <w:rFonts w:ascii="Arial" w:hAnsi="Arial" w:cs="Arial"/>
          <w:sz w:val="20"/>
        </w:rPr>
        <w:t>were</w:t>
      </w:r>
      <w:r w:rsidRPr="008E09DC">
        <w:rPr>
          <w:rFonts w:ascii="Arial" w:hAnsi="Arial" w:cs="Arial"/>
          <w:sz w:val="20"/>
        </w:rPr>
        <w:t xml:space="preserve"> identified by sequencing the </w:t>
      </w:r>
      <w:proofErr w:type="spellStart"/>
      <w:r w:rsidRPr="008E09DC">
        <w:rPr>
          <w:rFonts w:ascii="Arial" w:hAnsi="Arial" w:cs="Arial"/>
          <w:sz w:val="20"/>
        </w:rPr>
        <w:t>mtDNA</w:t>
      </w:r>
      <w:proofErr w:type="spellEnd"/>
      <w:r w:rsidRPr="008E09DC">
        <w:rPr>
          <w:rFonts w:ascii="Arial" w:hAnsi="Arial" w:cs="Arial"/>
          <w:sz w:val="20"/>
        </w:rPr>
        <w:t xml:space="preserve"> haplotype and genotypes for the deletion mutation responsible for </w:t>
      </w:r>
      <w:proofErr w:type="spellStart"/>
      <w:r w:rsidRPr="00EE7DDC">
        <w:rPr>
          <w:rFonts w:ascii="Arial" w:hAnsi="Arial" w:cs="Arial"/>
          <w:i/>
          <w:iCs/>
          <w:sz w:val="20"/>
        </w:rPr>
        <w:t>Rp</w:t>
      </w:r>
      <w:proofErr w:type="spellEnd"/>
      <w:r w:rsidRPr="008E09DC">
        <w:rPr>
          <w:rFonts w:ascii="Arial" w:hAnsi="Arial" w:cs="Arial"/>
          <w:sz w:val="20"/>
        </w:rPr>
        <w:t>.</w:t>
      </w:r>
      <w:r w:rsidRPr="008E09DC">
        <w:rPr>
          <w:rFonts w:ascii="Arial" w:hAnsi="Arial" w:cs="Arial"/>
          <w:b/>
          <w:bCs/>
          <w:sz w:val="20"/>
        </w:rPr>
        <w:t xml:space="preserve"> (B)</w:t>
      </w:r>
      <w:r w:rsidRPr="008E09DC">
        <w:rPr>
          <w:rFonts w:ascii="Arial" w:hAnsi="Arial" w:cs="Arial"/>
          <w:sz w:val="20"/>
        </w:rPr>
        <w:t xml:space="preserve"> Workflow for </w:t>
      </w:r>
      <w:r w:rsidRPr="008E09DC">
        <w:rPr>
          <w:rFonts w:ascii="Arial" w:hAnsi="Arial" w:cs="Arial"/>
          <w:sz w:val="20"/>
        </w:rPr>
        <w:lastRenderedPageBreak/>
        <w:t xml:space="preserve">generation of </w:t>
      </w:r>
      <w:r w:rsidRPr="008E09DC">
        <w:rPr>
          <w:rFonts w:ascii="Arial" w:hAnsi="Arial" w:cs="Arial"/>
          <w:i/>
          <w:iCs/>
          <w:sz w:val="20"/>
        </w:rPr>
        <w:t>TYRP1</w:t>
      </w:r>
      <w:r w:rsidRPr="008E09DC">
        <w:rPr>
          <w:rFonts w:ascii="Arial" w:hAnsi="Arial" w:cs="Arial"/>
          <w:sz w:val="20"/>
        </w:rPr>
        <w:t xml:space="preserve"> KO </w:t>
      </w:r>
      <w:proofErr w:type="spellStart"/>
      <w:r w:rsidRPr="008E09DC">
        <w:rPr>
          <w:rFonts w:ascii="Arial" w:hAnsi="Arial" w:cs="Arial"/>
          <w:sz w:val="20"/>
        </w:rPr>
        <w:t>Chahua</w:t>
      </w:r>
      <w:proofErr w:type="spellEnd"/>
      <w:r w:rsidRPr="008E09DC">
        <w:rPr>
          <w:rFonts w:ascii="Arial" w:hAnsi="Arial" w:cs="Arial"/>
          <w:sz w:val="20"/>
        </w:rPr>
        <w:t xml:space="preserve"> chickens. CRISPR/Cas9 plasmid vectors containing </w:t>
      </w:r>
      <w:proofErr w:type="spellStart"/>
      <w:r w:rsidRPr="008E09DC">
        <w:rPr>
          <w:rFonts w:ascii="Arial" w:hAnsi="Arial" w:cs="Arial"/>
          <w:sz w:val="20"/>
        </w:rPr>
        <w:t>sgRNAs</w:t>
      </w:r>
      <w:proofErr w:type="spellEnd"/>
      <w:r w:rsidRPr="008E09DC">
        <w:rPr>
          <w:rFonts w:ascii="Arial" w:hAnsi="Arial" w:cs="Arial"/>
          <w:sz w:val="20"/>
        </w:rPr>
        <w:t xml:space="preserve"> targeting the </w:t>
      </w:r>
      <w:r w:rsidRPr="008E09DC">
        <w:rPr>
          <w:rFonts w:ascii="Arial" w:hAnsi="Arial" w:cs="Arial"/>
          <w:i/>
          <w:iCs/>
          <w:sz w:val="20"/>
        </w:rPr>
        <w:t>TYRP1</w:t>
      </w:r>
      <w:r w:rsidRPr="008E09DC">
        <w:rPr>
          <w:rFonts w:ascii="Arial" w:hAnsi="Arial" w:cs="Arial"/>
          <w:sz w:val="20"/>
        </w:rPr>
        <w:t xml:space="preserve"> gene on chromosome Z were transfected into expanded male </w:t>
      </w:r>
      <w:proofErr w:type="spellStart"/>
      <w:r w:rsidRPr="008E09DC">
        <w:rPr>
          <w:rFonts w:ascii="Arial" w:hAnsi="Arial" w:cs="Arial"/>
          <w:sz w:val="20"/>
        </w:rPr>
        <w:t>Chahua</w:t>
      </w:r>
      <w:proofErr w:type="spellEnd"/>
      <w:r w:rsidRPr="008E09DC">
        <w:rPr>
          <w:rFonts w:ascii="Arial" w:hAnsi="Arial" w:cs="Arial"/>
          <w:sz w:val="20"/>
        </w:rPr>
        <w:t xml:space="preserve"> PGCs. By </w:t>
      </w:r>
      <w:proofErr w:type="spellStart"/>
      <w:r w:rsidRPr="008E09DC">
        <w:rPr>
          <w:rFonts w:ascii="Arial" w:hAnsi="Arial" w:cs="Arial"/>
          <w:sz w:val="20"/>
        </w:rPr>
        <w:t>puromycin</w:t>
      </w:r>
      <w:proofErr w:type="spellEnd"/>
      <w:r w:rsidRPr="008E09DC">
        <w:rPr>
          <w:rFonts w:ascii="Arial" w:hAnsi="Arial" w:cs="Arial"/>
          <w:sz w:val="20"/>
        </w:rPr>
        <w:t xml:space="preserve"> selection and enrichment of several weeks of culture, </w:t>
      </w:r>
      <w:r w:rsidRPr="008E09DC">
        <w:rPr>
          <w:rFonts w:ascii="Arial" w:hAnsi="Arial" w:cs="Arial"/>
          <w:i/>
          <w:iCs/>
          <w:sz w:val="20"/>
        </w:rPr>
        <w:t xml:space="preserve">TYRP1 </w:t>
      </w:r>
      <w:r w:rsidRPr="008E09DC">
        <w:rPr>
          <w:rFonts w:ascii="Arial" w:hAnsi="Arial" w:cs="Arial"/>
          <w:sz w:val="20"/>
        </w:rPr>
        <w:t xml:space="preserve">KO PGC lines with CRISPR/Cas9-induced mutations were established. The KO PGCs were transplanted into recipient embryos, and KO </w:t>
      </w:r>
      <w:proofErr w:type="spellStart"/>
      <w:r w:rsidRPr="008E09DC">
        <w:rPr>
          <w:rFonts w:ascii="Arial" w:hAnsi="Arial" w:cs="Arial"/>
          <w:sz w:val="20"/>
        </w:rPr>
        <w:t>Chahua</w:t>
      </w:r>
      <w:proofErr w:type="spellEnd"/>
      <w:r w:rsidRPr="008E09DC">
        <w:rPr>
          <w:rFonts w:ascii="Arial" w:hAnsi="Arial" w:cs="Arial"/>
          <w:sz w:val="20"/>
        </w:rPr>
        <w:t xml:space="preserve"> chicks were produced by mating mature recipient males with wild-type </w:t>
      </w:r>
      <w:proofErr w:type="spellStart"/>
      <w:r w:rsidRPr="008E09DC">
        <w:rPr>
          <w:rFonts w:ascii="Arial" w:hAnsi="Arial" w:cs="Arial"/>
          <w:sz w:val="20"/>
        </w:rPr>
        <w:t>Chahua</w:t>
      </w:r>
      <w:proofErr w:type="spellEnd"/>
      <w:r w:rsidRPr="008E09DC">
        <w:rPr>
          <w:rFonts w:ascii="Arial" w:hAnsi="Arial" w:cs="Arial"/>
          <w:sz w:val="20"/>
        </w:rPr>
        <w:t xml:space="preserve"> females. Chicks without mutant traits (polydactyly, </w:t>
      </w:r>
      <w:r w:rsidRPr="008E09DC">
        <w:rPr>
          <w:rFonts w:ascii="Arial" w:hAnsi="Arial" w:cs="Arial"/>
          <w:i/>
          <w:iCs/>
          <w:sz w:val="20"/>
        </w:rPr>
        <w:t>Po</w:t>
      </w:r>
      <w:r w:rsidRPr="008E09DC">
        <w:rPr>
          <w:rFonts w:ascii="Arial" w:hAnsi="Arial" w:cs="Arial"/>
          <w:sz w:val="20"/>
        </w:rPr>
        <w:t xml:space="preserve">; crest, </w:t>
      </w:r>
      <w:r w:rsidRPr="008E09DC">
        <w:rPr>
          <w:rFonts w:ascii="Arial" w:hAnsi="Arial" w:cs="Arial"/>
          <w:i/>
          <w:iCs/>
          <w:sz w:val="20"/>
        </w:rPr>
        <w:t>Cr</w:t>
      </w:r>
      <w:r w:rsidRPr="008E09DC">
        <w:rPr>
          <w:rFonts w:ascii="Arial" w:hAnsi="Arial" w:cs="Arial"/>
          <w:sz w:val="20"/>
        </w:rPr>
        <w:t xml:space="preserve">) from recipient males were screened and finally confirmed as </w:t>
      </w:r>
      <w:r w:rsidRPr="008E09DC">
        <w:rPr>
          <w:rFonts w:ascii="Arial" w:hAnsi="Arial" w:cs="Arial"/>
          <w:i/>
          <w:iCs/>
          <w:sz w:val="20"/>
        </w:rPr>
        <w:t>TYRP1</w:t>
      </w:r>
      <w:r w:rsidRPr="008E09DC">
        <w:rPr>
          <w:rFonts w:ascii="Arial" w:hAnsi="Arial" w:cs="Arial"/>
          <w:sz w:val="20"/>
        </w:rPr>
        <w:t xml:space="preserve"> KO </w:t>
      </w:r>
      <w:proofErr w:type="spellStart"/>
      <w:r w:rsidRPr="008E09DC">
        <w:rPr>
          <w:rFonts w:ascii="Arial" w:hAnsi="Arial" w:cs="Arial"/>
          <w:sz w:val="20"/>
        </w:rPr>
        <w:t>Chahua</w:t>
      </w:r>
      <w:proofErr w:type="spellEnd"/>
      <w:r w:rsidRPr="008E09DC">
        <w:rPr>
          <w:rFonts w:ascii="Arial" w:hAnsi="Arial" w:cs="Arial"/>
          <w:sz w:val="20"/>
        </w:rPr>
        <w:t xml:space="preserve"> chickens by Sanger sequencing and genotyping for mutations within the target region.</w:t>
      </w:r>
    </w:p>
    <w:p w14:paraId="47C23D41" w14:textId="01B4CFD1" w:rsidR="006A5BC6" w:rsidRDefault="006A5BC6" w:rsidP="00302DEB">
      <w:pPr>
        <w:rPr>
          <w:rFonts w:ascii="Arial" w:hAnsi="Arial" w:cs="Arial"/>
          <w:sz w:val="20"/>
        </w:rPr>
      </w:pPr>
      <w:r>
        <w:rPr>
          <w:rFonts w:ascii="Arial" w:hAnsi="Arial" w:cs="Arial"/>
          <w:sz w:val="20"/>
        </w:rPr>
        <w:br w:type="page"/>
      </w:r>
    </w:p>
    <w:p w14:paraId="48C7EE70" w14:textId="75EDA2F2" w:rsidR="006A5BC6" w:rsidRDefault="009543B4" w:rsidP="00302DEB">
      <w:pPr>
        <w:adjustRightInd w:val="0"/>
        <w:snapToGrid w:val="0"/>
        <w:spacing w:line="360" w:lineRule="auto"/>
        <w:rPr>
          <w:rFonts w:ascii="Arial" w:hAnsi="Arial" w:cs="Arial"/>
          <w:sz w:val="20"/>
        </w:rPr>
      </w:pPr>
      <w:r>
        <w:rPr>
          <w:rFonts w:ascii="Arial" w:hAnsi="Arial" w:cs="Arial"/>
          <w:noProof/>
          <w:sz w:val="20"/>
          <w:lang w:eastAsia="zh-CN"/>
        </w:rPr>
        <w:lastRenderedPageBreak/>
        <w:drawing>
          <wp:inline distT="0" distB="0" distL="0" distR="0" wp14:anchorId="38911BDF" wp14:editId="44775A70">
            <wp:extent cx="5486400" cy="4932680"/>
            <wp:effectExtent l="0" t="0" r="0" b="1270"/>
            <wp:docPr id="1931167349"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167349" name="図 193116734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4932680"/>
                    </a:xfrm>
                    <a:prstGeom prst="rect">
                      <a:avLst/>
                    </a:prstGeom>
                  </pic:spPr>
                </pic:pic>
              </a:graphicData>
            </a:graphic>
          </wp:inline>
        </w:drawing>
      </w:r>
    </w:p>
    <w:p w14:paraId="1675EF09" w14:textId="77777777" w:rsidR="005760F0" w:rsidRDefault="005760F0" w:rsidP="005760F0">
      <w:pPr>
        <w:adjustRightInd w:val="0"/>
        <w:snapToGrid w:val="0"/>
        <w:rPr>
          <w:rFonts w:ascii="Arial" w:hAnsi="Arial" w:cs="Arial"/>
          <w:sz w:val="20"/>
          <w:lang w:eastAsia="ja-JP"/>
        </w:rPr>
      </w:pPr>
      <w:r w:rsidRPr="00BD2875">
        <w:rPr>
          <w:rFonts w:ascii="Arial" w:eastAsia="SimSun" w:hAnsi="Arial" w:cs="Arial"/>
          <w:b/>
          <w:bCs/>
          <w:sz w:val="20"/>
          <w:lang w:eastAsia="zh-CN"/>
        </w:rPr>
        <w:t xml:space="preserve">Fig. S2. Overview of regeneration and identification of donor PGC-derived </w:t>
      </w:r>
      <w:proofErr w:type="spellStart"/>
      <w:r w:rsidRPr="00BD2875">
        <w:rPr>
          <w:rFonts w:ascii="Arial" w:eastAsia="SimSun" w:hAnsi="Arial" w:cs="Arial"/>
          <w:b/>
          <w:bCs/>
          <w:sz w:val="20"/>
          <w:lang w:eastAsia="zh-CN"/>
        </w:rPr>
        <w:t>Piao</w:t>
      </w:r>
      <w:proofErr w:type="spellEnd"/>
      <w:r w:rsidRPr="00BD2875">
        <w:rPr>
          <w:rFonts w:ascii="Arial" w:eastAsia="SimSun" w:hAnsi="Arial" w:cs="Arial"/>
          <w:b/>
          <w:bCs/>
          <w:sz w:val="20"/>
          <w:lang w:eastAsia="zh-CN"/>
        </w:rPr>
        <w:t xml:space="preserve"> chickens. (A) </w:t>
      </w:r>
      <w:r w:rsidRPr="00BD2875">
        <w:rPr>
          <w:rFonts w:ascii="Arial" w:eastAsia="SimSun" w:hAnsi="Arial" w:cs="Arial"/>
          <w:sz w:val="20"/>
          <w:lang w:eastAsia="zh-CN"/>
        </w:rPr>
        <w:t xml:space="preserve">Flowchart of recipient male selection and classification of donor PGC-derived chicks by progeny testing. First, recipient males (putative germline chimeras) were confirmed to produce donor PGC-derived sperm. A specific fragment of the </w:t>
      </w:r>
      <w:proofErr w:type="spellStart"/>
      <w:r w:rsidRPr="00BD2875">
        <w:rPr>
          <w:rFonts w:ascii="Arial" w:eastAsia="SimSun" w:hAnsi="Arial" w:cs="Arial"/>
          <w:sz w:val="20"/>
          <w:lang w:eastAsia="zh-CN"/>
        </w:rPr>
        <w:t>fibromelanosis</w:t>
      </w:r>
      <w:proofErr w:type="spellEnd"/>
      <w:r w:rsidRPr="00BD2875">
        <w:rPr>
          <w:rFonts w:ascii="Arial" w:eastAsia="SimSun" w:hAnsi="Arial" w:cs="Arial"/>
          <w:sz w:val="20"/>
          <w:lang w:eastAsia="zh-CN"/>
        </w:rPr>
        <w:t xml:space="preserve"> (</w:t>
      </w:r>
      <w:proofErr w:type="spellStart"/>
      <w:r w:rsidRPr="00BD2875">
        <w:rPr>
          <w:rFonts w:ascii="Arial" w:eastAsia="SimSun" w:hAnsi="Arial" w:cs="Arial"/>
          <w:i/>
          <w:iCs/>
          <w:sz w:val="20"/>
          <w:lang w:eastAsia="zh-CN"/>
        </w:rPr>
        <w:t>Fm</w:t>
      </w:r>
      <w:proofErr w:type="spellEnd"/>
      <w:r w:rsidRPr="00BD2875">
        <w:rPr>
          <w:rFonts w:ascii="Arial" w:eastAsia="SimSun" w:hAnsi="Arial" w:cs="Arial"/>
          <w:sz w:val="20"/>
          <w:lang w:eastAsia="zh-CN"/>
        </w:rPr>
        <w:t xml:space="preserve">) mutation derived from the donor PGCs was amplified by PCR using semen and blood-derived DNA samples (see Fig. S3). To verify that recipient males can produce donor PGC-derived chicks, </w:t>
      </w:r>
      <w:proofErr w:type="spellStart"/>
      <w:r w:rsidRPr="00BD2875">
        <w:rPr>
          <w:rFonts w:ascii="Arial" w:eastAsia="SimSun" w:hAnsi="Arial" w:cs="Arial"/>
          <w:i/>
          <w:iCs/>
          <w:sz w:val="20"/>
          <w:lang w:eastAsia="zh-CN"/>
        </w:rPr>
        <w:t>Fm</w:t>
      </w:r>
      <w:proofErr w:type="spellEnd"/>
      <w:r w:rsidRPr="00BD2875">
        <w:rPr>
          <w:rFonts w:ascii="Arial" w:eastAsia="SimSun" w:hAnsi="Arial" w:cs="Arial"/>
          <w:sz w:val="20"/>
          <w:lang w:eastAsia="zh-CN"/>
        </w:rPr>
        <w:t xml:space="preserve">-positive recipient males were mated to WT hens in Progeny Test I. Hatched chicks were classified as recipient (WT) or donor PGC-derived based on the presence/absence of donor PGC-derived mutant traits, such as </w:t>
      </w:r>
      <w:proofErr w:type="spellStart"/>
      <w:r w:rsidRPr="00BD2875">
        <w:rPr>
          <w:rFonts w:ascii="Arial" w:eastAsia="SimSun" w:hAnsi="Arial" w:cs="Arial"/>
          <w:sz w:val="20"/>
          <w:lang w:eastAsia="zh-CN"/>
        </w:rPr>
        <w:t>rumplessness</w:t>
      </w:r>
      <w:proofErr w:type="spellEnd"/>
      <w:r w:rsidRPr="00BD2875">
        <w:rPr>
          <w:rFonts w:ascii="Arial" w:eastAsia="SimSun" w:hAnsi="Arial" w:cs="Arial"/>
          <w:sz w:val="20"/>
          <w:lang w:eastAsia="zh-CN"/>
        </w:rPr>
        <w:t xml:space="preserve"> (</w:t>
      </w:r>
      <w:proofErr w:type="spellStart"/>
      <w:r w:rsidRPr="00BD2875">
        <w:rPr>
          <w:rFonts w:ascii="Arial" w:eastAsia="SimSun" w:hAnsi="Arial" w:cs="Arial"/>
          <w:i/>
          <w:iCs/>
          <w:sz w:val="20"/>
          <w:lang w:eastAsia="zh-CN"/>
        </w:rPr>
        <w:t>Rp</w:t>
      </w:r>
      <w:proofErr w:type="spellEnd"/>
      <w:r w:rsidRPr="00BD2875">
        <w:rPr>
          <w:rFonts w:ascii="Arial" w:eastAsia="SimSun" w:hAnsi="Arial" w:cs="Arial"/>
          <w:sz w:val="20"/>
          <w:lang w:eastAsia="zh-CN"/>
        </w:rPr>
        <w:t xml:space="preserve">). The high-performing recipient males were selected in Progeny Test I and crossed with recipient females (putative germline chimera) in Progeny Test II to regenerate pure </w:t>
      </w:r>
      <w:proofErr w:type="spellStart"/>
      <w:r w:rsidRPr="00BD2875">
        <w:rPr>
          <w:rFonts w:ascii="Arial" w:eastAsia="SimSun" w:hAnsi="Arial" w:cs="Arial"/>
          <w:sz w:val="20"/>
          <w:lang w:eastAsia="zh-CN"/>
        </w:rPr>
        <w:t>Piao</w:t>
      </w:r>
      <w:proofErr w:type="spellEnd"/>
      <w:r w:rsidRPr="00BD2875">
        <w:rPr>
          <w:rFonts w:ascii="Arial" w:eastAsia="SimSun" w:hAnsi="Arial" w:cs="Arial"/>
          <w:sz w:val="20"/>
          <w:lang w:eastAsia="zh-CN"/>
        </w:rPr>
        <w:t xml:space="preserve"> chickens derived from donor PGCs. The hatched chicks were divided into four groups according to the combination of their parents: chicks derived from male and female recipients, chicks derived from male recipient and female PGC, chicks derived from female recipient and male PGC, and chicks derived from both male and female PGC.</w:t>
      </w:r>
      <w:r w:rsidRPr="00BD2875">
        <w:rPr>
          <w:rFonts w:ascii="Arial" w:eastAsia="SimSun" w:hAnsi="Arial" w:cs="Arial"/>
          <w:b/>
          <w:bCs/>
          <w:sz w:val="20"/>
          <w:lang w:eastAsia="zh-CN"/>
        </w:rPr>
        <w:t xml:space="preserve"> </w:t>
      </w:r>
      <w:r w:rsidRPr="00BD2875">
        <w:rPr>
          <w:rFonts w:ascii="Arial" w:hAnsi="Arial" w:cs="Arial"/>
          <w:b/>
          <w:bCs/>
          <w:sz w:val="20"/>
          <w:lang w:eastAsia="ja-JP"/>
        </w:rPr>
        <w:t xml:space="preserve">(B) </w:t>
      </w:r>
      <w:r w:rsidRPr="00BD2875">
        <w:rPr>
          <w:rFonts w:ascii="Arial" w:hAnsi="Arial" w:cs="Arial"/>
          <w:sz w:val="20"/>
          <w:lang w:eastAsia="ja-JP"/>
        </w:rPr>
        <w:t xml:space="preserve">Classification of chicks in Progeny Test II. Chicks produced from the mating of six recipient females and two recipient males selected in Progeny Test I can be divided into two groups by phenotyping for donor-derived mutations such as </w:t>
      </w:r>
      <w:proofErr w:type="spellStart"/>
      <w:r w:rsidRPr="00BD2875">
        <w:rPr>
          <w:rFonts w:ascii="Arial" w:hAnsi="Arial" w:cs="Arial"/>
          <w:sz w:val="20"/>
          <w:lang w:eastAsia="ja-JP"/>
        </w:rPr>
        <w:t>rumplessness</w:t>
      </w:r>
      <w:proofErr w:type="spellEnd"/>
      <w:r w:rsidRPr="00BD2875">
        <w:rPr>
          <w:rFonts w:ascii="Arial" w:hAnsi="Arial" w:cs="Arial"/>
          <w:sz w:val="20"/>
          <w:lang w:eastAsia="ja-JP"/>
        </w:rPr>
        <w:t xml:space="preserve"> (</w:t>
      </w:r>
      <w:proofErr w:type="spellStart"/>
      <w:r w:rsidRPr="00BD2875">
        <w:rPr>
          <w:rFonts w:ascii="Arial" w:hAnsi="Arial" w:cs="Arial"/>
          <w:i/>
          <w:iCs/>
          <w:sz w:val="20"/>
          <w:lang w:eastAsia="ja-JP"/>
        </w:rPr>
        <w:t>Rp</w:t>
      </w:r>
      <w:proofErr w:type="spellEnd"/>
      <w:r w:rsidRPr="00BD2875">
        <w:rPr>
          <w:rFonts w:ascii="Arial" w:hAnsi="Arial" w:cs="Arial"/>
          <w:sz w:val="20"/>
          <w:lang w:eastAsia="ja-JP"/>
        </w:rPr>
        <w:t xml:space="preserve">): chicks derived from recipient males and females, and chicks derived from donor PGCs. Furthermore, donor PGC-derived chicks can be divided into two groups based on their </w:t>
      </w:r>
      <w:proofErr w:type="spellStart"/>
      <w:r w:rsidRPr="00BD2875">
        <w:rPr>
          <w:rFonts w:ascii="Arial" w:hAnsi="Arial" w:cs="Arial"/>
          <w:sz w:val="20"/>
          <w:lang w:eastAsia="ja-JP"/>
        </w:rPr>
        <w:t>mtDNA</w:t>
      </w:r>
      <w:proofErr w:type="spellEnd"/>
      <w:r w:rsidRPr="00BD2875">
        <w:rPr>
          <w:rFonts w:ascii="Arial" w:hAnsi="Arial" w:cs="Arial"/>
          <w:sz w:val="20"/>
          <w:lang w:eastAsia="ja-JP"/>
        </w:rPr>
        <w:t xml:space="preserve"> D-loop haplotypes (see Table S4). The first group contains chicks derived from male donor PGCs and female recipient chickens, while the second group contains chicks derived from male recipient chickens and female donor PGCs or chicks derived from both male and female donor PGCs. Finally, the chicks with the </w:t>
      </w:r>
      <w:proofErr w:type="spellStart"/>
      <w:r w:rsidRPr="00BD2875">
        <w:rPr>
          <w:rFonts w:ascii="Arial" w:hAnsi="Arial" w:cs="Arial"/>
          <w:sz w:val="20"/>
          <w:lang w:eastAsia="ja-JP"/>
        </w:rPr>
        <w:t>mtDNA</w:t>
      </w:r>
      <w:proofErr w:type="spellEnd"/>
      <w:r w:rsidRPr="00BD2875">
        <w:rPr>
          <w:rFonts w:ascii="Arial" w:hAnsi="Arial" w:cs="Arial"/>
          <w:sz w:val="20"/>
          <w:lang w:eastAsia="ja-JP"/>
        </w:rPr>
        <w:t xml:space="preserve"> haplotype from the </w:t>
      </w:r>
      <w:r w:rsidRPr="00BD2875">
        <w:rPr>
          <w:rFonts w:ascii="Arial" w:hAnsi="Arial" w:cs="Arial"/>
          <w:sz w:val="20"/>
          <w:lang w:eastAsia="ja-JP"/>
        </w:rPr>
        <w:lastRenderedPageBreak/>
        <w:t xml:space="preserve">donor female PGC were classified by molecular analysis for the genotypes of </w:t>
      </w:r>
      <w:proofErr w:type="spellStart"/>
      <w:r w:rsidRPr="00BD2875">
        <w:rPr>
          <w:rFonts w:ascii="Arial" w:hAnsi="Arial" w:cs="Arial"/>
          <w:i/>
          <w:iCs/>
          <w:sz w:val="20"/>
          <w:lang w:eastAsia="ja-JP"/>
        </w:rPr>
        <w:t>Rp</w:t>
      </w:r>
      <w:proofErr w:type="spellEnd"/>
      <w:r w:rsidRPr="00BD2875">
        <w:rPr>
          <w:rFonts w:ascii="Arial" w:hAnsi="Arial" w:cs="Arial"/>
          <w:i/>
          <w:iCs/>
          <w:sz w:val="20"/>
          <w:lang w:eastAsia="ja-JP"/>
        </w:rPr>
        <w:t xml:space="preserve"> </w:t>
      </w:r>
      <w:r w:rsidRPr="00BD2875">
        <w:rPr>
          <w:rFonts w:ascii="Arial" w:hAnsi="Arial" w:cs="Arial"/>
          <w:sz w:val="20"/>
          <w:lang w:eastAsia="ja-JP"/>
        </w:rPr>
        <w:t xml:space="preserve">and </w:t>
      </w:r>
      <w:r w:rsidRPr="00BD2875">
        <w:rPr>
          <w:rFonts w:ascii="Arial" w:hAnsi="Arial" w:cs="Arial"/>
          <w:i/>
          <w:iCs/>
          <w:sz w:val="20"/>
          <w:lang w:eastAsia="ja-JP"/>
        </w:rPr>
        <w:t>MC1R</w:t>
      </w:r>
      <w:r w:rsidRPr="00BD2875">
        <w:rPr>
          <w:rFonts w:ascii="Arial" w:hAnsi="Arial" w:cs="Arial"/>
          <w:sz w:val="20"/>
          <w:lang w:eastAsia="ja-JP"/>
        </w:rPr>
        <w:t xml:space="preserve"> (see Fig</w:t>
      </w:r>
      <w:r>
        <w:rPr>
          <w:rFonts w:ascii="Arial" w:hAnsi="Arial" w:cs="Arial"/>
          <w:sz w:val="20"/>
          <w:lang w:eastAsia="ja-JP"/>
        </w:rPr>
        <w:t>.</w:t>
      </w:r>
      <w:r w:rsidRPr="00BD2875">
        <w:rPr>
          <w:rFonts w:ascii="Arial" w:hAnsi="Arial" w:cs="Arial"/>
          <w:sz w:val="20"/>
          <w:lang w:eastAsia="ja-JP"/>
        </w:rPr>
        <w:t xml:space="preserve"> 5). The heterozygous chicks were derived from recipient male and donor female PGCs, and the homozygous chicks were pure </w:t>
      </w:r>
      <w:proofErr w:type="spellStart"/>
      <w:r w:rsidRPr="00BD2875">
        <w:rPr>
          <w:rFonts w:ascii="Arial" w:hAnsi="Arial" w:cs="Arial"/>
          <w:sz w:val="20"/>
          <w:lang w:eastAsia="ja-JP"/>
        </w:rPr>
        <w:t>Piao</w:t>
      </w:r>
      <w:proofErr w:type="spellEnd"/>
      <w:r w:rsidRPr="00BD2875">
        <w:rPr>
          <w:rFonts w:ascii="Arial" w:hAnsi="Arial" w:cs="Arial"/>
          <w:sz w:val="20"/>
          <w:lang w:eastAsia="ja-JP"/>
        </w:rPr>
        <w:t xml:space="preserve"> chicks derived from both male and female donor PGCs.</w:t>
      </w:r>
    </w:p>
    <w:p w14:paraId="695F73DE" w14:textId="77777777" w:rsidR="00670299" w:rsidRPr="002006A0" w:rsidRDefault="00670299" w:rsidP="00302DEB">
      <w:pPr>
        <w:pStyle w:val="SMcaption"/>
        <w:rPr>
          <w:rFonts w:ascii="Arial" w:hAnsi="Arial" w:cs="Arial"/>
          <w:sz w:val="20"/>
        </w:rPr>
      </w:pPr>
    </w:p>
    <w:p w14:paraId="0DED0D0E" w14:textId="12B20768" w:rsidR="006A5BC6" w:rsidRPr="002006A0" w:rsidRDefault="006A5BC6" w:rsidP="00302DEB">
      <w:pPr>
        <w:rPr>
          <w:rFonts w:ascii="Arial" w:hAnsi="Arial" w:cs="Arial"/>
          <w:sz w:val="20"/>
          <w:highlight w:val="yellow"/>
        </w:rPr>
      </w:pPr>
      <w:r w:rsidRPr="002006A0">
        <w:rPr>
          <w:rFonts w:ascii="Arial" w:hAnsi="Arial" w:cs="Arial"/>
          <w:sz w:val="20"/>
          <w:highlight w:val="yellow"/>
        </w:rPr>
        <w:br w:type="page"/>
      </w:r>
    </w:p>
    <w:p w14:paraId="2862BD09" w14:textId="1E6DAAED" w:rsidR="008B73F9" w:rsidRDefault="00F775EA" w:rsidP="00302DEB">
      <w:pPr>
        <w:pStyle w:val="SMcaption"/>
        <w:rPr>
          <w:rFonts w:ascii="Arial" w:hAnsi="Arial" w:cs="Arial"/>
          <w:sz w:val="20"/>
        </w:rPr>
      </w:pPr>
      <w:r>
        <w:rPr>
          <w:rFonts w:ascii="Arial" w:hAnsi="Arial" w:cs="Arial"/>
          <w:noProof/>
          <w:sz w:val="20"/>
          <w:lang w:eastAsia="zh-CN"/>
        </w:rPr>
        <w:lastRenderedPageBreak/>
        <w:drawing>
          <wp:inline distT="0" distB="0" distL="0" distR="0" wp14:anchorId="70430EDA" wp14:editId="3447F549">
            <wp:extent cx="5486400" cy="6656070"/>
            <wp:effectExtent l="0" t="0" r="0" b="0"/>
            <wp:docPr id="2074320910"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320910" name="図 20743209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6656070"/>
                    </a:xfrm>
                    <a:prstGeom prst="rect">
                      <a:avLst/>
                    </a:prstGeom>
                  </pic:spPr>
                </pic:pic>
              </a:graphicData>
            </a:graphic>
          </wp:inline>
        </w:drawing>
      </w:r>
    </w:p>
    <w:p w14:paraId="107C7D23" w14:textId="77777777" w:rsidR="005760F0" w:rsidRDefault="005760F0" w:rsidP="005760F0">
      <w:pPr>
        <w:adjustRightInd w:val="0"/>
        <w:snapToGrid w:val="0"/>
        <w:rPr>
          <w:rFonts w:ascii="Arial" w:hAnsi="Arial" w:cs="Arial"/>
          <w:sz w:val="20"/>
        </w:rPr>
      </w:pPr>
      <w:r w:rsidRPr="00D15DED">
        <w:rPr>
          <w:rFonts w:ascii="Arial" w:hAnsi="Arial" w:cs="Arial"/>
          <w:b/>
          <w:bCs/>
          <w:sz w:val="20"/>
        </w:rPr>
        <w:t xml:space="preserve">Fig. S3. PCR detection of the </w:t>
      </w:r>
      <w:proofErr w:type="spellStart"/>
      <w:r w:rsidRPr="00D15DED">
        <w:rPr>
          <w:rFonts w:ascii="Arial" w:hAnsi="Arial" w:cs="Arial"/>
          <w:b/>
          <w:bCs/>
          <w:sz w:val="20"/>
        </w:rPr>
        <w:t>fibromelanosis</w:t>
      </w:r>
      <w:proofErr w:type="spellEnd"/>
      <w:r w:rsidRPr="00D15DED">
        <w:rPr>
          <w:rFonts w:ascii="Arial" w:hAnsi="Arial" w:cs="Arial"/>
          <w:b/>
          <w:bCs/>
          <w:sz w:val="20"/>
        </w:rPr>
        <w:t xml:space="preserve"> (</w:t>
      </w:r>
      <w:proofErr w:type="spellStart"/>
      <w:r w:rsidRPr="00D15DED">
        <w:rPr>
          <w:rFonts w:ascii="Arial" w:hAnsi="Arial" w:cs="Arial"/>
          <w:b/>
          <w:bCs/>
          <w:i/>
          <w:iCs/>
          <w:sz w:val="20"/>
        </w:rPr>
        <w:t>Fm</w:t>
      </w:r>
      <w:proofErr w:type="spellEnd"/>
      <w:r w:rsidRPr="00D15DED">
        <w:rPr>
          <w:rFonts w:ascii="Arial" w:hAnsi="Arial" w:cs="Arial"/>
          <w:b/>
          <w:bCs/>
          <w:sz w:val="20"/>
        </w:rPr>
        <w:t xml:space="preserve">) mutation from donor </w:t>
      </w:r>
      <w:proofErr w:type="spellStart"/>
      <w:r w:rsidRPr="00D15DED">
        <w:rPr>
          <w:rFonts w:ascii="Arial" w:hAnsi="Arial" w:cs="Arial"/>
          <w:b/>
          <w:bCs/>
          <w:sz w:val="20"/>
        </w:rPr>
        <w:t>Piao</w:t>
      </w:r>
      <w:proofErr w:type="spellEnd"/>
      <w:r w:rsidRPr="00D15DED">
        <w:rPr>
          <w:rFonts w:ascii="Arial" w:hAnsi="Arial" w:cs="Arial"/>
          <w:b/>
          <w:bCs/>
          <w:sz w:val="20"/>
        </w:rPr>
        <w:t xml:space="preserve"> PGCs in recipient semen or gonadal tissue.</w:t>
      </w:r>
      <w:r w:rsidRPr="00D15DED">
        <w:rPr>
          <w:rFonts w:ascii="Arial" w:hAnsi="Arial" w:cs="Arial"/>
          <w:sz w:val="20"/>
        </w:rPr>
        <w:t xml:space="preserve"> </w:t>
      </w:r>
      <w:r w:rsidRPr="00D15DED">
        <w:rPr>
          <w:rFonts w:ascii="Arial" w:hAnsi="Arial" w:cs="Arial"/>
          <w:b/>
          <w:bCs/>
          <w:sz w:val="20"/>
        </w:rPr>
        <w:t>(A)</w:t>
      </w:r>
      <w:r w:rsidRPr="00D15DED">
        <w:rPr>
          <w:rFonts w:ascii="Arial" w:hAnsi="Arial" w:cs="Arial"/>
          <w:sz w:val="20"/>
        </w:rPr>
        <w:t xml:space="preserve"> Schematic representation of the </w:t>
      </w:r>
      <w:proofErr w:type="spellStart"/>
      <w:r w:rsidRPr="00D15DED">
        <w:rPr>
          <w:rFonts w:ascii="Arial" w:hAnsi="Arial" w:cs="Arial"/>
          <w:i/>
          <w:iCs/>
          <w:sz w:val="20"/>
        </w:rPr>
        <w:t>Fm</w:t>
      </w:r>
      <w:proofErr w:type="spellEnd"/>
      <w:r w:rsidRPr="00D15DED">
        <w:rPr>
          <w:rFonts w:ascii="Arial" w:hAnsi="Arial" w:cs="Arial"/>
          <w:sz w:val="20"/>
        </w:rPr>
        <w:t xml:space="preserve"> and wild-type (WT, </w:t>
      </w:r>
      <w:proofErr w:type="spellStart"/>
      <w:r w:rsidRPr="00D15DED">
        <w:rPr>
          <w:rFonts w:ascii="Arial" w:hAnsi="Arial" w:cs="Arial"/>
          <w:i/>
          <w:iCs/>
          <w:sz w:val="20"/>
        </w:rPr>
        <w:t>fm</w:t>
      </w:r>
      <w:proofErr w:type="spellEnd"/>
      <w:r w:rsidRPr="00D15DED">
        <w:rPr>
          <w:rFonts w:ascii="Arial" w:hAnsi="Arial" w:cs="Arial"/>
          <w:i/>
          <w:iCs/>
          <w:sz w:val="20"/>
          <w:vertAlign w:val="superscript"/>
        </w:rPr>
        <w:t>+</w:t>
      </w:r>
      <w:r w:rsidRPr="00D15DED">
        <w:rPr>
          <w:rFonts w:ascii="Arial" w:hAnsi="Arial" w:cs="Arial"/>
          <w:sz w:val="20"/>
        </w:rPr>
        <w:t xml:space="preserve">) alleles. The </w:t>
      </w:r>
      <w:proofErr w:type="spellStart"/>
      <w:r w:rsidRPr="00D15DED">
        <w:rPr>
          <w:rFonts w:ascii="Arial" w:hAnsi="Arial" w:cs="Arial"/>
          <w:i/>
          <w:iCs/>
          <w:sz w:val="20"/>
        </w:rPr>
        <w:t>Fm</w:t>
      </w:r>
      <w:proofErr w:type="spellEnd"/>
      <w:r w:rsidRPr="00D15DED">
        <w:rPr>
          <w:rFonts w:ascii="Arial" w:hAnsi="Arial" w:cs="Arial"/>
          <w:sz w:val="20"/>
        </w:rPr>
        <w:t xml:space="preserve"> allele results from an inversion and duplication of chromosome 20 within the </w:t>
      </w:r>
      <w:r w:rsidRPr="00D15DED">
        <w:rPr>
          <w:rFonts w:ascii="Arial" w:hAnsi="Arial" w:cs="Arial"/>
          <w:i/>
          <w:iCs/>
          <w:sz w:val="20"/>
        </w:rPr>
        <w:t>EDN3</w:t>
      </w:r>
      <w:r w:rsidRPr="00D15DED">
        <w:rPr>
          <w:rFonts w:ascii="Arial" w:hAnsi="Arial" w:cs="Arial"/>
          <w:sz w:val="20"/>
        </w:rPr>
        <w:t xml:space="preserve"> </w:t>
      </w:r>
      <w:r w:rsidRPr="000A24CD">
        <w:rPr>
          <w:rFonts w:ascii="Arial" w:hAnsi="Arial" w:cs="Arial"/>
          <w:sz w:val="20"/>
        </w:rPr>
        <w:t xml:space="preserve">region </w:t>
      </w:r>
      <w:r>
        <w:rPr>
          <w:rFonts w:ascii="Arial" w:hAnsi="Arial" w:cs="Arial"/>
          <w:sz w:val="20"/>
        </w:rPr>
        <w:fldChar w:fldCharType="begin">
          <w:fldData xml:space="preserve">PEVuZE5vdGU+PENpdGU+PEF1dGhvcj5Eb3JzaG9yc3Q8L0F1dGhvcj48WWVhcj4yMDExPC9ZZWFy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</w:fldData>
        </w:fldChar>
      </w:r>
      <w:r>
        <w:rPr>
          <w:rFonts w:ascii="Arial" w:hAnsi="Arial" w:cs="Arial"/>
          <w:sz w:val="20"/>
        </w:rPr>
        <w:instrText xml:space="preserve"> ADDIN EN.CITE </w:instrText>
      </w:r>
      <w:r>
        <w:rPr>
          <w:rFonts w:ascii="Arial" w:hAnsi="Arial" w:cs="Arial"/>
          <w:sz w:val="20"/>
        </w:rPr>
        <w:fldChar w:fldCharType="begin">
          <w:fldData xml:space="preserve">PEVuZE5vdGU+PENpdGU+PEF1dGhvcj5Eb3JzaG9yc3Q8L0F1dGhvcj48WWVhcj4yMDExPC9ZZWFy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</w:fldData>
        </w:fldChar>
      </w:r>
      <w:r>
        <w:rPr>
          <w:rFonts w:ascii="Arial" w:hAnsi="Arial" w:cs="Arial"/>
          <w:sz w:val="20"/>
        </w:rPr>
        <w:instrText xml:space="preserve"> ADDIN EN.CITE.DATA </w:instrText>
      </w:r>
      <w:r>
        <w:rPr>
          <w:rFonts w:ascii="Arial" w:hAnsi="Arial" w:cs="Arial"/>
          <w:sz w:val="20"/>
        </w:rPr>
      </w:r>
      <w:r>
        <w:rPr>
          <w:rFonts w:ascii="Arial" w:hAnsi="Arial" w:cs="Arial"/>
          <w:sz w:val="20"/>
        </w:rPr>
        <w:fldChar w:fldCharType="end"/>
      </w:r>
      <w:r>
        <w:rPr>
          <w:rFonts w:ascii="Arial" w:hAnsi="Arial" w:cs="Arial"/>
          <w:sz w:val="20"/>
        </w:rPr>
      </w:r>
      <w:r>
        <w:rPr>
          <w:rFonts w:ascii="Arial" w:hAnsi="Arial" w:cs="Arial"/>
          <w:sz w:val="20"/>
        </w:rPr>
        <w:fldChar w:fldCharType="separate"/>
      </w:r>
      <w:r>
        <w:rPr>
          <w:rFonts w:ascii="Arial" w:hAnsi="Arial" w:cs="Arial"/>
          <w:noProof/>
          <w:sz w:val="20"/>
        </w:rPr>
        <w:t>[55]</w:t>
      </w:r>
      <w:r>
        <w:rPr>
          <w:rFonts w:ascii="Arial" w:hAnsi="Arial" w:cs="Arial"/>
          <w:sz w:val="20"/>
        </w:rPr>
        <w:fldChar w:fldCharType="end"/>
      </w:r>
      <w:r w:rsidRPr="000A24CD">
        <w:rPr>
          <w:rFonts w:ascii="Arial" w:hAnsi="Arial" w:cs="Arial"/>
          <w:sz w:val="20"/>
        </w:rPr>
        <w:t>.</w:t>
      </w:r>
      <w:r w:rsidRPr="00D15DED">
        <w:rPr>
          <w:rFonts w:ascii="Arial" w:hAnsi="Arial" w:cs="Arial"/>
          <w:sz w:val="20"/>
        </w:rPr>
        <w:t xml:space="preserve"> The </w:t>
      </w:r>
      <w:proofErr w:type="spellStart"/>
      <w:r w:rsidRPr="00D15DED">
        <w:rPr>
          <w:rFonts w:ascii="Arial" w:hAnsi="Arial" w:cs="Arial"/>
          <w:i/>
          <w:iCs/>
          <w:sz w:val="20"/>
        </w:rPr>
        <w:t>Fm</w:t>
      </w:r>
      <w:proofErr w:type="spellEnd"/>
      <w:r w:rsidRPr="00D15DED">
        <w:rPr>
          <w:rFonts w:ascii="Arial" w:hAnsi="Arial" w:cs="Arial"/>
          <w:sz w:val="20"/>
        </w:rPr>
        <w:t xml:space="preserve"> allele duplicates two different segments of the WT allele. The </w:t>
      </w:r>
      <w:proofErr w:type="spellStart"/>
      <w:r w:rsidRPr="00D15DED">
        <w:rPr>
          <w:rFonts w:ascii="Arial" w:hAnsi="Arial" w:cs="Arial"/>
          <w:i/>
          <w:iCs/>
          <w:sz w:val="20"/>
        </w:rPr>
        <w:t>Fm</w:t>
      </w:r>
      <w:proofErr w:type="spellEnd"/>
      <w:r w:rsidRPr="00D15DED">
        <w:rPr>
          <w:rFonts w:ascii="Arial" w:hAnsi="Arial" w:cs="Arial"/>
          <w:sz w:val="20"/>
        </w:rPr>
        <w:t xml:space="preserve"> allele has an additional dup1 (Dup1), represented by the blue box from the WT allele, and an additional inverted dup2 (Dup2), represented by the green box from the WT allele. Primers specific for the </w:t>
      </w:r>
      <w:proofErr w:type="spellStart"/>
      <w:r w:rsidRPr="00D15DED">
        <w:rPr>
          <w:rFonts w:ascii="Arial" w:hAnsi="Arial" w:cs="Arial"/>
          <w:i/>
          <w:iCs/>
          <w:sz w:val="20"/>
        </w:rPr>
        <w:t>Fm</w:t>
      </w:r>
      <w:proofErr w:type="spellEnd"/>
      <w:r w:rsidRPr="00D15DED">
        <w:rPr>
          <w:rFonts w:ascii="Arial" w:hAnsi="Arial" w:cs="Arial"/>
          <w:sz w:val="20"/>
        </w:rPr>
        <w:t xml:space="preserve"> allele (FD and RV) were designed to target the </w:t>
      </w:r>
      <w:proofErr w:type="spellStart"/>
      <w:r w:rsidRPr="00D15DED">
        <w:rPr>
          <w:rFonts w:ascii="Arial" w:hAnsi="Arial" w:cs="Arial"/>
          <w:i/>
          <w:iCs/>
          <w:sz w:val="20"/>
        </w:rPr>
        <w:t>Fm</w:t>
      </w:r>
      <w:proofErr w:type="spellEnd"/>
      <w:r w:rsidRPr="00D15DED">
        <w:rPr>
          <w:rFonts w:ascii="Arial" w:hAnsi="Arial" w:cs="Arial"/>
          <w:sz w:val="20"/>
        </w:rPr>
        <w:t xml:space="preserve"> allele-specific duplication and the inverted duplication. A 558 </w:t>
      </w:r>
      <w:proofErr w:type="spellStart"/>
      <w:r w:rsidRPr="00D15DED">
        <w:rPr>
          <w:rFonts w:ascii="Arial" w:hAnsi="Arial" w:cs="Arial"/>
          <w:sz w:val="20"/>
        </w:rPr>
        <w:t>bp</w:t>
      </w:r>
      <w:proofErr w:type="spellEnd"/>
      <w:r w:rsidRPr="00D15DED">
        <w:rPr>
          <w:rFonts w:ascii="Arial" w:hAnsi="Arial" w:cs="Arial"/>
          <w:sz w:val="20"/>
        </w:rPr>
        <w:t xml:space="preserve"> PCR fragment is amplified only in the presence of the </w:t>
      </w:r>
      <w:proofErr w:type="spellStart"/>
      <w:r w:rsidRPr="00D15DED">
        <w:rPr>
          <w:rFonts w:ascii="Arial" w:hAnsi="Arial" w:cs="Arial"/>
          <w:i/>
          <w:iCs/>
          <w:sz w:val="20"/>
        </w:rPr>
        <w:t>Fm</w:t>
      </w:r>
      <w:proofErr w:type="spellEnd"/>
      <w:r w:rsidRPr="00D15DED">
        <w:rPr>
          <w:rFonts w:ascii="Arial" w:hAnsi="Arial" w:cs="Arial"/>
          <w:sz w:val="20"/>
        </w:rPr>
        <w:t xml:space="preserve"> allele. </w:t>
      </w:r>
      <w:r w:rsidRPr="00D15DED">
        <w:rPr>
          <w:rFonts w:ascii="Arial" w:hAnsi="Arial" w:cs="Arial"/>
          <w:b/>
          <w:bCs/>
          <w:sz w:val="20"/>
        </w:rPr>
        <w:t>(B</w:t>
      </w:r>
      <w:r w:rsidRPr="00FA0148">
        <w:rPr>
          <w:rFonts w:ascii="Arial" w:hAnsi="Arial" w:cs="Arial"/>
          <w:b/>
          <w:bCs/>
          <w:sz w:val="20"/>
        </w:rPr>
        <w:t>–</w:t>
      </w:r>
      <w:r w:rsidRPr="00D15DED">
        <w:rPr>
          <w:rFonts w:ascii="Arial" w:hAnsi="Arial" w:cs="Arial"/>
          <w:b/>
          <w:bCs/>
          <w:sz w:val="20"/>
        </w:rPr>
        <w:t>C)</w:t>
      </w:r>
      <w:r w:rsidRPr="00D15DED">
        <w:rPr>
          <w:rFonts w:ascii="Arial" w:hAnsi="Arial" w:cs="Arial"/>
          <w:sz w:val="20"/>
        </w:rPr>
        <w:t xml:space="preserve"> PCR-based detection of a 558-bp </w:t>
      </w:r>
      <w:proofErr w:type="spellStart"/>
      <w:r w:rsidRPr="00FA0148">
        <w:rPr>
          <w:rFonts w:ascii="Arial" w:hAnsi="Arial" w:cs="Arial"/>
          <w:i/>
          <w:iCs/>
          <w:sz w:val="20"/>
        </w:rPr>
        <w:t>Fm</w:t>
      </w:r>
      <w:proofErr w:type="spellEnd"/>
      <w:r w:rsidRPr="00D15DED">
        <w:rPr>
          <w:rFonts w:ascii="Arial" w:hAnsi="Arial" w:cs="Arial"/>
          <w:sz w:val="20"/>
        </w:rPr>
        <w:t xml:space="preserve">-specific fragment from donor </w:t>
      </w:r>
      <w:proofErr w:type="spellStart"/>
      <w:r w:rsidRPr="00D15DED">
        <w:rPr>
          <w:rFonts w:ascii="Arial" w:hAnsi="Arial" w:cs="Arial"/>
          <w:sz w:val="20"/>
        </w:rPr>
        <w:t>Piao</w:t>
      </w:r>
      <w:proofErr w:type="spellEnd"/>
      <w:r w:rsidRPr="00D15DED">
        <w:rPr>
          <w:rFonts w:ascii="Arial" w:hAnsi="Arial" w:cs="Arial"/>
          <w:sz w:val="20"/>
        </w:rPr>
        <w:t xml:space="preserve"> PGCs in recipient male semen and gonadal tissue or embryos. (B) A 558-bp fragment was detected in all </w:t>
      </w:r>
      <w:r w:rsidRPr="00D15DED">
        <w:rPr>
          <w:rFonts w:ascii="Arial" w:hAnsi="Arial" w:cs="Arial"/>
          <w:sz w:val="20"/>
        </w:rPr>
        <w:lastRenderedPageBreak/>
        <w:t>semen-derived (S) DNA samples from 8 recipient males (#2599</w:t>
      </w:r>
      <w:r w:rsidRPr="008E09DC">
        <w:rPr>
          <w:rFonts w:ascii="Arial" w:hAnsi="Arial" w:cs="Arial"/>
          <w:sz w:val="20"/>
        </w:rPr>
        <w:t>–</w:t>
      </w:r>
      <w:r w:rsidRPr="00D15DED">
        <w:rPr>
          <w:rFonts w:ascii="Arial" w:hAnsi="Arial" w:cs="Arial"/>
          <w:sz w:val="20"/>
        </w:rPr>
        <w:t xml:space="preserve">#2644). No fragment was detected in the control blood sample (C) from the recipient males. (C) Detection of the </w:t>
      </w:r>
      <w:proofErr w:type="spellStart"/>
      <w:r w:rsidRPr="00FA0148">
        <w:rPr>
          <w:rFonts w:ascii="Arial" w:hAnsi="Arial" w:cs="Arial"/>
          <w:i/>
          <w:iCs/>
          <w:sz w:val="20"/>
        </w:rPr>
        <w:t>Fm</w:t>
      </w:r>
      <w:proofErr w:type="spellEnd"/>
      <w:r w:rsidRPr="00D15DED">
        <w:rPr>
          <w:rFonts w:ascii="Arial" w:hAnsi="Arial" w:cs="Arial"/>
          <w:sz w:val="20"/>
        </w:rPr>
        <w:t>-specific 558-bp fragment in gonadal tissues from late-stage male and female embryos. The 558-bp fragment was detected in DNA from both male and female gonadal tissues (G). No fragment was detected in control samples (C) derived from blood or skin tissues. M represents a DNA size marker and P is the positive control DNA from two donor PGCs.</w:t>
      </w:r>
      <w:r>
        <w:rPr>
          <w:rFonts w:ascii="Arial" w:hAnsi="Arial" w:cs="Arial"/>
          <w:sz w:val="20"/>
        </w:rPr>
        <w:t xml:space="preserve"> </w:t>
      </w:r>
      <w:r w:rsidRPr="00FA0148">
        <w:rPr>
          <w:rFonts w:ascii="Arial" w:hAnsi="Arial" w:cs="Arial"/>
          <w:b/>
          <w:bCs/>
          <w:sz w:val="20"/>
        </w:rPr>
        <w:t xml:space="preserve">(D) </w:t>
      </w:r>
      <w:r w:rsidRPr="00D15DED">
        <w:rPr>
          <w:rFonts w:ascii="Arial" w:hAnsi="Arial" w:cs="Arial"/>
          <w:sz w:val="20"/>
        </w:rPr>
        <w:t xml:space="preserve">Regeneration of PGC-derived pure </w:t>
      </w:r>
      <w:proofErr w:type="spellStart"/>
      <w:r w:rsidRPr="00D15DED">
        <w:rPr>
          <w:rFonts w:ascii="Arial" w:hAnsi="Arial" w:cs="Arial"/>
          <w:sz w:val="20"/>
        </w:rPr>
        <w:t>Piao</w:t>
      </w:r>
      <w:proofErr w:type="spellEnd"/>
      <w:r w:rsidRPr="00D15DED">
        <w:rPr>
          <w:rFonts w:ascii="Arial" w:hAnsi="Arial" w:cs="Arial"/>
          <w:sz w:val="20"/>
        </w:rPr>
        <w:t xml:space="preserve"> chickens by recipient parent-only mating (Progeny Test II). </w:t>
      </w:r>
      <w:r w:rsidRPr="008E09DC">
        <w:rPr>
          <w:rFonts w:ascii="Arial" w:hAnsi="Arial" w:cs="Arial"/>
          <w:sz w:val="20"/>
        </w:rPr>
        <w:t xml:space="preserve">Pooled semen from two recipient males (#2610 and #2616) was artificially inseminated into six recipient females, resulting in the production of 134 chicks. Of the 134 hatched individuals, 30% (40/134) were confirmed to be chicks derived from recipient parents, 51% (69/134) were chicks derived from donor male PGC and recipient female, 6% (8/134) were chicks derived from recipient male </w:t>
      </w:r>
      <w:r>
        <w:rPr>
          <w:rFonts w:ascii="Arial" w:hAnsi="Arial" w:cs="Arial"/>
          <w:sz w:val="20"/>
        </w:rPr>
        <w:t xml:space="preserve">PGC </w:t>
      </w:r>
      <w:r w:rsidRPr="008E09DC">
        <w:rPr>
          <w:rFonts w:ascii="Arial" w:hAnsi="Arial" w:cs="Arial"/>
          <w:sz w:val="20"/>
        </w:rPr>
        <w:t xml:space="preserve">and donor female PGC, and 13% (17/134) were pure </w:t>
      </w:r>
      <w:proofErr w:type="spellStart"/>
      <w:r w:rsidRPr="008E09DC">
        <w:rPr>
          <w:rFonts w:ascii="Arial" w:hAnsi="Arial" w:cs="Arial"/>
          <w:sz w:val="20"/>
        </w:rPr>
        <w:t>Piao</w:t>
      </w:r>
      <w:proofErr w:type="spellEnd"/>
      <w:r w:rsidRPr="008E09DC">
        <w:rPr>
          <w:rFonts w:ascii="Arial" w:hAnsi="Arial" w:cs="Arial"/>
          <w:sz w:val="20"/>
        </w:rPr>
        <w:t xml:space="preserve"> chicks derived from donor male and donor female PGC. These hatched chicks comprise four groups (see Fig. 3B), which are first classified by phenotyping the donor PGC-derived mutations (</w:t>
      </w:r>
      <w:proofErr w:type="spellStart"/>
      <w:r w:rsidRPr="008E09DC">
        <w:rPr>
          <w:rFonts w:ascii="Arial" w:hAnsi="Arial" w:cs="Arial"/>
          <w:i/>
          <w:iCs/>
          <w:sz w:val="20"/>
        </w:rPr>
        <w:t>Rp</w:t>
      </w:r>
      <w:proofErr w:type="spellEnd"/>
      <w:r w:rsidRPr="008E09DC">
        <w:rPr>
          <w:rFonts w:ascii="Arial" w:hAnsi="Arial" w:cs="Arial"/>
          <w:sz w:val="20"/>
        </w:rPr>
        <w:t xml:space="preserve">, </w:t>
      </w:r>
      <w:proofErr w:type="spellStart"/>
      <w:r w:rsidRPr="008E09DC">
        <w:rPr>
          <w:rFonts w:ascii="Arial" w:hAnsi="Arial" w:cs="Arial"/>
          <w:i/>
          <w:iCs/>
          <w:sz w:val="20"/>
        </w:rPr>
        <w:t>Fm</w:t>
      </w:r>
      <w:proofErr w:type="spellEnd"/>
      <w:r w:rsidRPr="008E09DC">
        <w:rPr>
          <w:rFonts w:ascii="Arial" w:hAnsi="Arial" w:cs="Arial"/>
          <w:sz w:val="20"/>
        </w:rPr>
        <w:t xml:space="preserve">, and </w:t>
      </w:r>
      <w:proofErr w:type="spellStart"/>
      <w:r w:rsidRPr="008E09DC">
        <w:rPr>
          <w:rFonts w:ascii="Arial" w:hAnsi="Arial" w:cs="Arial"/>
          <w:i/>
          <w:iCs/>
          <w:sz w:val="20"/>
        </w:rPr>
        <w:t>e</w:t>
      </w:r>
      <w:r w:rsidRPr="008E09DC">
        <w:rPr>
          <w:rFonts w:ascii="Arial" w:hAnsi="Arial" w:cs="Arial"/>
          <w:i/>
          <w:iCs/>
          <w:sz w:val="20"/>
          <w:vertAlign w:val="superscript"/>
        </w:rPr>
        <w:t>b</w:t>
      </w:r>
      <w:proofErr w:type="spellEnd"/>
      <w:r w:rsidRPr="008E09DC">
        <w:rPr>
          <w:rFonts w:ascii="Arial" w:hAnsi="Arial" w:cs="Arial"/>
          <w:sz w:val="20"/>
        </w:rPr>
        <w:t xml:space="preserve">). In addition, three subgroups of donor PGC-derived chicks are classified by </w:t>
      </w:r>
      <w:proofErr w:type="spellStart"/>
      <w:r w:rsidRPr="008E09DC">
        <w:rPr>
          <w:rFonts w:ascii="Arial" w:hAnsi="Arial" w:cs="Arial"/>
          <w:sz w:val="20"/>
        </w:rPr>
        <w:t>mtDNA</w:t>
      </w:r>
      <w:proofErr w:type="spellEnd"/>
      <w:r w:rsidRPr="008E09DC">
        <w:rPr>
          <w:rFonts w:ascii="Arial" w:hAnsi="Arial" w:cs="Arial"/>
          <w:sz w:val="20"/>
        </w:rPr>
        <w:t xml:space="preserve"> (D-loop region) haplotypes and by genotypes of </w:t>
      </w:r>
      <w:proofErr w:type="spellStart"/>
      <w:r w:rsidRPr="008E09DC">
        <w:rPr>
          <w:rFonts w:ascii="Arial" w:hAnsi="Arial" w:cs="Arial"/>
          <w:i/>
          <w:iCs/>
          <w:sz w:val="20"/>
        </w:rPr>
        <w:t>Rp</w:t>
      </w:r>
      <w:proofErr w:type="spellEnd"/>
      <w:r w:rsidRPr="008E09DC">
        <w:rPr>
          <w:rFonts w:ascii="Arial" w:hAnsi="Arial" w:cs="Arial"/>
          <w:sz w:val="20"/>
        </w:rPr>
        <w:t xml:space="preserve"> and </w:t>
      </w:r>
      <w:proofErr w:type="spellStart"/>
      <w:r w:rsidRPr="008E09DC">
        <w:rPr>
          <w:rFonts w:ascii="Arial" w:hAnsi="Arial" w:cs="Arial"/>
          <w:i/>
          <w:iCs/>
          <w:sz w:val="20"/>
        </w:rPr>
        <w:t>e</w:t>
      </w:r>
      <w:r w:rsidRPr="008E09DC">
        <w:rPr>
          <w:rFonts w:ascii="Arial" w:hAnsi="Arial" w:cs="Arial"/>
          <w:i/>
          <w:iCs/>
          <w:sz w:val="20"/>
          <w:vertAlign w:val="superscript"/>
        </w:rPr>
        <w:t>b</w:t>
      </w:r>
      <w:proofErr w:type="spellEnd"/>
      <w:r w:rsidRPr="008E09DC">
        <w:rPr>
          <w:rFonts w:ascii="Arial" w:hAnsi="Arial" w:cs="Arial"/>
          <w:sz w:val="20"/>
        </w:rPr>
        <w:t xml:space="preserve"> mutation</w:t>
      </w:r>
      <w:r w:rsidRPr="008E09DC">
        <w:rPr>
          <w:rFonts w:ascii="Arial" w:hAnsi="Arial" w:cs="Arial" w:hint="eastAsia"/>
          <w:sz w:val="20"/>
          <w:lang w:eastAsia="ja-JP"/>
        </w:rPr>
        <w:t>s</w:t>
      </w:r>
      <w:r w:rsidRPr="008E09DC">
        <w:rPr>
          <w:rFonts w:ascii="Arial" w:hAnsi="Arial" w:cs="Arial"/>
          <w:sz w:val="20"/>
        </w:rPr>
        <w:t xml:space="preserve"> using genomic DNA (see Fig. 3, 4, S2).</w:t>
      </w:r>
    </w:p>
    <w:p w14:paraId="28EC2F12" w14:textId="77777777" w:rsidR="008B73F9" w:rsidRDefault="008B73F9" w:rsidP="00302DEB">
      <w:pPr>
        <w:pStyle w:val="SMcaption"/>
        <w:rPr>
          <w:rFonts w:ascii="Arial" w:hAnsi="Arial" w:cs="Arial"/>
          <w:sz w:val="20"/>
          <w:highlight w:val="yellow"/>
        </w:rPr>
      </w:pPr>
      <w:bookmarkStart w:id="0" w:name="_GoBack"/>
      <w:bookmarkEnd w:id="0"/>
    </w:p>
    <w:p w14:paraId="1D14F152" w14:textId="476E0161" w:rsidR="006A5BC6" w:rsidRDefault="006A5BC6" w:rsidP="00302DEB">
      <w:pPr>
        <w:rPr>
          <w:rFonts w:ascii="Arial" w:hAnsi="Arial" w:cs="Arial"/>
          <w:sz w:val="20"/>
          <w:highlight w:val="yellow"/>
        </w:rPr>
      </w:pPr>
      <w:r>
        <w:rPr>
          <w:rFonts w:ascii="Arial" w:hAnsi="Arial" w:cs="Arial"/>
          <w:sz w:val="20"/>
          <w:highlight w:val="yellow"/>
        </w:rPr>
        <w:br w:type="page"/>
      </w:r>
    </w:p>
    <w:p w14:paraId="607FD31A" w14:textId="77777777" w:rsidR="005B5B11" w:rsidRDefault="005B5B11" w:rsidP="00302DEB">
      <w:pPr>
        <w:pStyle w:val="SMcaption"/>
        <w:rPr>
          <w:rFonts w:ascii="Arial" w:hAnsi="Arial" w:cs="Arial"/>
          <w:sz w:val="20"/>
        </w:rPr>
        <w:sectPr w:rsidR="005B5B11" w:rsidSect="005B5B11">
          <w:headerReference w:type="default" r:id="rId11"/>
          <w:footerReference w:type="default" r:id="rId12"/>
          <w:pgSz w:w="12240" w:h="15840"/>
          <w:pgMar w:top="1440" w:right="1800" w:bottom="1440" w:left="1800" w:header="720" w:footer="720" w:gutter="0"/>
          <w:pgNumType w:start="1"/>
          <w:cols w:space="720"/>
          <w:docGrid w:linePitch="360"/>
        </w:sectPr>
      </w:pPr>
    </w:p>
    <w:p w14:paraId="2A750F07" w14:textId="67CE5602" w:rsidR="00FC7860" w:rsidRPr="00FC7860" w:rsidRDefault="00015F74" w:rsidP="00302DEB">
      <w:pPr>
        <w:pStyle w:val="SMHeading"/>
        <w:rPr>
          <w:rFonts w:ascii="Arial" w:hAnsi="Arial" w:cs="Arial"/>
          <w:bCs w:val="0"/>
          <w:sz w:val="20"/>
          <w:szCs w:val="20"/>
        </w:rPr>
      </w:pPr>
      <w:r w:rsidRPr="009E6837">
        <w:rPr>
          <w:rFonts w:ascii="Arial" w:hAnsi="Arial" w:cs="Arial"/>
          <w:sz w:val="20"/>
          <w:szCs w:val="20"/>
        </w:rPr>
        <w:lastRenderedPageBreak/>
        <w:t>Table S1.</w:t>
      </w:r>
      <w:r w:rsidR="00B42F9C" w:rsidRPr="009E6837">
        <w:rPr>
          <w:rFonts w:ascii="Arial" w:hAnsi="Arial" w:cs="Arial"/>
          <w:sz w:val="20"/>
          <w:szCs w:val="20"/>
        </w:rPr>
        <w:t xml:space="preserve"> </w:t>
      </w:r>
      <w:r w:rsidR="002615FE" w:rsidRPr="009E6837">
        <w:rPr>
          <w:rFonts w:ascii="Arial" w:hAnsi="Arial" w:cs="Arial"/>
          <w:bCs w:val="0"/>
          <w:sz w:val="20"/>
          <w:szCs w:val="20"/>
        </w:rPr>
        <w:t>List of primers used for amplification, sequencing, and genotyping.</w:t>
      </w:r>
    </w:p>
    <w:p w14:paraId="059C8922" w14:textId="2A6392B7" w:rsidR="009E6837" w:rsidRPr="00FC7860" w:rsidRDefault="00FC7860" w:rsidP="00302DEB">
      <w:pPr>
        <w:pStyle w:val="SMcaption"/>
        <w:rPr>
          <w:rFonts w:ascii="Arial" w:hAnsi="Arial" w:cs="Arial"/>
          <w:sz w:val="20"/>
        </w:rPr>
      </w:pPr>
      <w:r w:rsidRPr="00FC7860">
        <w:rPr>
          <w:noProof/>
          <w:lang w:eastAsia="zh-CN"/>
        </w:rPr>
        <w:drawing>
          <wp:inline distT="0" distB="0" distL="0" distR="0" wp14:anchorId="231C1A00" wp14:editId="60690A42">
            <wp:extent cx="5490210" cy="6325870"/>
            <wp:effectExtent l="0" t="0" r="0" b="0"/>
            <wp:docPr id="32979015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90210" cy="6325870"/>
                    </a:xfrm>
                    <a:prstGeom prst="rect">
                      <a:avLst/>
                    </a:prstGeom>
                    <a:noFill/>
                    <a:ln>
                      <a:noFill/>
                    </a:ln>
                  </pic:spPr>
                </pic:pic>
              </a:graphicData>
            </a:graphic>
          </wp:inline>
        </w:drawing>
      </w:r>
    </w:p>
    <w:p w14:paraId="46DFEF05" w14:textId="0E28494B" w:rsidR="009E6837" w:rsidRPr="00FC7860" w:rsidRDefault="009E6837" w:rsidP="00302DEB">
      <w:pPr>
        <w:pStyle w:val="SMcaption"/>
        <w:rPr>
          <w:rFonts w:ascii="Arial" w:hAnsi="Arial" w:cs="Arial"/>
          <w:sz w:val="20"/>
        </w:rPr>
      </w:pPr>
    </w:p>
    <w:p w14:paraId="3FF804D9" w14:textId="53790337" w:rsidR="009E6837" w:rsidRPr="00EE3D54" w:rsidRDefault="009E6837" w:rsidP="00302DEB">
      <w:pPr>
        <w:rPr>
          <w:rFonts w:ascii="Arial" w:hAnsi="Arial" w:cs="Arial"/>
          <w:sz w:val="20"/>
        </w:rPr>
      </w:pPr>
      <w:r w:rsidRPr="00EE3D54">
        <w:rPr>
          <w:rFonts w:ascii="Arial" w:hAnsi="Arial" w:cs="Arial"/>
          <w:sz w:val="20"/>
        </w:rPr>
        <w:br w:type="page"/>
      </w:r>
    </w:p>
    <w:p w14:paraId="01284F19" w14:textId="77777777" w:rsidR="005B5B11" w:rsidRDefault="005B5B11" w:rsidP="00302DEB">
      <w:pPr>
        <w:pStyle w:val="SMHeading"/>
        <w:rPr>
          <w:rFonts w:ascii="Arial" w:hAnsi="Arial" w:cs="Arial"/>
          <w:sz w:val="20"/>
          <w:szCs w:val="20"/>
        </w:rPr>
        <w:sectPr w:rsidR="005B5B11" w:rsidSect="005B5B11">
          <w:pgSz w:w="12240" w:h="15840"/>
          <w:pgMar w:top="1440" w:right="1797" w:bottom="1440" w:left="1797" w:header="720" w:footer="720" w:gutter="0"/>
          <w:pgNumType w:start="1"/>
          <w:cols w:space="720"/>
          <w:docGrid w:linePitch="360"/>
        </w:sectPr>
      </w:pPr>
    </w:p>
    <w:p w14:paraId="20ED2795" w14:textId="22D28468" w:rsidR="009A5287" w:rsidRDefault="00015F74" w:rsidP="00302DEB">
      <w:pPr>
        <w:pStyle w:val="SMHeading"/>
        <w:rPr>
          <w:rFonts w:ascii="Arial" w:hAnsi="Arial" w:cs="Arial"/>
          <w:bCs w:val="0"/>
          <w:sz w:val="20"/>
          <w:szCs w:val="20"/>
        </w:rPr>
      </w:pPr>
      <w:r w:rsidRPr="009E6837">
        <w:rPr>
          <w:rFonts w:ascii="Arial" w:hAnsi="Arial" w:cs="Arial"/>
          <w:sz w:val="20"/>
          <w:szCs w:val="20"/>
        </w:rPr>
        <w:lastRenderedPageBreak/>
        <w:t>Table S2.</w:t>
      </w:r>
      <w:r w:rsidR="00B42F9C" w:rsidRPr="009E6837">
        <w:rPr>
          <w:rFonts w:ascii="Arial" w:hAnsi="Arial" w:cs="Arial"/>
          <w:bCs w:val="0"/>
          <w:sz w:val="20"/>
          <w:szCs w:val="20"/>
        </w:rPr>
        <w:t xml:space="preserve"> </w:t>
      </w:r>
      <w:r w:rsidR="002615FE" w:rsidRPr="009E6837">
        <w:rPr>
          <w:rFonts w:ascii="Arial" w:hAnsi="Arial" w:cs="Arial"/>
          <w:bCs w:val="0"/>
          <w:sz w:val="20"/>
          <w:szCs w:val="20"/>
        </w:rPr>
        <w:t xml:space="preserve">Target sequences of four gRNAs in the chicken </w:t>
      </w:r>
      <w:r w:rsidR="002615FE" w:rsidRPr="009E6837">
        <w:rPr>
          <w:rFonts w:ascii="Arial" w:hAnsi="Arial" w:cs="Arial"/>
          <w:bCs w:val="0"/>
          <w:i/>
          <w:iCs/>
          <w:sz w:val="20"/>
          <w:szCs w:val="20"/>
        </w:rPr>
        <w:t>TYRP1</w:t>
      </w:r>
      <w:r w:rsidR="002615FE" w:rsidRPr="009E6837">
        <w:rPr>
          <w:rFonts w:ascii="Arial" w:hAnsi="Arial" w:cs="Arial"/>
          <w:bCs w:val="0"/>
          <w:sz w:val="20"/>
          <w:szCs w:val="20"/>
        </w:rPr>
        <w:t xml:space="preserve"> gene.</w:t>
      </w:r>
    </w:p>
    <w:p w14:paraId="4E188B71" w14:textId="24322072" w:rsidR="00FC7860" w:rsidRPr="00FC7860" w:rsidRDefault="00FC7860" w:rsidP="00302DEB">
      <w:pPr>
        <w:pStyle w:val="SMHeading"/>
        <w:rPr>
          <w:rFonts w:ascii="Arial" w:hAnsi="Arial" w:cs="Arial"/>
          <w:b w:val="0"/>
          <w:sz w:val="20"/>
          <w:szCs w:val="20"/>
        </w:rPr>
      </w:pPr>
      <w:r w:rsidRPr="00FC7860">
        <w:rPr>
          <w:noProof/>
          <w:lang w:eastAsia="zh-CN"/>
        </w:rPr>
        <w:drawing>
          <wp:inline distT="0" distB="0" distL="0" distR="0" wp14:anchorId="64BCC489" wp14:editId="05F3EDE2">
            <wp:extent cx="8229600" cy="1399540"/>
            <wp:effectExtent l="0" t="0" r="0" b="0"/>
            <wp:docPr id="10148955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29600" cy="1399540"/>
                    </a:xfrm>
                    <a:prstGeom prst="rect">
                      <a:avLst/>
                    </a:prstGeom>
                    <a:noFill/>
                    <a:ln>
                      <a:noFill/>
                    </a:ln>
                  </pic:spPr>
                </pic:pic>
              </a:graphicData>
            </a:graphic>
          </wp:inline>
        </w:drawing>
      </w:r>
    </w:p>
    <w:p w14:paraId="6A6D541C" w14:textId="77777777" w:rsidR="00FC7860" w:rsidRDefault="00FC7860" w:rsidP="00302DEB">
      <w:pPr>
        <w:rPr>
          <w:rFonts w:ascii="Arial" w:hAnsi="Arial" w:cs="Arial"/>
          <w:b/>
          <w:bCs/>
          <w:kern w:val="32"/>
          <w:sz w:val="20"/>
        </w:rPr>
      </w:pPr>
      <w:r>
        <w:rPr>
          <w:rFonts w:ascii="Arial" w:hAnsi="Arial" w:cs="Arial"/>
          <w:sz w:val="20"/>
        </w:rPr>
        <w:br w:type="page"/>
      </w:r>
    </w:p>
    <w:p w14:paraId="46C20461" w14:textId="7CDAA15C" w:rsidR="002615FE" w:rsidRDefault="002615FE" w:rsidP="00302DEB">
      <w:pPr>
        <w:pStyle w:val="SMHeading"/>
        <w:rPr>
          <w:rFonts w:ascii="Arial" w:hAnsi="Arial" w:cs="Arial"/>
          <w:bCs w:val="0"/>
          <w:sz w:val="20"/>
          <w:szCs w:val="20"/>
        </w:rPr>
      </w:pPr>
      <w:r w:rsidRPr="003F0635">
        <w:rPr>
          <w:rFonts w:ascii="Arial" w:hAnsi="Arial" w:cs="Arial"/>
          <w:sz w:val="20"/>
          <w:szCs w:val="20"/>
        </w:rPr>
        <w:lastRenderedPageBreak/>
        <w:t>Table S3.</w:t>
      </w:r>
      <w:r w:rsidRPr="003F0635">
        <w:rPr>
          <w:rFonts w:ascii="Arial" w:hAnsi="Arial" w:cs="Arial"/>
          <w:bCs w:val="0"/>
          <w:sz w:val="20"/>
          <w:szCs w:val="20"/>
        </w:rPr>
        <w:t xml:space="preserve"> Potential off-target analysis in the </w:t>
      </w:r>
      <w:r w:rsidRPr="003F0635">
        <w:rPr>
          <w:rFonts w:ascii="Arial" w:hAnsi="Arial" w:cs="Arial"/>
          <w:bCs w:val="0"/>
          <w:i/>
          <w:iCs/>
          <w:sz w:val="20"/>
          <w:szCs w:val="20"/>
        </w:rPr>
        <w:t>TYRP1</w:t>
      </w:r>
      <w:r w:rsidRPr="003F0635">
        <w:rPr>
          <w:rFonts w:ascii="Arial" w:hAnsi="Arial" w:cs="Arial"/>
          <w:bCs w:val="0"/>
          <w:sz w:val="20"/>
          <w:szCs w:val="20"/>
        </w:rPr>
        <w:t xml:space="preserve"> knockout chickens.</w:t>
      </w:r>
    </w:p>
    <w:p w14:paraId="4CCAB449" w14:textId="44AA8076" w:rsidR="00A17FB2" w:rsidRPr="00A17FB2" w:rsidRDefault="00A17FB2" w:rsidP="00302DEB">
      <w:pPr>
        <w:rPr>
          <w:rFonts w:ascii="Arial" w:hAnsi="Arial" w:cs="Arial"/>
          <w:color w:val="FF0000"/>
          <w:kern w:val="32"/>
          <w:sz w:val="20"/>
        </w:rPr>
      </w:pPr>
      <w:r w:rsidRPr="00A17FB2">
        <w:rPr>
          <w:noProof/>
          <w:lang w:eastAsia="zh-CN"/>
        </w:rPr>
        <w:drawing>
          <wp:inline distT="0" distB="0" distL="0" distR="0" wp14:anchorId="25A14C87" wp14:editId="60A74C24">
            <wp:extent cx="8229600" cy="3552825"/>
            <wp:effectExtent l="0" t="0" r="0" b="9525"/>
            <wp:docPr id="151237927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29600" cy="3552825"/>
                    </a:xfrm>
                    <a:prstGeom prst="rect">
                      <a:avLst/>
                    </a:prstGeom>
                    <a:noFill/>
                    <a:ln>
                      <a:noFill/>
                    </a:ln>
                  </pic:spPr>
                </pic:pic>
              </a:graphicData>
            </a:graphic>
          </wp:inline>
        </w:drawing>
      </w:r>
      <w:r w:rsidRPr="00A17FB2">
        <w:rPr>
          <w:rFonts w:ascii="Arial" w:hAnsi="Arial" w:cs="Arial"/>
          <w:color w:val="FF0000"/>
          <w:kern w:val="32"/>
          <w:sz w:val="20"/>
        </w:rPr>
        <w:br w:type="page"/>
      </w:r>
    </w:p>
    <w:p w14:paraId="373CB14F" w14:textId="0E917C9B" w:rsidR="002615FE" w:rsidRDefault="002615FE" w:rsidP="00302DEB">
      <w:pPr>
        <w:pStyle w:val="SMHeading"/>
        <w:rPr>
          <w:rFonts w:ascii="Arial" w:hAnsi="Arial" w:cs="Arial"/>
          <w:sz w:val="20"/>
          <w:szCs w:val="20"/>
        </w:rPr>
      </w:pPr>
      <w:r w:rsidRPr="003F0635">
        <w:rPr>
          <w:rFonts w:ascii="Arial" w:hAnsi="Arial" w:cs="Arial"/>
          <w:sz w:val="20"/>
          <w:szCs w:val="20"/>
        </w:rPr>
        <w:lastRenderedPageBreak/>
        <w:t xml:space="preserve">Table S4. Haplotypes of </w:t>
      </w:r>
      <w:r w:rsidR="004F1842" w:rsidRPr="003F0635">
        <w:rPr>
          <w:rFonts w:ascii="Arial" w:hAnsi="Arial" w:cs="Arial"/>
          <w:sz w:val="20"/>
          <w:szCs w:val="20"/>
        </w:rPr>
        <w:t>mitochondrial</w:t>
      </w:r>
      <w:r w:rsidRPr="003F0635">
        <w:rPr>
          <w:rFonts w:ascii="Arial" w:hAnsi="Arial" w:cs="Arial"/>
          <w:sz w:val="20"/>
          <w:szCs w:val="20"/>
        </w:rPr>
        <w:t xml:space="preserve"> D-loop region of donor </w:t>
      </w:r>
      <w:proofErr w:type="spellStart"/>
      <w:r w:rsidRPr="003F0635">
        <w:rPr>
          <w:rFonts w:ascii="Arial" w:hAnsi="Arial" w:cs="Arial"/>
          <w:sz w:val="20"/>
          <w:szCs w:val="20"/>
        </w:rPr>
        <w:t>Piao</w:t>
      </w:r>
      <w:proofErr w:type="spellEnd"/>
      <w:r w:rsidRPr="003F0635">
        <w:rPr>
          <w:rFonts w:ascii="Arial" w:hAnsi="Arial" w:cs="Arial"/>
          <w:sz w:val="20"/>
          <w:szCs w:val="20"/>
        </w:rPr>
        <w:t xml:space="preserve"> PGCs and 8 recipient chickens.</w:t>
      </w:r>
    </w:p>
    <w:p w14:paraId="7F26DCDC" w14:textId="499508FE" w:rsidR="003F0635" w:rsidRDefault="0060363A" w:rsidP="00302DEB">
      <w:pPr>
        <w:pStyle w:val="SMHeading"/>
        <w:rPr>
          <w:rFonts w:ascii="Arial" w:hAnsi="Arial" w:cs="Arial"/>
          <w:color w:val="FF0000"/>
          <w:sz w:val="20"/>
          <w:szCs w:val="20"/>
        </w:rPr>
      </w:pPr>
      <w:r w:rsidRPr="0060363A">
        <w:rPr>
          <w:noProof/>
          <w:lang w:eastAsia="zh-CN"/>
        </w:rPr>
        <w:drawing>
          <wp:inline distT="0" distB="0" distL="0" distR="0" wp14:anchorId="35A8F7A4" wp14:editId="44E7D4FF">
            <wp:extent cx="8229600" cy="2903855"/>
            <wp:effectExtent l="0" t="0" r="0" b="0"/>
            <wp:docPr id="1889150434"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29600" cy="2903855"/>
                    </a:xfrm>
                    <a:prstGeom prst="rect">
                      <a:avLst/>
                    </a:prstGeom>
                    <a:noFill/>
                    <a:ln>
                      <a:noFill/>
                    </a:ln>
                  </pic:spPr>
                </pic:pic>
              </a:graphicData>
            </a:graphic>
          </wp:inline>
        </w:drawing>
      </w:r>
    </w:p>
    <w:p w14:paraId="7849C85F" w14:textId="77777777" w:rsidR="003F0635" w:rsidRDefault="003F0635" w:rsidP="00302DEB">
      <w:pPr>
        <w:rPr>
          <w:rFonts w:ascii="Arial" w:hAnsi="Arial" w:cs="Arial"/>
          <w:b/>
          <w:bCs/>
          <w:color w:val="FF0000"/>
          <w:kern w:val="32"/>
          <w:sz w:val="20"/>
        </w:rPr>
      </w:pPr>
      <w:r>
        <w:rPr>
          <w:rFonts w:ascii="Arial" w:hAnsi="Arial" w:cs="Arial"/>
          <w:color w:val="FF0000"/>
          <w:sz w:val="20"/>
        </w:rPr>
        <w:br w:type="page"/>
      </w:r>
    </w:p>
    <w:p w14:paraId="4A73E993" w14:textId="10F3E94C" w:rsidR="002615FE" w:rsidRDefault="002615FE" w:rsidP="00302DEB">
      <w:pPr>
        <w:pStyle w:val="SMHeading"/>
        <w:rPr>
          <w:rFonts w:ascii="Arial" w:hAnsi="Arial" w:cs="Arial"/>
          <w:bCs w:val="0"/>
          <w:sz w:val="20"/>
          <w:szCs w:val="20"/>
        </w:rPr>
      </w:pPr>
      <w:r w:rsidRPr="003F0635">
        <w:rPr>
          <w:rFonts w:ascii="Arial" w:hAnsi="Arial" w:cs="Arial"/>
          <w:sz w:val="20"/>
          <w:szCs w:val="20"/>
        </w:rPr>
        <w:lastRenderedPageBreak/>
        <w:t xml:space="preserve">Table S5. </w:t>
      </w:r>
      <w:r w:rsidRPr="003F0635">
        <w:rPr>
          <w:rFonts w:ascii="Arial" w:hAnsi="Arial" w:cs="Arial"/>
          <w:bCs w:val="0"/>
          <w:sz w:val="20"/>
          <w:szCs w:val="20"/>
        </w:rPr>
        <w:t xml:space="preserve">Nucleotide polymorphism of </w:t>
      </w:r>
      <w:r w:rsidRPr="003F0635">
        <w:rPr>
          <w:rFonts w:ascii="Arial" w:hAnsi="Arial" w:cs="Arial"/>
          <w:bCs w:val="0"/>
          <w:i/>
          <w:iCs/>
          <w:sz w:val="20"/>
          <w:szCs w:val="20"/>
        </w:rPr>
        <w:t>MC1R</w:t>
      </w:r>
      <w:r w:rsidRPr="003F0635">
        <w:rPr>
          <w:rFonts w:ascii="Arial" w:hAnsi="Arial" w:cs="Arial"/>
          <w:bCs w:val="0"/>
          <w:sz w:val="20"/>
          <w:szCs w:val="20"/>
        </w:rPr>
        <w:t xml:space="preserve"> at the </w:t>
      </w:r>
      <w:r w:rsidRPr="003F0635">
        <w:rPr>
          <w:rFonts w:ascii="Arial" w:hAnsi="Arial" w:cs="Arial"/>
          <w:bCs w:val="0"/>
          <w:i/>
          <w:iCs/>
          <w:sz w:val="20"/>
          <w:szCs w:val="20"/>
        </w:rPr>
        <w:t>E</w:t>
      </w:r>
      <w:r w:rsidRPr="003F0635">
        <w:rPr>
          <w:rFonts w:ascii="Arial" w:hAnsi="Arial" w:cs="Arial"/>
          <w:bCs w:val="0"/>
          <w:sz w:val="20"/>
          <w:szCs w:val="20"/>
        </w:rPr>
        <w:t xml:space="preserve"> locus for donor PGCs and recipient chickens.</w:t>
      </w:r>
    </w:p>
    <w:p w14:paraId="1C9EB2D0" w14:textId="504B71D7" w:rsidR="003F0635" w:rsidRPr="0026027C" w:rsidRDefault="0026027C" w:rsidP="00302DEB">
      <w:pPr>
        <w:pStyle w:val="SMHeading"/>
        <w:rPr>
          <w:rFonts w:ascii="Arial" w:hAnsi="Arial" w:cs="Arial"/>
          <w:b w:val="0"/>
          <w:bCs w:val="0"/>
          <w:color w:val="FF0000"/>
          <w:sz w:val="20"/>
          <w:szCs w:val="20"/>
        </w:rPr>
      </w:pPr>
      <w:r w:rsidRPr="0026027C">
        <w:rPr>
          <w:noProof/>
          <w:lang w:eastAsia="zh-CN"/>
        </w:rPr>
        <w:drawing>
          <wp:inline distT="0" distB="0" distL="0" distR="0" wp14:anchorId="46E991BF" wp14:editId="01043045">
            <wp:extent cx="8229600" cy="1374775"/>
            <wp:effectExtent l="0" t="0" r="0" b="0"/>
            <wp:docPr id="1247660181"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229600" cy="1374775"/>
                    </a:xfrm>
                    <a:prstGeom prst="rect">
                      <a:avLst/>
                    </a:prstGeom>
                    <a:noFill/>
                    <a:ln>
                      <a:noFill/>
                    </a:ln>
                  </pic:spPr>
                </pic:pic>
              </a:graphicData>
            </a:graphic>
          </wp:inline>
        </w:drawing>
      </w:r>
    </w:p>
    <w:p w14:paraId="6F74DB46" w14:textId="77777777" w:rsidR="003F0635" w:rsidRDefault="003F0635" w:rsidP="00302DEB">
      <w:pPr>
        <w:rPr>
          <w:rFonts w:ascii="Arial" w:hAnsi="Arial" w:cs="Arial"/>
          <w:b/>
          <w:bCs/>
          <w:color w:val="FF0000"/>
          <w:kern w:val="32"/>
          <w:sz w:val="20"/>
        </w:rPr>
      </w:pPr>
      <w:r>
        <w:rPr>
          <w:rFonts w:ascii="Arial" w:hAnsi="Arial" w:cs="Arial"/>
          <w:color w:val="FF0000"/>
          <w:sz w:val="20"/>
        </w:rPr>
        <w:br w:type="page"/>
      </w:r>
    </w:p>
    <w:p w14:paraId="0CEF2F15" w14:textId="0F3E98B4" w:rsidR="002615FE" w:rsidRPr="003F0635" w:rsidRDefault="002615FE" w:rsidP="00302DEB">
      <w:pPr>
        <w:pStyle w:val="SMHeading"/>
        <w:rPr>
          <w:rFonts w:ascii="Arial" w:hAnsi="Arial" w:cs="Arial"/>
          <w:b w:val="0"/>
          <w:sz w:val="20"/>
          <w:szCs w:val="20"/>
        </w:rPr>
      </w:pPr>
      <w:r w:rsidRPr="003F0635">
        <w:rPr>
          <w:rFonts w:ascii="Arial" w:hAnsi="Arial" w:cs="Arial"/>
          <w:sz w:val="20"/>
          <w:szCs w:val="20"/>
        </w:rPr>
        <w:lastRenderedPageBreak/>
        <w:t>Table S6.</w:t>
      </w:r>
      <w:r w:rsidRPr="003F0635">
        <w:rPr>
          <w:rFonts w:ascii="Arial" w:hAnsi="Arial" w:cs="Arial"/>
          <w:bCs w:val="0"/>
          <w:sz w:val="20"/>
          <w:szCs w:val="20"/>
        </w:rPr>
        <w:t xml:space="preserve"> Genotypes of phenotypic mutation traits of recipient chickens, donor PGCs, and hatched chicks.</w:t>
      </w:r>
    </w:p>
    <w:p w14:paraId="10C22F57" w14:textId="3FD45A39" w:rsidR="007843C9" w:rsidRPr="0026027C" w:rsidRDefault="0026027C" w:rsidP="00302DEB">
      <w:pPr>
        <w:pStyle w:val="NormalWeb"/>
        <w:shd w:val="clear" w:color="auto" w:fill="FFFFFF"/>
        <w:textAlignment w:val="baseline"/>
        <w:rPr>
          <w:rFonts w:ascii="Arial" w:hAnsi="Arial" w:cs="Arial"/>
        </w:rPr>
      </w:pPr>
      <w:r w:rsidRPr="0026027C">
        <w:rPr>
          <w:noProof/>
          <w:lang w:eastAsia="zh-CN"/>
        </w:rPr>
        <w:drawing>
          <wp:inline distT="0" distB="0" distL="0" distR="0" wp14:anchorId="25F25514" wp14:editId="6B372622">
            <wp:extent cx="8229600" cy="2811145"/>
            <wp:effectExtent l="0" t="0" r="0" b="8255"/>
            <wp:docPr id="1971794762"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29600" cy="2811145"/>
                    </a:xfrm>
                    <a:prstGeom prst="rect">
                      <a:avLst/>
                    </a:prstGeom>
                    <a:noFill/>
                    <a:ln>
                      <a:noFill/>
                    </a:ln>
                  </pic:spPr>
                </pic:pic>
              </a:graphicData>
            </a:graphic>
          </wp:inline>
        </w:drawing>
      </w:r>
    </w:p>
    <w:p w14:paraId="0ED4004B" w14:textId="77777777" w:rsidR="004F1842" w:rsidRDefault="004F1842" w:rsidP="00302DEB">
      <w:pPr>
        <w:rPr>
          <w:szCs w:val="24"/>
        </w:rPr>
      </w:pPr>
    </w:p>
    <w:p w14:paraId="47542780" w14:textId="77777777" w:rsidR="00D5309E" w:rsidRDefault="00D5309E" w:rsidP="00302DEB">
      <w:pPr>
        <w:tabs>
          <w:tab w:val="left" w:pos="5161"/>
        </w:tabs>
        <w:sectPr w:rsidR="00D5309E" w:rsidSect="005B5B11">
          <w:pgSz w:w="15840" w:h="12240" w:orient="landscape" w:code="1"/>
          <w:pgMar w:top="1797" w:right="1440" w:bottom="1797" w:left="1440" w:header="720" w:footer="720" w:gutter="0"/>
          <w:pgNumType w:start="1"/>
          <w:cols w:space="720"/>
          <w:docGrid w:linePitch="360"/>
        </w:sectPr>
      </w:pPr>
    </w:p>
    <w:p w14:paraId="327E34E1" w14:textId="59F6F412" w:rsidR="00D5309E" w:rsidRDefault="00D5309E" w:rsidP="00302DEB">
      <w:pPr>
        <w:adjustRightInd w:val="0"/>
        <w:snapToGrid w:val="0"/>
        <w:spacing w:before="200" w:after="60"/>
        <w:rPr>
          <w:rFonts w:ascii="Arial" w:hAnsi="Arial" w:cs="Arial"/>
          <w:b/>
          <w:bCs/>
          <w:sz w:val="20"/>
        </w:rPr>
      </w:pPr>
      <w:r>
        <w:rPr>
          <w:rFonts w:ascii="Arial" w:hAnsi="Arial" w:cs="Arial"/>
          <w:b/>
          <w:bCs/>
          <w:sz w:val="20"/>
        </w:rPr>
        <w:lastRenderedPageBreak/>
        <w:t>Materials and Methods</w:t>
      </w:r>
    </w:p>
    <w:p w14:paraId="71FE2C4B" w14:textId="45FE46FC" w:rsidR="00AA7D8C" w:rsidRDefault="00AA7D8C" w:rsidP="00302DEB">
      <w:pPr>
        <w:adjustRightInd w:val="0"/>
        <w:snapToGrid w:val="0"/>
        <w:spacing w:before="200" w:after="60"/>
        <w:rPr>
          <w:rFonts w:ascii="Arial" w:hAnsi="Arial" w:cs="Arial"/>
          <w:b/>
          <w:bCs/>
          <w:sz w:val="20"/>
        </w:rPr>
      </w:pPr>
      <w:r w:rsidRPr="00F64667">
        <w:rPr>
          <w:rFonts w:ascii="Arial" w:hAnsi="Arial" w:cs="Arial"/>
          <w:b/>
          <w:bCs/>
          <w:sz w:val="20"/>
        </w:rPr>
        <w:t>Fertilized eggs</w:t>
      </w:r>
      <w:r>
        <w:rPr>
          <w:rFonts w:ascii="Arial" w:hAnsi="Arial" w:cs="Arial"/>
          <w:b/>
          <w:bCs/>
          <w:sz w:val="20"/>
        </w:rPr>
        <w:t xml:space="preserve">. </w:t>
      </w:r>
      <w:r w:rsidRPr="00F64667">
        <w:rPr>
          <w:rFonts w:ascii="Arial" w:hAnsi="Arial" w:cs="Arial"/>
          <w:sz w:val="20"/>
        </w:rPr>
        <w:t>Fertilized eggs were collected from four indigenous Chinese chicken breeds (</w:t>
      </w:r>
      <w:proofErr w:type="spellStart"/>
      <w:r w:rsidRPr="00F64667">
        <w:rPr>
          <w:rFonts w:ascii="Arial" w:hAnsi="Arial" w:cs="Arial"/>
          <w:sz w:val="20"/>
        </w:rPr>
        <w:t>Chahua</w:t>
      </w:r>
      <w:proofErr w:type="spellEnd"/>
      <w:r w:rsidRPr="00F64667">
        <w:rPr>
          <w:rFonts w:ascii="Arial" w:hAnsi="Arial" w:cs="Arial"/>
          <w:sz w:val="20"/>
        </w:rPr>
        <w:t xml:space="preserve">, </w:t>
      </w:r>
      <w:proofErr w:type="spellStart"/>
      <w:r w:rsidRPr="00F64667">
        <w:rPr>
          <w:rFonts w:ascii="Arial" w:hAnsi="Arial" w:cs="Arial"/>
          <w:sz w:val="20"/>
        </w:rPr>
        <w:t>Piao</w:t>
      </w:r>
      <w:proofErr w:type="spellEnd"/>
      <w:r w:rsidRPr="00F64667">
        <w:rPr>
          <w:rFonts w:ascii="Arial" w:hAnsi="Arial" w:cs="Arial"/>
          <w:sz w:val="20"/>
        </w:rPr>
        <w:t xml:space="preserve">, </w:t>
      </w:r>
      <w:proofErr w:type="spellStart"/>
      <w:r w:rsidRPr="00F64667">
        <w:rPr>
          <w:rFonts w:ascii="Arial" w:hAnsi="Arial" w:cs="Arial"/>
          <w:sz w:val="20"/>
        </w:rPr>
        <w:t>Wuding</w:t>
      </w:r>
      <w:proofErr w:type="spellEnd"/>
      <w:r w:rsidRPr="00F64667">
        <w:rPr>
          <w:rFonts w:ascii="Arial" w:hAnsi="Arial" w:cs="Arial"/>
          <w:sz w:val="20"/>
        </w:rPr>
        <w:t xml:space="preserve">, and </w:t>
      </w:r>
      <w:proofErr w:type="spellStart"/>
      <w:r w:rsidRPr="00F64667">
        <w:rPr>
          <w:rFonts w:ascii="Arial" w:hAnsi="Arial" w:cs="Arial"/>
          <w:sz w:val="20"/>
        </w:rPr>
        <w:t>Xichou</w:t>
      </w:r>
      <w:proofErr w:type="spellEnd"/>
      <w:r w:rsidRPr="00F64667">
        <w:rPr>
          <w:rFonts w:ascii="Arial" w:hAnsi="Arial" w:cs="Arial"/>
          <w:sz w:val="20"/>
        </w:rPr>
        <w:t xml:space="preserve"> black bone) and one crossbreed chicken (PCM). These fertilized eggs from </w:t>
      </w:r>
      <w:proofErr w:type="spellStart"/>
      <w:r w:rsidRPr="00F64667">
        <w:rPr>
          <w:rFonts w:ascii="Arial" w:hAnsi="Arial" w:cs="Arial"/>
          <w:sz w:val="20"/>
        </w:rPr>
        <w:t>Chahua</w:t>
      </w:r>
      <w:proofErr w:type="spellEnd"/>
      <w:r w:rsidRPr="00F64667">
        <w:rPr>
          <w:rFonts w:ascii="Arial" w:hAnsi="Arial" w:cs="Arial"/>
          <w:sz w:val="20"/>
        </w:rPr>
        <w:t xml:space="preserve"> (YAU), </w:t>
      </w:r>
      <w:proofErr w:type="spellStart"/>
      <w:r w:rsidRPr="00F64667">
        <w:rPr>
          <w:rFonts w:ascii="Arial" w:hAnsi="Arial" w:cs="Arial"/>
          <w:sz w:val="20"/>
        </w:rPr>
        <w:t>Wuding</w:t>
      </w:r>
      <w:proofErr w:type="spellEnd"/>
      <w:r w:rsidRPr="00F64667">
        <w:rPr>
          <w:rFonts w:ascii="Arial" w:hAnsi="Arial" w:cs="Arial"/>
          <w:sz w:val="20"/>
        </w:rPr>
        <w:t xml:space="preserve">, </w:t>
      </w:r>
      <w:proofErr w:type="spellStart"/>
      <w:r w:rsidRPr="00F64667">
        <w:rPr>
          <w:rFonts w:ascii="Arial" w:hAnsi="Arial" w:cs="Arial"/>
          <w:sz w:val="20"/>
        </w:rPr>
        <w:t>Xichou</w:t>
      </w:r>
      <w:proofErr w:type="spellEnd"/>
      <w:r w:rsidRPr="00F64667">
        <w:rPr>
          <w:rFonts w:ascii="Arial" w:hAnsi="Arial" w:cs="Arial"/>
          <w:sz w:val="20"/>
        </w:rPr>
        <w:t xml:space="preserve"> black bone and PCM were used in preliminary experiments to confirm the culture conditions. In addition, two native breeds (</w:t>
      </w:r>
      <w:proofErr w:type="spellStart"/>
      <w:r w:rsidRPr="00F64667">
        <w:rPr>
          <w:rFonts w:ascii="Arial" w:hAnsi="Arial" w:cs="Arial"/>
          <w:sz w:val="20"/>
        </w:rPr>
        <w:t>Chahua</w:t>
      </w:r>
      <w:proofErr w:type="spellEnd"/>
      <w:r w:rsidRPr="00F64667">
        <w:rPr>
          <w:rFonts w:ascii="Arial" w:hAnsi="Arial" w:cs="Arial"/>
          <w:sz w:val="20"/>
        </w:rPr>
        <w:t xml:space="preserve"> and </w:t>
      </w:r>
      <w:proofErr w:type="spellStart"/>
      <w:r w:rsidRPr="00F64667">
        <w:rPr>
          <w:rFonts w:ascii="Arial" w:hAnsi="Arial" w:cs="Arial"/>
          <w:sz w:val="20"/>
        </w:rPr>
        <w:t>Piao</w:t>
      </w:r>
      <w:proofErr w:type="spellEnd"/>
      <w:r w:rsidRPr="00F64667">
        <w:rPr>
          <w:rFonts w:ascii="Arial" w:hAnsi="Arial" w:cs="Arial"/>
          <w:sz w:val="20"/>
        </w:rPr>
        <w:t xml:space="preserve">) were used for practical conservation of genetic resources of rare indigenous Chinese chicken breeds based on PGC. Fertilized eggs were collected in four batches from 2020 to 2021 from heritage populations (&gt;1500 chickens/population) maintained at an indigenous chicken genetic stock farm in the </w:t>
      </w:r>
      <w:proofErr w:type="spellStart"/>
      <w:r w:rsidRPr="00F64667">
        <w:rPr>
          <w:rFonts w:ascii="Arial" w:hAnsi="Arial" w:cs="Arial"/>
          <w:sz w:val="20"/>
        </w:rPr>
        <w:t>Xishuangbanna</w:t>
      </w:r>
      <w:proofErr w:type="spellEnd"/>
      <w:r w:rsidRPr="00F64667">
        <w:rPr>
          <w:rFonts w:ascii="Arial" w:hAnsi="Arial" w:cs="Arial"/>
          <w:sz w:val="20"/>
        </w:rPr>
        <w:t xml:space="preserve"> Autonomous Region, Yunnan Province, China. PCM or </w:t>
      </w:r>
      <w:proofErr w:type="spellStart"/>
      <w:r w:rsidRPr="00F64667">
        <w:rPr>
          <w:rFonts w:ascii="Arial" w:hAnsi="Arial" w:cs="Arial"/>
          <w:sz w:val="20"/>
        </w:rPr>
        <w:t>Chahua</w:t>
      </w:r>
      <w:proofErr w:type="spellEnd"/>
      <w:r w:rsidRPr="00F64667">
        <w:rPr>
          <w:rFonts w:ascii="Arial" w:hAnsi="Arial" w:cs="Arial"/>
          <w:sz w:val="20"/>
        </w:rPr>
        <w:t xml:space="preserve"> (YAU) fertilized eggs were used as recipients for gonadal migration assays and germline chimera production. Animal care and all experimental procedures were approved by the Animal Care and Use Committee of Yunnan Agricultural University (approval code: YAUACUC01) and were performed in accordance with the Animal Experiment Regulations of Yunnan Agricultural University.</w:t>
      </w:r>
    </w:p>
    <w:p w14:paraId="106DCD35" w14:textId="20929581" w:rsidR="00D5309E" w:rsidRPr="00F64667" w:rsidRDefault="00D5309E" w:rsidP="00302DEB">
      <w:pPr>
        <w:adjustRightInd w:val="0"/>
        <w:snapToGrid w:val="0"/>
        <w:spacing w:before="200" w:after="60"/>
        <w:rPr>
          <w:rFonts w:ascii="Arial" w:hAnsi="Arial" w:cs="Arial"/>
          <w:sz w:val="20"/>
        </w:rPr>
      </w:pPr>
      <w:r w:rsidRPr="00F64667">
        <w:rPr>
          <w:rFonts w:ascii="Arial" w:hAnsi="Arial" w:cs="Arial"/>
          <w:b/>
          <w:bCs/>
          <w:sz w:val="20"/>
        </w:rPr>
        <w:t>Sexing of samples</w:t>
      </w:r>
      <w:r>
        <w:rPr>
          <w:rFonts w:ascii="Arial" w:hAnsi="Arial" w:cs="Arial"/>
          <w:b/>
          <w:bCs/>
          <w:sz w:val="20"/>
        </w:rPr>
        <w:t xml:space="preserve">. </w:t>
      </w:r>
      <w:r w:rsidRPr="00F64667">
        <w:rPr>
          <w:rFonts w:ascii="Arial" w:hAnsi="Arial" w:cs="Arial"/>
          <w:sz w:val="20"/>
        </w:rPr>
        <w:t xml:space="preserve">PCR-based sexing was performed using primers (CHD1-F and CHD1-R) for the </w:t>
      </w:r>
      <w:r w:rsidRPr="00F64667">
        <w:rPr>
          <w:rFonts w:ascii="Arial" w:hAnsi="Arial" w:cs="Arial"/>
          <w:i/>
          <w:iCs/>
          <w:sz w:val="20"/>
        </w:rPr>
        <w:t>CHD1</w:t>
      </w:r>
      <w:r w:rsidRPr="00F64667">
        <w:rPr>
          <w:rFonts w:ascii="Arial" w:hAnsi="Arial" w:cs="Arial"/>
          <w:sz w:val="20"/>
        </w:rPr>
        <w:t xml:space="preserve"> genes on chromosomes Z and W (Table S1). Genomic DNA was extracted using </w:t>
      </w:r>
      <w:proofErr w:type="spellStart"/>
      <w:r w:rsidRPr="00F64667">
        <w:rPr>
          <w:rFonts w:ascii="Arial" w:hAnsi="Arial" w:cs="Arial"/>
          <w:sz w:val="20"/>
        </w:rPr>
        <w:t>QuickExtract</w:t>
      </w:r>
      <w:proofErr w:type="spellEnd"/>
      <w:r w:rsidRPr="00F64667">
        <w:rPr>
          <w:rFonts w:ascii="Arial" w:hAnsi="Arial" w:cs="Arial"/>
          <w:sz w:val="20"/>
        </w:rPr>
        <w:t xml:space="preserve"> DNA Extraction Solution (</w:t>
      </w:r>
      <w:proofErr w:type="spellStart"/>
      <w:r w:rsidRPr="00F64667">
        <w:rPr>
          <w:rFonts w:ascii="Arial" w:hAnsi="Arial" w:cs="Arial"/>
          <w:sz w:val="20"/>
        </w:rPr>
        <w:t>Lucigen</w:t>
      </w:r>
      <w:proofErr w:type="spellEnd"/>
      <w:r w:rsidRPr="00F64667">
        <w:rPr>
          <w:rFonts w:ascii="Arial" w:hAnsi="Arial" w:cs="Arial"/>
          <w:sz w:val="20"/>
        </w:rPr>
        <w:t xml:space="preserve">, Co., Middleton, WI, USA) or DNAZOL solution (Molecular Research Center, Cincinnati, USA), followed by PCR amplification in a 10 </w:t>
      </w:r>
      <w:proofErr w:type="spellStart"/>
      <w:r w:rsidRPr="00F64667">
        <w:rPr>
          <w:rFonts w:ascii="Arial" w:hAnsi="Arial" w:cs="Arial"/>
          <w:sz w:val="20"/>
        </w:rPr>
        <w:t>μL</w:t>
      </w:r>
      <w:proofErr w:type="spellEnd"/>
      <w:r w:rsidRPr="00F64667">
        <w:rPr>
          <w:rFonts w:ascii="Arial" w:hAnsi="Arial" w:cs="Arial"/>
          <w:sz w:val="20"/>
        </w:rPr>
        <w:t xml:space="preserve"> reaction mixture consisting of 1.0 </w:t>
      </w:r>
      <w:proofErr w:type="spellStart"/>
      <w:r w:rsidRPr="00F64667">
        <w:rPr>
          <w:rFonts w:ascii="Arial" w:hAnsi="Arial" w:cs="Arial"/>
          <w:sz w:val="20"/>
        </w:rPr>
        <w:t>μL</w:t>
      </w:r>
      <w:proofErr w:type="spellEnd"/>
      <w:r w:rsidRPr="00F64667">
        <w:rPr>
          <w:rFonts w:ascii="Arial" w:hAnsi="Arial" w:cs="Arial"/>
          <w:sz w:val="20"/>
        </w:rPr>
        <w:t xml:space="preserve"> template, 0.01 </w:t>
      </w:r>
      <w:proofErr w:type="spellStart"/>
      <w:r w:rsidRPr="00F64667">
        <w:rPr>
          <w:rFonts w:ascii="Arial" w:hAnsi="Arial" w:cs="Arial"/>
          <w:sz w:val="20"/>
        </w:rPr>
        <w:t>μM</w:t>
      </w:r>
      <w:proofErr w:type="spellEnd"/>
      <w:r w:rsidRPr="00F64667">
        <w:rPr>
          <w:rFonts w:ascii="Arial" w:hAnsi="Arial" w:cs="Arial"/>
          <w:sz w:val="20"/>
        </w:rPr>
        <w:t xml:space="preserve"> of each primer, and 5 </w:t>
      </w:r>
      <w:proofErr w:type="spellStart"/>
      <w:r w:rsidRPr="00F64667">
        <w:rPr>
          <w:rFonts w:ascii="Arial" w:hAnsi="Arial" w:cs="Arial"/>
          <w:sz w:val="20"/>
        </w:rPr>
        <w:t>μL</w:t>
      </w:r>
      <w:proofErr w:type="spellEnd"/>
      <w:r w:rsidRPr="00F64667">
        <w:rPr>
          <w:rFonts w:ascii="Arial" w:hAnsi="Arial" w:cs="Arial"/>
          <w:sz w:val="20"/>
        </w:rPr>
        <w:t xml:space="preserve"> ES-</w:t>
      </w:r>
      <w:proofErr w:type="spellStart"/>
      <w:r w:rsidRPr="00F64667">
        <w:rPr>
          <w:rFonts w:ascii="Arial" w:hAnsi="Arial" w:cs="Arial"/>
          <w:sz w:val="20"/>
        </w:rPr>
        <w:t>Taq</w:t>
      </w:r>
      <w:proofErr w:type="spellEnd"/>
      <w:r w:rsidRPr="00F64667">
        <w:rPr>
          <w:rFonts w:ascii="Arial" w:hAnsi="Arial" w:cs="Arial"/>
          <w:sz w:val="20"/>
        </w:rPr>
        <w:t xml:space="preserve"> Master Mix (</w:t>
      </w:r>
      <w:proofErr w:type="spellStart"/>
      <w:r w:rsidRPr="00F64667">
        <w:rPr>
          <w:rFonts w:ascii="Arial" w:hAnsi="Arial" w:cs="Arial"/>
          <w:sz w:val="20"/>
        </w:rPr>
        <w:t>Tiangen</w:t>
      </w:r>
      <w:proofErr w:type="spellEnd"/>
      <w:r w:rsidRPr="00F64667">
        <w:rPr>
          <w:rFonts w:ascii="Arial" w:hAnsi="Arial" w:cs="Arial"/>
          <w:sz w:val="20"/>
        </w:rPr>
        <w:t xml:space="preserve"> Biotech, Co., Ltd., Beijing, China). The amplicon sizes for CHD1-Z and CHD1-W were 568 </w:t>
      </w:r>
      <w:proofErr w:type="spellStart"/>
      <w:r w:rsidRPr="00F64667">
        <w:rPr>
          <w:rFonts w:ascii="Arial" w:hAnsi="Arial" w:cs="Arial"/>
          <w:sz w:val="20"/>
        </w:rPr>
        <w:t>bp</w:t>
      </w:r>
      <w:proofErr w:type="spellEnd"/>
      <w:r w:rsidRPr="00F64667">
        <w:rPr>
          <w:rFonts w:ascii="Arial" w:hAnsi="Arial" w:cs="Arial"/>
          <w:sz w:val="20"/>
        </w:rPr>
        <w:t xml:space="preserve"> and 422 </w:t>
      </w:r>
      <w:proofErr w:type="spellStart"/>
      <w:r w:rsidRPr="00F64667">
        <w:rPr>
          <w:rFonts w:ascii="Arial" w:hAnsi="Arial" w:cs="Arial"/>
          <w:sz w:val="20"/>
        </w:rPr>
        <w:t>bp</w:t>
      </w:r>
      <w:proofErr w:type="spellEnd"/>
      <w:r w:rsidRPr="00F64667">
        <w:rPr>
          <w:rFonts w:ascii="Arial" w:hAnsi="Arial" w:cs="Arial"/>
          <w:sz w:val="20"/>
        </w:rPr>
        <w:t>, respectively.</w:t>
      </w:r>
    </w:p>
    <w:p w14:paraId="5F661603" w14:textId="77777777" w:rsidR="00D5309E" w:rsidRPr="00E55064" w:rsidRDefault="00D5309E" w:rsidP="00302DEB">
      <w:pPr>
        <w:adjustRightInd w:val="0"/>
        <w:snapToGrid w:val="0"/>
        <w:spacing w:before="200" w:after="60"/>
        <w:rPr>
          <w:rFonts w:ascii="Arial" w:hAnsi="Arial" w:cs="Arial"/>
          <w:sz w:val="20"/>
        </w:rPr>
      </w:pPr>
      <w:r w:rsidRPr="00F64667">
        <w:rPr>
          <w:rFonts w:ascii="Arial" w:hAnsi="Arial" w:cs="Arial"/>
          <w:b/>
          <w:bCs/>
          <w:sz w:val="20"/>
        </w:rPr>
        <w:t xml:space="preserve">Immunofluorescence </w:t>
      </w:r>
      <w:r w:rsidRPr="00E55064">
        <w:rPr>
          <w:rFonts w:ascii="Arial" w:hAnsi="Arial" w:cs="Arial"/>
          <w:b/>
          <w:bCs/>
          <w:sz w:val="20"/>
        </w:rPr>
        <w:t xml:space="preserve">staining. </w:t>
      </w:r>
      <w:r w:rsidRPr="00E55064">
        <w:rPr>
          <w:rFonts w:ascii="Arial" w:hAnsi="Arial" w:cs="Arial"/>
          <w:sz w:val="20"/>
        </w:rPr>
        <w:t>For immunofluorescence analysis, cultured PGCs (1 × 10</w:t>
      </w:r>
      <w:r w:rsidRPr="00E55064">
        <w:rPr>
          <w:rFonts w:ascii="Arial" w:hAnsi="Arial" w:cs="Arial"/>
          <w:sz w:val="20"/>
          <w:vertAlign w:val="superscript"/>
        </w:rPr>
        <w:t>5</w:t>
      </w:r>
      <w:r w:rsidRPr="00E55064">
        <w:rPr>
          <w:rFonts w:ascii="Arial" w:hAnsi="Arial" w:cs="Arial"/>
          <w:sz w:val="20"/>
        </w:rPr>
        <w:t xml:space="preserve">) were fixed with 4% paraformaldehyde (PFA) at RT for 10 min. After washing with </w:t>
      </w:r>
      <w:proofErr w:type="gramStart"/>
      <w:r w:rsidRPr="00E55064">
        <w:rPr>
          <w:rFonts w:ascii="Arial" w:hAnsi="Arial" w:cs="Arial"/>
          <w:sz w:val="20"/>
        </w:rPr>
        <w:t>PBS(</w:t>
      </w:r>
      <w:proofErr w:type="gramEnd"/>
      <w:r w:rsidRPr="00E55064">
        <w:rPr>
          <w:rFonts w:ascii="Arial" w:hAnsi="Arial" w:cs="Arial"/>
          <w:sz w:val="20"/>
        </w:rPr>
        <w:t xml:space="preserve">-), the cells were </w:t>
      </w:r>
      <w:proofErr w:type="spellStart"/>
      <w:r w:rsidRPr="00E55064">
        <w:rPr>
          <w:rFonts w:ascii="Arial" w:hAnsi="Arial" w:cs="Arial"/>
          <w:sz w:val="20"/>
        </w:rPr>
        <w:t>permeabilized</w:t>
      </w:r>
      <w:proofErr w:type="spellEnd"/>
      <w:r w:rsidRPr="00E55064">
        <w:rPr>
          <w:rFonts w:ascii="Arial" w:hAnsi="Arial" w:cs="Arial"/>
          <w:sz w:val="20"/>
        </w:rPr>
        <w:t xml:space="preserve"> with 0.5% Triton-X100/PBS(-) solution for 5 min at RT. The fixed samples were washed with PBST (</w:t>
      </w:r>
      <w:proofErr w:type="gramStart"/>
      <w:r w:rsidRPr="00E55064">
        <w:rPr>
          <w:rFonts w:ascii="Arial" w:hAnsi="Arial" w:cs="Arial"/>
          <w:sz w:val="20"/>
        </w:rPr>
        <w:t>PBS(</w:t>
      </w:r>
      <w:proofErr w:type="gramEnd"/>
      <w:r w:rsidRPr="00E55064">
        <w:rPr>
          <w:rFonts w:ascii="Arial" w:hAnsi="Arial" w:cs="Arial"/>
          <w:sz w:val="20"/>
        </w:rPr>
        <w:t xml:space="preserve">-) with 0.1% Tween 20) and incubated with 10% goat serum/PBST for 15 min at RT. The samples were then incubated overnight at 4 °C with a mouse monoclonal IgM antibody against stage-specific embryonic antigen-1 (SSEA-1) at a dilution of 1:150 (DSHB, IA, USA). The samples were then washed with PBST and incubated with a secondary antibody, Alexa Fluor 594 goat anti-mouse IgM (1:250; Invitrogen, Carlsbad, CA, USA), for 3 </w:t>
      </w:r>
      <w:proofErr w:type="spellStart"/>
      <w:r w:rsidRPr="00E55064">
        <w:rPr>
          <w:rFonts w:ascii="Arial" w:hAnsi="Arial" w:cs="Arial"/>
          <w:sz w:val="20"/>
        </w:rPr>
        <w:t>h at</w:t>
      </w:r>
      <w:proofErr w:type="spellEnd"/>
      <w:r w:rsidRPr="00E55064">
        <w:rPr>
          <w:rFonts w:ascii="Arial" w:hAnsi="Arial" w:cs="Arial"/>
          <w:sz w:val="20"/>
        </w:rPr>
        <w:t xml:space="preserve"> RT. The samples were then washed with </w:t>
      </w:r>
      <w:proofErr w:type="gramStart"/>
      <w:r w:rsidRPr="00E55064">
        <w:rPr>
          <w:rFonts w:ascii="Arial" w:hAnsi="Arial" w:cs="Arial"/>
          <w:sz w:val="20"/>
        </w:rPr>
        <w:t>PBS(</w:t>
      </w:r>
      <w:proofErr w:type="gramEnd"/>
      <w:r w:rsidRPr="00E55064">
        <w:rPr>
          <w:rFonts w:ascii="Arial" w:hAnsi="Arial" w:cs="Arial"/>
          <w:sz w:val="20"/>
        </w:rPr>
        <w:t xml:space="preserve">-) and counterstained with DAPI (Prolong Diamond </w:t>
      </w:r>
      <w:proofErr w:type="spellStart"/>
      <w:r w:rsidRPr="00E55064">
        <w:rPr>
          <w:rFonts w:ascii="Arial" w:hAnsi="Arial" w:cs="Arial"/>
          <w:sz w:val="20"/>
        </w:rPr>
        <w:t>Antifade</w:t>
      </w:r>
      <w:proofErr w:type="spellEnd"/>
      <w:r w:rsidRPr="00E55064">
        <w:rPr>
          <w:rFonts w:ascii="Arial" w:hAnsi="Arial" w:cs="Arial"/>
          <w:sz w:val="20"/>
        </w:rPr>
        <w:t xml:space="preserve"> </w:t>
      </w:r>
      <w:proofErr w:type="spellStart"/>
      <w:r w:rsidRPr="00E55064">
        <w:rPr>
          <w:rFonts w:ascii="Arial" w:hAnsi="Arial" w:cs="Arial"/>
          <w:sz w:val="20"/>
        </w:rPr>
        <w:t>Mountant</w:t>
      </w:r>
      <w:proofErr w:type="spellEnd"/>
      <w:r w:rsidRPr="00E55064">
        <w:rPr>
          <w:rFonts w:ascii="Arial" w:hAnsi="Arial" w:cs="Arial"/>
          <w:sz w:val="20"/>
        </w:rPr>
        <w:t xml:space="preserve"> with DAPI, Invitrogen). Imaging was performed with a fluorescence microscope (</w:t>
      </w:r>
      <w:proofErr w:type="spellStart"/>
      <w:r w:rsidRPr="00E55064">
        <w:rPr>
          <w:rFonts w:ascii="Arial" w:hAnsi="Arial" w:cs="Arial"/>
          <w:sz w:val="20"/>
        </w:rPr>
        <w:t>Axio</w:t>
      </w:r>
      <w:proofErr w:type="spellEnd"/>
      <w:r w:rsidRPr="00E55064">
        <w:rPr>
          <w:rFonts w:ascii="Arial" w:hAnsi="Arial" w:cs="Arial"/>
          <w:sz w:val="20"/>
        </w:rPr>
        <w:t xml:space="preserve"> Vert. A1; Carl Zeiss </w:t>
      </w:r>
      <w:proofErr w:type="spellStart"/>
      <w:r w:rsidRPr="00E55064">
        <w:rPr>
          <w:rFonts w:ascii="Arial" w:hAnsi="Arial" w:cs="Arial"/>
          <w:sz w:val="20"/>
        </w:rPr>
        <w:t>Meditec</w:t>
      </w:r>
      <w:proofErr w:type="spellEnd"/>
      <w:r w:rsidRPr="00E55064">
        <w:rPr>
          <w:rFonts w:ascii="Arial" w:hAnsi="Arial" w:cs="Arial"/>
          <w:sz w:val="20"/>
        </w:rPr>
        <w:t xml:space="preserve"> AG, Jena, Germany).</w:t>
      </w:r>
    </w:p>
    <w:p w14:paraId="6A674DEC" w14:textId="4A70C1B5" w:rsidR="00D5309E" w:rsidRPr="00F64667" w:rsidRDefault="00D5309E" w:rsidP="00302DEB">
      <w:pPr>
        <w:adjustRightInd w:val="0"/>
        <w:snapToGrid w:val="0"/>
        <w:spacing w:before="200" w:after="60"/>
        <w:rPr>
          <w:rFonts w:ascii="Arial" w:hAnsi="Arial" w:cs="Arial"/>
          <w:sz w:val="20"/>
        </w:rPr>
      </w:pPr>
      <w:r w:rsidRPr="00E55064">
        <w:rPr>
          <w:rFonts w:ascii="Arial" w:hAnsi="Arial" w:cs="Arial"/>
          <w:b/>
          <w:bCs/>
          <w:sz w:val="20"/>
        </w:rPr>
        <w:t>RT</w:t>
      </w:r>
      <w:r w:rsidR="007D5FFF">
        <w:rPr>
          <w:rFonts w:ascii="Arial" w:hAnsi="Arial" w:cs="Arial" w:hint="eastAsia"/>
          <w:b/>
          <w:bCs/>
          <w:sz w:val="20"/>
          <w:lang w:eastAsia="ja-JP"/>
        </w:rPr>
        <w:t>-</w:t>
      </w:r>
      <w:r w:rsidRPr="00E55064">
        <w:rPr>
          <w:rFonts w:ascii="Arial" w:hAnsi="Arial" w:cs="Arial"/>
          <w:b/>
          <w:bCs/>
          <w:sz w:val="20"/>
        </w:rPr>
        <w:t xml:space="preserve">PCR. </w:t>
      </w:r>
      <w:r w:rsidRPr="00E55064">
        <w:rPr>
          <w:rFonts w:ascii="Arial" w:hAnsi="Arial" w:cs="Arial"/>
          <w:sz w:val="20"/>
        </w:rPr>
        <w:t>Germ cell-specific gene expression (</w:t>
      </w:r>
      <w:proofErr w:type="spellStart"/>
      <w:r w:rsidRPr="00E55064">
        <w:rPr>
          <w:rFonts w:ascii="Arial" w:hAnsi="Arial" w:cs="Arial"/>
          <w:i/>
          <w:iCs/>
          <w:sz w:val="20"/>
        </w:rPr>
        <w:t>cDAZL</w:t>
      </w:r>
      <w:proofErr w:type="spellEnd"/>
      <w:r w:rsidRPr="00E55064">
        <w:rPr>
          <w:rFonts w:ascii="Arial" w:hAnsi="Arial" w:cs="Arial"/>
          <w:sz w:val="20"/>
        </w:rPr>
        <w:t xml:space="preserve">, </w:t>
      </w:r>
      <w:r w:rsidRPr="00E55064">
        <w:rPr>
          <w:rFonts w:ascii="Arial" w:hAnsi="Arial" w:cs="Arial"/>
          <w:i/>
          <w:iCs/>
          <w:sz w:val="20"/>
        </w:rPr>
        <w:t>CVH</w:t>
      </w:r>
      <w:r w:rsidRPr="00E55064">
        <w:rPr>
          <w:rFonts w:ascii="Arial" w:hAnsi="Arial" w:cs="Arial"/>
          <w:sz w:val="20"/>
        </w:rPr>
        <w:t>) was assessed by RT</w:t>
      </w:r>
      <w:r w:rsidRPr="00E55064">
        <w:rPr>
          <w:rFonts w:ascii="Arial" w:hAnsi="Arial" w:cs="Arial" w:hint="eastAsia"/>
          <w:sz w:val="20"/>
          <w:lang w:eastAsia="ja-JP"/>
        </w:rPr>
        <w:t>-</w:t>
      </w:r>
      <w:r w:rsidRPr="00E55064">
        <w:rPr>
          <w:rFonts w:ascii="Arial" w:hAnsi="Arial" w:cs="Arial"/>
          <w:sz w:val="20"/>
        </w:rPr>
        <w:t xml:space="preserve">PCR using cultured PGCs and control cells (CEFs, chicken embryonic fibroblasts). Total RNA was extracted from the cells using </w:t>
      </w:r>
      <w:proofErr w:type="spellStart"/>
      <w:r w:rsidRPr="00E55064">
        <w:rPr>
          <w:rFonts w:ascii="Arial" w:hAnsi="Arial" w:cs="Arial"/>
          <w:sz w:val="20"/>
        </w:rPr>
        <w:t>TRIzol</w:t>
      </w:r>
      <w:proofErr w:type="spellEnd"/>
      <w:r w:rsidRPr="00E55064">
        <w:rPr>
          <w:rFonts w:ascii="Arial" w:hAnsi="Arial" w:cs="Arial"/>
          <w:sz w:val="20"/>
        </w:rPr>
        <w:t xml:space="preserve"> reagent (Invitrogen), and 1.0 </w:t>
      </w:r>
      <w:proofErr w:type="spellStart"/>
      <w:r w:rsidRPr="00E55064">
        <w:rPr>
          <w:rFonts w:ascii="Arial" w:hAnsi="Arial" w:cs="Arial"/>
          <w:sz w:val="20"/>
        </w:rPr>
        <w:t>μg</w:t>
      </w:r>
      <w:proofErr w:type="spellEnd"/>
      <w:r w:rsidRPr="00E55064">
        <w:rPr>
          <w:rFonts w:ascii="Arial" w:hAnsi="Arial" w:cs="Arial"/>
          <w:sz w:val="20"/>
        </w:rPr>
        <w:t xml:space="preserve"> of total RNA was reverse transcribed using the </w:t>
      </w:r>
      <w:proofErr w:type="spellStart"/>
      <w:r w:rsidRPr="00E55064">
        <w:rPr>
          <w:rFonts w:ascii="Arial" w:hAnsi="Arial" w:cs="Arial"/>
          <w:sz w:val="20"/>
        </w:rPr>
        <w:t>PrimeScript</w:t>
      </w:r>
      <w:proofErr w:type="spellEnd"/>
      <w:r w:rsidRPr="00E55064">
        <w:rPr>
          <w:rFonts w:ascii="Arial" w:hAnsi="Arial" w:cs="Arial"/>
          <w:sz w:val="20"/>
        </w:rPr>
        <w:t xml:space="preserve"> RT</w:t>
      </w:r>
      <w:r w:rsidRPr="00E55064">
        <w:rPr>
          <w:rFonts w:ascii="Arial" w:hAnsi="Arial" w:cs="Arial" w:hint="eastAsia"/>
          <w:sz w:val="20"/>
          <w:lang w:eastAsia="ja-JP"/>
        </w:rPr>
        <w:t>-</w:t>
      </w:r>
      <w:r w:rsidRPr="00E55064">
        <w:rPr>
          <w:rFonts w:ascii="Arial" w:hAnsi="Arial" w:cs="Arial"/>
          <w:sz w:val="20"/>
        </w:rPr>
        <w:t xml:space="preserve">PCR Kit (Takara, Otsu, Japan) with oligo </w:t>
      </w:r>
      <w:proofErr w:type="spellStart"/>
      <w:r w:rsidRPr="00E55064">
        <w:rPr>
          <w:rFonts w:ascii="Arial" w:hAnsi="Arial" w:cs="Arial"/>
          <w:sz w:val="20"/>
        </w:rPr>
        <w:t>dT</w:t>
      </w:r>
      <w:proofErr w:type="spellEnd"/>
      <w:r w:rsidRPr="00E55064">
        <w:rPr>
          <w:rFonts w:ascii="Arial" w:hAnsi="Arial" w:cs="Arial"/>
          <w:sz w:val="20"/>
        </w:rPr>
        <w:t xml:space="preserve"> primers. RT</w:t>
      </w:r>
      <w:r w:rsidRPr="00E55064">
        <w:rPr>
          <w:rFonts w:ascii="Arial" w:hAnsi="Arial" w:cs="Arial" w:hint="eastAsia"/>
          <w:sz w:val="20"/>
          <w:lang w:eastAsia="ja-JP"/>
        </w:rPr>
        <w:t>-</w:t>
      </w:r>
      <w:r w:rsidRPr="00E55064">
        <w:rPr>
          <w:rFonts w:ascii="Arial" w:hAnsi="Arial" w:cs="Arial"/>
          <w:sz w:val="20"/>
        </w:rPr>
        <w:t xml:space="preserve">PCR was performed in a 25 </w:t>
      </w:r>
      <w:proofErr w:type="spellStart"/>
      <w:r w:rsidRPr="00E55064">
        <w:rPr>
          <w:rFonts w:ascii="Arial" w:hAnsi="Arial" w:cs="Arial"/>
          <w:sz w:val="20"/>
        </w:rPr>
        <w:t>μL</w:t>
      </w:r>
      <w:proofErr w:type="spellEnd"/>
      <w:r w:rsidRPr="00E55064">
        <w:rPr>
          <w:rFonts w:ascii="Arial" w:hAnsi="Arial" w:cs="Arial"/>
          <w:sz w:val="20"/>
        </w:rPr>
        <w:t xml:space="preserve"> reaction containing 25 ng cDNA, 1 × KOD FX buffer, 100 µM </w:t>
      </w:r>
      <w:proofErr w:type="spellStart"/>
      <w:r w:rsidRPr="00E55064">
        <w:rPr>
          <w:rFonts w:ascii="Arial" w:hAnsi="Arial" w:cs="Arial"/>
          <w:sz w:val="20"/>
        </w:rPr>
        <w:t>dNTPs</w:t>
      </w:r>
      <w:proofErr w:type="spellEnd"/>
      <w:r w:rsidRPr="00E55064">
        <w:rPr>
          <w:rFonts w:ascii="Arial" w:hAnsi="Arial" w:cs="Arial"/>
          <w:sz w:val="20"/>
        </w:rPr>
        <w:t xml:space="preserve">, 0.75 </w:t>
      </w:r>
      <w:proofErr w:type="spellStart"/>
      <w:r w:rsidRPr="00E55064">
        <w:rPr>
          <w:rFonts w:ascii="Arial" w:hAnsi="Arial" w:cs="Arial"/>
          <w:sz w:val="20"/>
        </w:rPr>
        <w:t>μL</w:t>
      </w:r>
      <w:proofErr w:type="spellEnd"/>
      <w:r w:rsidRPr="00E55064">
        <w:rPr>
          <w:rFonts w:ascii="Arial" w:hAnsi="Arial" w:cs="Arial"/>
          <w:sz w:val="20"/>
        </w:rPr>
        <w:t xml:space="preserve"> of 10 </w:t>
      </w:r>
      <w:proofErr w:type="spellStart"/>
      <w:r w:rsidRPr="00E55064">
        <w:rPr>
          <w:rFonts w:ascii="Arial" w:hAnsi="Arial" w:cs="Arial"/>
          <w:sz w:val="20"/>
        </w:rPr>
        <w:t>μM</w:t>
      </w:r>
      <w:proofErr w:type="spellEnd"/>
      <w:r w:rsidRPr="00E55064">
        <w:rPr>
          <w:rFonts w:ascii="Arial" w:hAnsi="Arial" w:cs="Arial"/>
          <w:sz w:val="20"/>
        </w:rPr>
        <w:t xml:space="preserve"> forward and reverse primers (Table S1), and 1 unit of KOD FX DNA polymerase (TOYOBO, Osaka, Japan). PCR cycles included a</w:t>
      </w:r>
      <w:r w:rsidRPr="00F64667">
        <w:rPr>
          <w:rFonts w:ascii="Arial" w:hAnsi="Arial" w:cs="Arial"/>
          <w:sz w:val="20"/>
        </w:rPr>
        <w:t>n initial denaturation at 94 °C for 2 min, followed by 35 cycles of 98 °C for 10 sec, 64 °C for 30 sec, and 68 °C for 2 min, with a final extension at 68 °C for 7 min. The PCR products were electrophoresed on a 2.5% agarose gel.</w:t>
      </w:r>
    </w:p>
    <w:p w14:paraId="182558F6" w14:textId="4DF24D51" w:rsidR="00D5309E" w:rsidRDefault="00D5309E" w:rsidP="00302DEB">
      <w:pPr>
        <w:adjustRightInd w:val="0"/>
        <w:snapToGrid w:val="0"/>
        <w:spacing w:before="200" w:after="60"/>
        <w:rPr>
          <w:rFonts w:ascii="Arial" w:hAnsi="Arial" w:cs="Arial"/>
          <w:sz w:val="20"/>
        </w:rPr>
      </w:pPr>
      <w:r w:rsidRPr="00F64667">
        <w:rPr>
          <w:rFonts w:ascii="Arial" w:hAnsi="Arial" w:cs="Arial"/>
          <w:b/>
          <w:bCs/>
          <w:sz w:val="20"/>
        </w:rPr>
        <w:t>Gonadal migration assay</w:t>
      </w:r>
      <w:r>
        <w:rPr>
          <w:rFonts w:ascii="Arial" w:hAnsi="Arial" w:cs="Arial"/>
          <w:b/>
          <w:bCs/>
          <w:sz w:val="20"/>
        </w:rPr>
        <w:t xml:space="preserve">. </w:t>
      </w:r>
      <w:proofErr w:type="spellStart"/>
      <w:r w:rsidRPr="00F64667">
        <w:rPr>
          <w:rFonts w:ascii="Arial" w:hAnsi="Arial" w:cs="Arial"/>
          <w:sz w:val="20"/>
        </w:rPr>
        <w:t>Chahua</w:t>
      </w:r>
      <w:proofErr w:type="spellEnd"/>
      <w:r w:rsidRPr="00F64667">
        <w:rPr>
          <w:rFonts w:ascii="Arial" w:hAnsi="Arial" w:cs="Arial"/>
          <w:sz w:val="20"/>
        </w:rPr>
        <w:t xml:space="preserve"> PGCs, expanded after cryopreservation in liquid nitrogen, were used as donor cells to assess the migration and colonization ability of cultured PGCs within recipient gonads. These PGCs were labeled with PKH26 GL dye (Sigma) and then microinjected into the dorsal aorta of HH14</w:t>
      </w:r>
      <w:r w:rsidRPr="00F64667">
        <w:rPr>
          <w:rFonts w:ascii="Arial" w:hAnsi="Arial" w:cs="Arial"/>
          <w:sz w:val="20"/>
          <w:lang w:eastAsia="ja-JP"/>
        </w:rPr>
        <w:t>–</w:t>
      </w:r>
      <w:r w:rsidRPr="00F64667">
        <w:rPr>
          <w:rFonts w:ascii="Arial" w:hAnsi="Arial" w:cs="Arial"/>
          <w:sz w:val="20"/>
        </w:rPr>
        <w:t>16 recipient embryos (</w:t>
      </w:r>
      <w:proofErr w:type="spellStart"/>
      <w:r w:rsidRPr="00F64667">
        <w:rPr>
          <w:rFonts w:ascii="Arial" w:hAnsi="Arial" w:cs="Arial"/>
          <w:sz w:val="20"/>
        </w:rPr>
        <w:t>Chahua</w:t>
      </w:r>
      <w:proofErr w:type="spellEnd"/>
      <w:r w:rsidRPr="00F64667">
        <w:rPr>
          <w:rFonts w:ascii="Arial" w:hAnsi="Arial" w:cs="Arial"/>
          <w:sz w:val="20"/>
        </w:rPr>
        <w:t>, YAU or PCM) in a volume of 1 µL containing 1,500</w:t>
      </w:r>
      <w:r w:rsidRPr="00F64667">
        <w:rPr>
          <w:rFonts w:ascii="Arial" w:hAnsi="Arial" w:cs="Arial"/>
          <w:sz w:val="20"/>
          <w:lang w:eastAsia="ja-JP"/>
        </w:rPr>
        <w:t>–</w:t>
      </w:r>
      <w:r w:rsidRPr="00F64667">
        <w:rPr>
          <w:rFonts w:ascii="Arial" w:hAnsi="Arial" w:cs="Arial"/>
          <w:sz w:val="20"/>
        </w:rPr>
        <w:t>4,500 cells. The engineered embryos were cultured to the HH30</w:t>
      </w:r>
      <w:r w:rsidRPr="00F64667">
        <w:rPr>
          <w:rFonts w:ascii="Arial" w:hAnsi="Arial" w:cs="Arial"/>
          <w:sz w:val="20"/>
          <w:lang w:eastAsia="ja-JP"/>
        </w:rPr>
        <w:t>–</w:t>
      </w:r>
      <w:r w:rsidRPr="00F64667">
        <w:rPr>
          <w:rFonts w:ascii="Arial" w:hAnsi="Arial" w:cs="Arial"/>
          <w:sz w:val="20"/>
        </w:rPr>
        <w:t xml:space="preserve">32 stage using the surrogate eggshell culture system (System III) </w:t>
      </w:r>
      <w:r w:rsidR="001D0103">
        <w:rPr>
          <w:rFonts w:ascii="Arial" w:hAnsi="Arial" w:cs="Arial"/>
          <w:sz w:val="20"/>
        </w:rPr>
        <w:fldChar w:fldCharType="begin"/>
      </w:r>
      <w:r w:rsidR="001D0103">
        <w:rPr>
          <w:rFonts w:ascii="Arial" w:hAnsi="Arial" w:cs="Arial"/>
          <w:sz w:val="20"/>
        </w:rPr>
        <w:instrText xml:space="preserve"> ADDIN EN.CITE &lt;EndNote&gt;&lt;Cite&gt;&lt;Author&gt;Perry&lt;/Author&gt;&lt;Year&gt;1988&lt;/Year&gt;&lt;RecNum&gt;54&lt;/RecNum&gt;&lt;DisplayText&gt;[1]&lt;/DisplayText&gt;&lt;record&gt;&lt;rec-number&gt;54&lt;/rec-number&gt;&lt;foreign-keys&gt;&lt;key app="EN" db-id="vzsw2ede7drffje50ztxx99kpp22etdxrz0e" timestamp="1704502232"&gt;54&lt;/key&gt;&lt;/foreign-keys&gt;&lt;ref-type name="Journal Article"&gt;17&lt;/ref-type&gt;&lt;contributors&gt;&lt;authors&gt;&lt;author&gt;Perry, M. M.&lt;/author&gt;&lt;/authors&gt;&lt;/contributors&gt;&lt;auth-address&gt;AFRC Institute of Animal Physiology and Genetics Research, Edinburgh Research Station, Roslin, Midlothian, UK.&lt;/auth-address&gt;&lt;titles&gt;&lt;title&gt;A complete culture system for the chick embryo&lt;/title&gt;&lt;secondary-title&gt;Nature&lt;/secondary-title&gt;&lt;/titles&gt;&lt;periodical&gt;&lt;full-title&gt;Nature&lt;/full-title&gt;&lt;/periodical&gt;&lt;pages&gt;70-2&lt;/pages&gt;&lt;volume&gt;331&lt;/volume&gt;&lt;number&gt;6151&lt;/number&gt;&lt;edition&gt;1988/01/07&lt;/edition&gt;&lt;keywords&gt;&lt;keyword&gt;Animals&lt;/keyword&gt;&lt;keyword&gt;*Chick Embryo&lt;/keyword&gt;&lt;keyword&gt;Embryonic and Fetal Development&lt;/keyword&gt;&lt;keyword&gt;Organ Culture Techniques/instrumentation/*methods&lt;/keyword&gt;&lt;/keywords&gt;&lt;dates&gt;&lt;year&gt;1988&lt;/year&gt;&lt;pub-dates&gt;&lt;date&gt;Jan 7&lt;/date&gt;&lt;/pub-dates&gt;&lt;/dates&gt;&lt;isbn&gt;0028-0836 (Print)&amp;#xD;0028-0836&lt;/isbn&gt;&lt;accession-num&gt;3340149&lt;/accession-num&gt;&lt;urls&gt;&lt;/urls&gt;&lt;electronic-resource-num&gt;10.1038/331070a0&lt;/electronic-resource-num&gt;&lt;remote-database-provider&gt;NLM&lt;/remote-database-provider&gt;&lt;language&gt;eng&lt;/language&gt;&lt;/record&gt;&lt;/Cite&gt;&lt;/EndNote&gt;</w:instrText>
      </w:r>
      <w:r w:rsidR="001D0103">
        <w:rPr>
          <w:rFonts w:ascii="Arial" w:hAnsi="Arial" w:cs="Arial"/>
          <w:sz w:val="20"/>
        </w:rPr>
        <w:fldChar w:fldCharType="separate"/>
      </w:r>
      <w:r w:rsidR="001D0103">
        <w:rPr>
          <w:rFonts w:ascii="Arial" w:hAnsi="Arial" w:cs="Arial"/>
          <w:noProof/>
          <w:sz w:val="20"/>
        </w:rPr>
        <w:t>[1]</w:t>
      </w:r>
      <w:r w:rsidR="001D0103">
        <w:rPr>
          <w:rFonts w:ascii="Arial" w:hAnsi="Arial" w:cs="Arial"/>
          <w:sz w:val="20"/>
        </w:rPr>
        <w:fldChar w:fldCharType="end"/>
      </w:r>
      <w:r w:rsidRPr="00F64667">
        <w:rPr>
          <w:rFonts w:ascii="Arial" w:hAnsi="Arial" w:cs="Arial"/>
          <w:sz w:val="20"/>
        </w:rPr>
        <w:t>. Whole gonads were then collected from the embryos, and PKH26-positive cells were identified by fluorescence microscopy.</w:t>
      </w:r>
    </w:p>
    <w:p w14:paraId="6BD2A35D" w14:textId="64B180E3" w:rsidR="00D5309E" w:rsidRPr="00F64667" w:rsidRDefault="00D5309E" w:rsidP="00302DEB">
      <w:pPr>
        <w:adjustRightInd w:val="0"/>
        <w:snapToGrid w:val="0"/>
        <w:spacing w:before="200" w:after="60"/>
        <w:rPr>
          <w:rFonts w:ascii="Arial" w:hAnsi="Arial" w:cs="Arial"/>
          <w:sz w:val="20"/>
          <w:lang w:eastAsia="ja-JP"/>
        </w:rPr>
      </w:pPr>
      <w:r w:rsidRPr="00F64667">
        <w:rPr>
          <w:rFonts w:ascii="Arial" w:hAnsi="Arial" w:cs="Arial"/>
          <w:b/>
          <w:bCs/>
          <w:sz w:val="20"/>
        </w:rPr>
        <w:t>Transplantation</w:t>
      </w:r>
      <w:r w:rsidRPr="00F64667">
        <w:rPr>
          <w:rFonts w:ascii="Arial" w:hAnsi="Arial" w:cs="Arial"/>
          <w:b/>
          <w:bCs/>
          <w:sz w:val="20"/>
          <w:lang w:eastAsia="ja-JP"/>
        </w:rPr>
        <w:t xml:space="preserve"> of donor PGCs into recipient embryos and generation of germline chimeras</w:t>
      </w:r>
      <w:r>
        <w:rPr>
          <w:rFonts w:ascii="Arial" w:hAnsi="Arial" w:cs="Arial"/>
          <w:b/>
          <w:bCs/>
          <w:sz w:val="20"/>
          <w:lang w:eastAsia="ja-JP"/>
        </w:rPr>
        <w:t xml:space="preserve">. </w:t>
      </w:r>
      <w:r w:rsidRPr="00F64667">
        <w:rPr>
          <w:rFonts w:ascii="Arial" w:hAnsi="Arial" w:cs="Arial"/>
          <w:sz w:val="20"/>
          <w:lang w:eastAsia="ja-JP"/>
        </w:rPr>
        <w:t xml:space="preserve">Two </w:t>
      </w:r>
      <w:proofErr w:type="spellStart"/>
      <w:r w:rsidRPr="00F64667">
        <w:rPr>
          <w:rFonts w:ascii="Arial" w:hAnsi="Arial" w:cs="Arial"/>
          <w:sz w:val="20"/>
          <w:lang w:eastAsia="ja-JP"/>
        </w:rPr>
        <w:t>Piao</w:t>
      </w:r>
      <w:proofErr w:type="spellEnd"/>
      <w:r w:rsidRPr="00F64667">
        <w:rPr>
          <w:rFonts w:ascii="Arial" w:hAnsi="Arial" w:cs="Arial"/>
          <w:sz w:val="20"/>
          <w:lang w:eastAsia="ja-JP"/>
        </w:rPr>
        <w:t xml:space="preserve"> PGC lines, one male (#P28) and one female (#P52), cryopreserved for three </w:t>
      </w:r>
      <w:r w:rsidRPr="00F64667">
        <w:rPr>
          <w:rFonts w:ascii="Arial" w:hAnsi="Arial" w:cs="Arial"/>
          <w:sz w:val="20"/>
          <w:lang w:eastAsia="ja-JP"/>
        </w:rPr>
        <w:lastRenderedPageBreak/>
        <w:t xml:space="preserve">months, were used as donors for transplantation into recipient embryos. These donor PGC lines were expanded and </w:t>
      </w:r>
      <w:proofErr w:type="spellStart"/>
      <w:r w:rsidRPr="00F64667">
        <w:rPr>
          <w:rFonts w:ascii="Arial" w:hAnsi="Arial" w:cs="Arial"/>
          <w:sz w:val="20"/>
          <w:lang w:eastAsia="ja-JP"/>
        </w:rPr>
        <w:t>subcultured</w:t>
      </w:r>
      <w:proofErr w:type="spellEnd"/>
      <w:r w:rsidRPr="00F64667">
        <w:rPr>
          <w:rFonts w:ascii="Arial" w:hAnsi="Arial" w:cs="Arial"/>
          <w:sz w:val="20"/>
          <w:lang w:eastAsia="ja-JP"/>
        </w:rPr>
        <w:t xml:space="preserve"> over a period of weeks to months during their use in transplantation experiments. The two PGC lines were mixed in approximately equal proportions, and a 1 µL volume of medium containing 5,800 to 16,000 cells was microinjected into the dorsal aorta of HH13–16 stage </w:t>
      </w:r>
      <w:r w:rsidRPr="00E55064">
        <w:rPr>
          <w:rFonts w:ascii="Arial" w:hAnsi="Arial" w:cs="Arial"/>
          <w:sz w:val="20"/>
          <w:lang w:eastAsia="ja-JP"/>
        </w:rPr>
        <w:t>recipient embryos (</w:t>
      </w:r>
      <w:proofErr w:type="spellStart"/>
      <w:r w:rsidRPr="00E55064">
        <w:rPr>
          <w:rFonts w:ascii="Arial" w:hAnsi="Arial" w:cs="Arial"/>
          <w:sz w:val="20"/>
          <w:lang w:eastAsia="ja-JP"/>
        </w:rPr>
        <w:t>Chahua</w:t>
      </w:r>
      <w:proofErr w:type="spellEnd"/>
      <w:r w:rsidRPr="00E55064">
        <w:rPr>
          <w:rFonts w:ascii="Arial" w:hAnsi="Arial" w:cs="Arial"/>
          <w:sz w:val="20"/>
          <w:lang w:eastAsia="ja-JP"/>
        </w:rPr>
        <w:t>, YAU).</w:t>
      </w:r>
      <w:r w:rsidRPr="00F64667">
        <w:rPr>
          <w:rFonts w:ascii="Arial" w:hAnsi="Arial" w:cs="Arial"/>
          <w:sz w:val="20"/>
          <w:lang w:eastAsia="ja-JP"/>
        </w:rPr>
        <w:t xml:space="preserve"> Most recipient embryos were used after reduction of blood containing endogenous PGCs as described in a previously reported metho</w:t>
      </w:r>
      <w:r w:rsidRPr="00E55064">
        <w:rPr>
          <w:rFonts w:ascii="Arial" w:hAnsi="Arial" w:cs="Arial"/>
          <w:sz w:val="20"/>
          <w:lang w:eastAsia="ja-JP"/>
        </w:rPr>
        <w:t xml:space="preserve">d </w:t>
      </w:r>
      <w:r w:rsidR="001D0103">
        <w:rPr>
          <w:rFonts w:ascii="Arial" w:hAnsi="Arial" w:cs="Arial"/>
          <w:sz w:val="20"/>
          <w:lang w:eastAsia="ja-JP"/>
        </w:rPr>
        <w:fldChar w:fldCharType="begin"/>
      </w:r>
      <w:r w:rsidR="001D0103">
        <w:rPr>
          <w:rFonts w:ascii="Arial" w:hAnsi="Arial" w:cs="Arial"/>
          <w:sz w:val="20"/>
          <w:lang w:eastAsia="ja-JP"/>
        </w:rPr>
        <w:instrText xml:space="preserve"> ADDIN EN.CITE &lt;EndNote&gt;&lt;Cite&gt;&lt;Author&gt;Naito&lt;/Author&gt;&lt;Year&gt;1994&lt;/Year&gt;&lt;RecNum&gt;55&lt;/RecNum&gt;&lt;DisplayText&gt;[2]&lt;/DisplayText&gt;&lt;record&gt;&lt;rec-number&gt;55&lt;/rec-number&gt;&lt;foreign-keys&gt;&lt;key app="EN" db-id="vzsw2ede7drffje50ztxx99kpp22etdxrz0e" timestamp="1704502232"&gt;55&lt;/key&gt;&lt;/foreign-keys&gt;&lt;ref-type name="Journal Article"&gt;17&lt;/ref-type&gt;&lt;contributors&gt;&lt;authors&gt;&lt;author&gt;Naito, M.&lt;/author&gt;&lt;author&gt;Tajima, A.&lt;/author&gt;&lt;author&gt;Yasuda, Y.&lt;/author&gt;&lt;author&gt;Kuwana, T.&lt;/author&gt;&lt;/authors&gt;&lt;/contributors&gt;&lt;auth-address&gt;National Institute of Animal Industry, Ibaraki, Japan.&lt;/auth-address&gt;&lt;titles&gt;&lt;title&gt;Production of germline chimeric chickens, with high transmission rate of donor-derived gametes, produced by transfer of primordial germ cells&lt;/title&gt;&lt;secondary-title&gt;Mol Reprod Dev&lt;/secondary-title&gt;&lt;/titles&gt;&lt;periodical&gt;&lt;full-title&gt;Mol Reprod Dev&lt;/full-title&gt;&lt;/periodical&gt;&lt;pages&gt;153-61&lt;/pages&gt;&lt;volume&gt;39&lt;/volume&gt;&lt;number&gt;2&lt;/number&gt;&lt;edition&gt;1994/10/01&lt;/edition&gt;&lt;keywords&gt;&lt;keyword&gt;Animals&lt;/keyword&gt;&lt;keyword&gt;Chick Embryo&lt;/keyword&gt;&lt;keyword&gt;Chickens/*genetics&lt;/keyword&gt;&lt;keyword&gt;*Chimera&lt;/keyword&gt;&lt;keyword&gt;Female&lt;/keyword&gt;&lt;keyword&gt;Fetal Blood/cytology&lt;/keyword&gt;&lt;keyword&gt;Germ Cells/*transplantation&lt;/keyword&gt;&lt;keyword&gt;Male&lt;/keyword&gt;&lt;keyword&gt;Sex Ratio&lt;/keyword&gt;&lt;/keywords&gt;&lt;dates&gt;&lt;year&gt;1994&lt;/year&gt;&lt;pub-dates&gt;&lt;date&gt;Oct&lt;/date&gt;&lt;/pub-dates&gt;&lt;/dates&gt;&lt;isbn&gt;1040-452X (Print)&amp;#xD;1040-452x&lt;/isbn&gt;&lt;accession-num&gt;7826616&lt;/accession-num&gt;&lt;urls&gt;&lt;/urls&gt;&lt;electronic-resource-num&gt;10.1002/mrd.1080390206&lt;/electronic-resource-num&gt;&lt;remote-database-provider&gt;NLM&lt;/remote-database-provider&gt;&lt;language&gt;eng&lt;/language&gt;&lt;/record&gt;&lt;/Cite&gt;&lt;/EndNote&gt;</w:instrText>
      </w:r>
      <w:r w:rsidR="001D0103">
        <w:rPr>
          <w:rFonts w:ascii="Arial" w:hAnsi="Arial" w:cs="Arial"/>
          <w:sz w:val="20"/>
          <w:lang w:eastAsia="ja-JP"/>
        </w:rPr>
        <w:fldChar w:fldCharType="separate"/>
      </w:r>
      <w:r w:rsidR="001D0103">
        <w:rPr>
          <w:rFonts w:ascii="Arial" w:hAnsi="Arial" w:cs="Arial"/>
          <w:noProof/>
          <w:sz w:val="20"/>
          <w:lang w:eastAsia="ja-JP"/>
        </w:rPr>
        <w:t>[2]</w:t>
      </w:r>
      <w:r w:rsidR="001D0103">
        <w:rPr>
          <w:rFonts w:ascii="Arial" w:hAnsi="Arial" w:cs="Arial"/>
          <w:sz w:val="20"/>
          <w:lang w:eastAsia="ja-JP"/>
        </w:rPr>
        <w:fldChar w:fldCharType="end"/>
      </w:r>
      <w:r w:rsidRPr="00E55064">
        <w:rPr>
          <w:rFonts w:ascii="Arial" w:hAnsi="Arial" w:cs="Arial"/>
          <w:sz w:val="20"/>
          <w:lang w:eastAsia="ja-JP"/>
        </w:rPr>
        <w:t xml:space="preserve">. These embryos were cultured until hatching using surrogate eggshells as described above. The hatched recipient chicks were reared to sexual maturity. To determine whether the male recipients could produce donor-derived sperm, genomic DNA samples were extracted from semen and blood for detection of the </w:t>
      </w:r>
      <w:proofErr w:type="spellStart"/>
      <w:r w:rsidRPr="00E55064">
        <w:rPr>
          <w:rFonts w:ascii="Arial" w:hAnsi="Arial" w:cs="Arial"/>
          <w:sz w:val="20"/>
          <w:lang w:eastAsia="ja-JP"/>
        </w:rPr>
        <w:t>Piao</w:t>
      </w:r>
      <w:proofErr w:type="spellEnd"/>
      <w:r w:rsidRPr="00E55064">
        <w:rPr>
          <w:rFonts w:ascii="Arial" w:hAnsi="Arial" w:cs="Arial"/>
          <w:sz w:val="20"/>
          <w:lang w:eastAsia="ja-JP"/>
        </w:rPr>
        <w:t xml:space="preserve"> PGC-derived black skin (</w:t>
      </w:r>
      <w:proofErr w:type="spellStart"/>
      <w:r w:rsidRPr="00E55064">
        <w:rPr>
          <w:rFonts w:ascii="Arial" w:hAnsi="Arial" w:cs="Arial"/>
          <w:sz w:val="20"/>
          <w:lang w:eastAsia="ja-JP"/>
        </w:rPr>
        <w:t>fibromelanosis</w:t>
      </w:r>
      <w:proofErr w:type="spellEnd"/>
      <w:r w:rsidRPr="00E55064">
        <w:rPr>
          <w:rFonts w:ascii="Arial" w:hAnsi="Arial" w:cs="Arial"/>
          <w:sz w:val="20"/>
          <w:lang w:eastAsia="ja-JP"/>
        </w:rPr>
        <w:t xml:space="preserve">, </w:t>
      </w:r>
      <w:proofErr w:type="spellStart"/>
      <w:r w:rsidRPr="00E55064">
        <w:rPr>
          <w:rFonts w:ascii="Arial" w:hAnsi="Arial" w:cs="Arial"/>
          <w:i/>
          <w:iCs/>
          <w:sz w:val="20"/>
          <w:lang w:eastAsia="ja-JP"/>
        </w:rPr>
        <w:t>Fm</w:t>
      </w:r>
      <w:proofErr w:type="spellEnd"/>
      <w:r w:rsidRPr="00E55064">
        <w:rPr>
          <w:rFonts w:ascii="Arial" w:hAnsi="Arial" w:cs="Arial"/>
          <w:sz w:val="20"/>
          <w:lang w:eastAsia="ja-JP"/>
        </w:rPr>
        <w:t>) mutation using PCR. The PCR was performed using a primer pair (</w:t>
      </w:r>
      <w:proofErr w:type="spellStart"/>
      <w:r w:rsidRPr="00E55064">
        <w:rPr>
          <w:rFonts w:ascii="Arial" w:hAnsi="Arial" w:cs="Arial"/>
          <w:sz w:val="20"/>
          <w:lang w:eastAsia="ja-JP"/>
        </w:rPr>
        <w:t>Fm_FD</w:t>
      </w:r>
      <w:proofErr w:type="spellEnd"/>
      <w:r w:rsidRPr="00E55064">
        <w:rPr>
          <w:rFonts w:ascii="Arial" w:hAnsi="Arial" w:cs="Arial"/>
          <w:sz w:val="20"/>
          <w:lang w:eastAsia="ja-JP"/>
        </w:rPr>
        <w:t xml:space="preserve"> and </w:t>
      </w:r>
      <w:proofErr w:type="spellStart"/>
      <w:r w:rsidRPr="00E55064">
        <w:rPr>
          <w:rFonts w:ascii="Arial" w:hAnsi="Arial" w:cs="Arial"/>
          <w:sz w:val="20"/>
          <w:lang w:eastAsia="ja-JP"/>
        </w:rPr>
        <w:t>Fm_RV</w:t>
      </w:r>
      <w:proofErr w:type="spellEnd"/>
      <w:r w:rsidRPr="00E55064">
        <w:rPr>
          <w:rFonts w:ascii="Arial" w:hAnsi="Arial" w:cs="Arial"/>
          <w:sz w:val="20"/>
          <w:lang w:eastAsia="ja-JP"/>
        </w:rPr>
        <w:t xml:space="preserve">) listed in Table S1, which was specifically designed to target an inverted duplicated region near </w:t>
      </w:r>
      <w:r w:rsidRPr="00E55064">
        <w:rPr>
          <w:rFonts w:ascii="Arial" w:hAnsi="Arial" w:cs="Arial"/>
          <w:i/>
          <w:iCs/>
          <w:sz w:val="20"/>
          <w:lang w:eastAsia="ja-JP"/>
        </w:rPr>
        <w:t>EDN3</w:t>
      </w:r>
      <w:r w:rsidRPr="00E55064">
        <w:rPr>
          <w:rFonts w:ascii="Arial" w:hAnsi="Arial" w:cs="Arial"/>
          <w:sz w:val="20"/>
          <w:lang w:eastAsia="ja-JP"/>
        </w:rPr>
        <w:t xml:space="preserve"> on chromosome 20 that is unique to the </w:t>
      </w:r>
      <w:proofErr w:type="spellStart"/>
      <w:r w:rsidRPr="00E55064">
        <w:rPr>
          <w:rFonts w:ascii="Arial" w:hAnsi="Arial" w:cs="Arial"/>
          <w:i/>
          <w:iCs/>
          <w:sz w:val="20"/>
          <w:lang w:eastAsia="ja-JP"/>
        </w:rPr>
        <w:t>Fm</w:t>
      </w:r>
      <w:proofErr w:type="spellEnd"/>
      <w:r w:rsidRPr="00E55064">
        <w:rPr>
          <w:rFonts w:ascii="Arial" w:hAnsi="Arial" w:cs="Arial"/>
          <w:sz w:val="20"/>
          <w:lang w:eastAsia="ja-JP"/>
        </w:rPr>
        <w:t xml:space="preserve"> mutation, as described by </w:t>
      </w:r>
      <w:proofErr w:type="spellStart"/>
      <w:r w:rsidRPr="00E55064">
        <w:rPr>
          <w:rFonts w:ascii="Arial" w:hAnsi="Arial" w:cs="Arial"/>
          <w:sz w:val="20"/>
          <w:lang w:eastAsia="ja-JP"/>
        </w:rPr>
        <w:t>Dorshorst</w:t>
      </w:r>
      <w:proofErr w:type="spellEnd"/>
      <w:r w:rsidRPr="00E55064">
        <w:rPr>
          <w:rFonts w:ascii="Arial" w:hAnsi="Arial" w:cs="Arial"/>
          <w:sz w:val="20"/>
          <w:lang w:eastAsia="ja-JP"/>
        </w:rPr>
        <w:t xml:space="preserve"> et al. </w:t>
      </w:r>
      <w:r w:rsidR="001D0103">
        <w:rPr>
          <w:rFonts w:ascii="Arial" w:hAnsi="Arial" w:cs="Arial"/>
          <w:sz w:val="20"/>
          <w:lang w:eastAsia="ja-JP"/>
        </w:rPr>
        <w:fldChar w:fldCharType="begin">
          <w:fldData xml:space="preserve">PEVuZE5vdGU+PENpdGU+PEF1dGhvcj5Eb3JzaG9yc3Q8L0F1dGhvcj48WWVhcj4yMDExPC9ZZWFy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</w:fldData>
        </w:fldChar>
      </w:r>
      <w:r w:rsidR="001D0103">
        <w:rPr>
          <w:rFonts w:ascii="Arial" w:hAnsi="Arial" w:cs="Arial"/>
          <w:sz w:val="20"/>
          <w:lang w:eastAsia="ja-JP"/>
        </w:rPr>
        <w:instrText xml:space="preserve"> ADDIN EN.CITE </w:instrText>
      </w:r>
      <w:r w:rsidR="001D0103">
        <w:rPr>
          <w:rFonts w:ascii="Arial" w:hAnsi="Arial" w:cs="Arial"/>
          <w:sz w:val="20"/>
          <w:lang w:eastAsia="ja-JP"/>
        </w:rPr>
        <w:fldChar w:fldCharType="begin">
          <w:fldData xml:space="preserve">PEVuZE5vdGU+PENpdGU+PEF1dGhvcj5Eb3JzaG9yc3Q8L0F1dGhvcj48WWVhcj4yMDExPC9ZZWFy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</w:fldData>
        </w:fldChar>
      </w:r>
      <w:r w:rsidR="001D0103">
        <w:rPr>
          <w:rFonts w:ascii="Arial" w:hAnsi="Arial" w:cs="Arial"/>
          <w:sz w:val="20"/>
          <w:lang w:eastAsia="ja-JP"/>
        </w:rPr>
        <w:instrText xml:space="preserve"> ADDIN EN.CITE.DATA </w:instrText>
      </w:r>
      <w:r w:rsidR="001D0103">
        <w:rPr>
          <w:rFonts w:ascii="Arial" w:hAnsi="Arial" w:cs="Arial"/>
          <w:sz w:val="20"/>
          <w:lang w:eastAsia="ja-JP"/>
        </w:rPr>
      </w:r>
      <w:r w:rsidR="001D0103">
        <w:rPr>
          <w:rFonts w:ascii="Arial" w:hAnsi="Arial" w:cs="Arial"/>
          <w:sz w:val="20"/>
          <w:lang w:eastAsia="ja-JP"/>
        </w:rPr>
        <w:fldChar w:fldCharType="end"/>
      </w:r>
      <w:r w:rsidR="001D0103">
        <w:rPr>
          <w:rFonts w:ascii="Arial" w:hAnsi="Arial" w:cs="Arial"/>
          <w:sz w:val="20"/>
          <w:lang w:eastAsia="ja-JP"/>
        </w:rPr>
      </w:r>
      <w:r w:rsidR="001D0103">
        <w:rPr>
          <w:rFonts w:ascii="Arial" w:hAnsi="Arial" w:cs="Arial"/>
          <w:sz w:val="20"/>
          <w:lang w:eastAsia="ja-JP"/>
        </w:rPr>
        <w:fldChar w:fldCharType="separate"/>
      </w:r>
      <w:r w:rsidR="001D0103">
        <w:rPr>
          <w:rFonts w:ascii="Arial" w:hAnsi="Arial" w:cs="Arial"/>
          <w:noProof/>
          <w:sz w:val="20"/>
          <w:lang w:eastAsia="ja-JP"/>
        </w:rPr>
        <w:t>[3]</w:t>
      </w:r>
      <w:r w:rsidR="001D0103">
        <w:rPr>
          <w:rFonts w:ascii="Arial" w:hAnsi="Arial" w:cs="Arial"/>
          <w:sz w:val="20"/>
          <w:lang w:eastAsia="ja-JP"/>
        </w:rPr>
        <w:fldChar w:fldCharType="end"/>
      </w:r>
      <w:r w:rsidRPr="00F64667">
        <w:rPr>
          <w:rFonts w:ascii="Arial" w:hAnsi="Arial" w:cs="Arial"/>
          <w:sz w:val="20"/>
          <w:lang w:eastAsia="ja-JP"/>
        </w:rPr>
        <w:t xml:space="preserve"> (Fig. S3A). A 588 </w:t>
      </w:r>
      <w:proofErr w:type="spellStart"/>
      <w:r w:rsidRPr="00F64667">
        <w:rPr>
          <w:rFonts w:ascii="Arial" w:hAnsi="Arial" w:cs="Arial"/>
          <w:sz w:val="20"/>
          <w:lang w:eastAsia="ja-JP"/>
        </w:rPr>
        <w:t>bp</w:t>
      </w:r>
      <w:proofErr w:type="spellEnd"/>
      <w:r w:rsidRPr="00F64667">
        <w:rPr>
          <w:rFonts w:ascii="Arial" w:hAnsi="Arial" w:cs="Arial"/>
          <w:sz w:val="20"/>
          <w:lang w:eastAsia="ja-JP"/>
        </w:rPr>
        <w:t xml:space="preserve"> </w:t>
      </w:r>
      <w:proofErr w:type="spellStart"/>
      <w:r w:rsidRPr="00F64667">
        <w:rPr>
          <w:rFonts w:ascii="Arial" w:hAnsi="Arial" w:cs="Arial"/>
          <w:i/>
          <w:iCs/>
          <w:sz w:val="20"/>
          <w:lang w:eastAsia="ja-JP"/>
        </w:rPr>
        <w:t>Fm</w:t>
      </w:r>
      <w:proofErr w:type="spellEnd"/>
      <w:r w:rsidRPr="00F64667">
        <w:rPr>
          <w:rFonts w:ascii="Arial" w:hAnsi="Arial" w:cs="Arial"/>
          <w:sz w:val="20"/>
          <w:lang w:eastAsia="ja-JP"/>
        </w:rPr>
        <w:t xml:space="preserve">-specific fragment was amplified in a 10 </w:t>
      </w:r>
      <w:proofErr w:type="spellStart"/>
      <w:r w:rsidRPr="00F64667">
        <w:rPr>
          <w:rFonts w:ascii="Arial" w:hAnsi="Arial" w:cs="Arial"/>
          <w:sz w:val="20"/>
          <w:lang w:eastAsia="ja-JP"/>
        </w:rPr>
        <w:t>μL</w:t>
      </w:r>
      <w:proofErr w:type="spellEnd"/>
      <w:r w:rsidRPr="00F64667">
        <w:rPr>
          <w:rFonts w:ascii="Arial" w:hAnsi="Arial" w:cs="Arial"/>
          <w:sz w:val="20"/>
          <w:lang w:eastAsia="ja-JP"/>
        </w:rPr>
        <w:t xml:space="preserve"> reaction volume containing 1.0 </w:t>
      </w:r>
      <w:proofErr w:type="spellStart"/>
      <w:r w:rsidRPr="00F64667">
        <w:rPr>
          <w:rFonts w:ascii="Arial" w:hAnsi="Arial" w:cs="Arial"/>
          <w:sz w:val="20"/>
          <w:lang w:eastAsia="ja-JP"/>
        </w:rPr>
        <w:t>μL</w:t>
      </w:r>
      <w:proofErr w:type="spellEnd"/>
      <w:r w:rsidRPr="00F64667">
        <w:rPr>
          <w:rFonts w:ascii="Arial" w:hAnsi="Arial" w:cs="Arial"/>
          <w:sz w:val="20"/>
          <w:lang w:eastAsia="ja-JP"/>
        </w:rPr>
        <w:t xml:space="preserve"> lysis sample, 0.01 </w:t>
      </w:r>
      <w:proofErr w:type="spellStart"/>
      <w:r w:rsidRPr="00F64667">
        <w:rPr>
          <w:rFonts w:ascii="Arial" w:hAnsi="Arial" w:cs="Arial"/>
          <w:sz w:val="20"/>
          <w:lang w:eastAsia="ja-JP"/>
        </w:rPr>
        <w:t>μM</w:t>
      </w:r>
      <w:proofErr w:type="spellEnd"/>
      <w:r w:rsidRPr="00F64667">
        <w:rPr>
          <w:rFonts w:ascii="Arial" w:hAnsi="Arial" w:cs="Arial"/>
          <w:sz w:val="20"/>
          <w:lang w:eastAsia="ja-JP"/>
        </w:rPr>
        <w:t xml:space="preserve"> of each primer, and 5 </w:t>
      </w:r>
      <w:proofErr w:type="spellStart"/>
      <w:r w:rsidRPr="00F64667">
        <w:rPr>
          <w:rFonts w:ascii="Arial" w:hAnsi="Arial" w:cs="Arial"/>
          <w:sz w:val="20"/>
          <w:lang w:eastAsia="ja-JP"/>
        </w:rPr>
        <w:t>μL</w:t>
      </w:r>
      <w:proofErr w:type="spellEnd"/>
      <w:r w:rsidRPr="00F64667">
        <w:rPr>
          <w:rFonts w:ascii="Arial" w:hAnsi="Arial" w:cs="Arial"/>
          <w:sz w:val="20"/>
          <w:lang w:eastAsia="ja-JP"/>
        </w:rPr>
        <w:t xml:space="preserve"> ES-</w:t>
      </w:r>
      <w:proofErr w:type="spellStart"/>
      <w:r w:rsidRPr="00F64667">
        <w:rPr>
          <w:rFonts w:ascii="Arial" w:hAnsi="Arial" w:cs="Arial"/>
          <w:sz w:val="20"/>
          <w:lang w:eastAsia="ja-JP"/>
        </w:rPr>
        <w:t>Taq</w:t>
      </w:r>
      <w:proofErr w:type="spellEnd"/>
      <w:r w:rsidRPr="00F64667">
        <w:rPr>
          <w:rFonts w:ascii="Arial" w:hAnsi="Arial" w:cs="Arial"/>
          <w:sz w:val="20"/>
          <w:lang w:eastAsia="ja-JP"/>
        </w:rPr>
        <w:t xml:space="preserve"> Master Mix (</w:t>
      </w:r>
      <w:proofErr w:type="spellStart"/>
      <w:r w:rsidRPr="00F64667">
        <w:rPr>
          <w:rFonts w:ascii="Arial" w:hAnsi="Arial" w:cs="Arial"/>
          <w:sz w:val="20"/>
          <w:lang w:eastAsia="ja-JP"/>
        </w:rPr>
        <w:t>Tiangen</w:t>
      </w:r>
      <w:proofErr w:type="spellEnd"/>
      <w:r w:rsidRPr="00F64667">
        <w:rPr>
          <w:rFonts w:ascii="Arial" w:hAnsi="Arial" w:cs="Arial"/>
          <w:sz w:val="20"/>
          <w:lang w:eastAsia="ja-JP"/>
        </w:rPr>
        <w:t xml:space="preserve"> Biotech).</w:t>
      </w:r>
    </w:p>
    <w:p w14:paraId="0AD22A5D" w14:textId="77777777" w:rsidR="00D5309E" w:rsidRPr="00F64667" w:rsidRDefault="00D5309E" w:rsidP="00302DEB">
      <w:pPr>
        <w:adjustRightInd w:val="0"/>
        <w:snapToGrid w:val="0"/>
        <w:spacing w:before="200"/>
        <w:rPr>
          <w:rFonts w:ascii="Arial" w:hAnsi="Arial" w:cs="Arial"/>
          <w:sz w:val="20"/>
        </w:rPr>
      </w:pPr>
      <w:r w:rsidRPr="00F64667">
        <w:rPr>
          <w:rFonts w:ascii="Arial" w:hAnsi="Arial" w:cs="Arial"/>
          <w:b/>
          <w:bCs/>
          <w:sz w:val="20"/>
        </w:rPr>
        <w:t>Progeny testing</w:t>
      </w:r>
      <w:r>
        <w:rPr>
          <w:rFonts w:ascii="Arial" w:hAnsi="Arial" w:cs="Arial"/>
          <w:b/>
          <w:bCs/>
          <w:sz w:val="20"/>
        </w:rPr>
        <w:t xml:space="preserve">. </w:t>
      </w:r>
      <w:r w:rsidRPr="00F64667">
        <w:rPr>
          <w:rFonts w:ascii="Arial" w:hAnsi="Arial" w:cs="Arial"/>
          <w:sz w:val="20"/>
        </w:rPr>
        <w:t xml:space="preserve">Two progeny tests, Progeny Test I using male recipients and Progeny Test II using recipients of both sexes, were performed (Fig. S1A and S2). In Progeny Test I, we performed mating between each male recipient and WT hens to assess whether male recipients that tested positive for </w:t>
      </w:r>
      <w:proofErr w:type="spellStart"/>
      <w:r w:rsidRPr="00F64667">
        <w:rPr>
          <w:rFonts w:ascii="Arial" w:hAnsi="Arial" w:cs="Arial"/>
          <w:i/>
          <w:iCs/>
          <w:sz w:val="20"/>
        </w:rPr>
        <w:t>Fm</w:t>
      </w:r>
      <w:proofErr w:type="spellEnd"/>
      <w:r w:rsidRPr="00F64667">
        <w:rPr>
          <w:rFonts w:ascii="Arial" w:hAnsi="Arial" w:cs="Arial"/>
          <w:sz w:val="20"/>
        </w:rPr>
        <w:t xml:space="preserve"> in sperm could actually produce offspring derived from donor PGCs (Fig. S1A). In Progeny Test II, we mated two recipient males with high efficiency in producing donor-derived offspring with six recipient females to regenerate the original PGC-derived </w:t>
      </w:r>
      <w:proofErr w:type="spellStart"/>
      <w:r w:rsidRPr="00F64667">
        <w:rPr>
          <w:rFonts w:ascii="Arial" w:hAnsi="Arial" w:cs="Arial"/>
          <w:sz w:val="20"/>
        </w:rPr>
        <w:t>Piao</w:t>
      </w:r>
      <w:proofErr w:type="spellEnd"/>
      <w:r w:rsidRPr="00F64667">
        <w:rPr>
          <w:rFonts w:ascii="Arial" w:hAnsi="Arial" w:cs="Arial"/>
          <w:sz w:val="20"/>
        </w:rPr>
        <w:t xml:space="preserve"> chickens (Fig. S1A and S2).</w:t>
      </w:r>
    </w:p>
    <w:p w14:paraId="3BAFE3C3" w14:textId="77777777" w:rsidR="00D5309E" w:rsidRPr="00F64667" w:rsidRDefault="00D5309E" w:rsidP="00302DEB">
      <w:pPr>
        <w:adjustRightInd w:val="0"/>
        <w:snapToGrid w:val="0"/>
        <w:ind w:firstLineChars="100" w:firstLine="200"/>
        <w:rPr>
          <w:rFonts w:ascii="Arial" w:hAnsi="Arial" w:cs="Arial"/>
          <w:sz w:val="20"/>
        </w:rPr>
      </w:pPr>
      <w:r w:rsidRPr="00F64667">
        <w:rPr>
          <w:rFonts w:ascii="Arial" w:hAnsi="Arial" w:cs="Arial"/>
          <w:sz w:val="20"/>
        </w:rPr>
        <w:t xml:space="preserve">In both progeny tests, we distinguished donor PGC-derived chicks from recipient-derived chicks by phenotypic observations (Table S6). Because both donor </w:t>
      </w:r>
      <w:proofErr w:type="spellStart"/>
      <w:r w:rsidRPr="00F64667">
        <w:rPr>
          <w:rFonts w:ascii="Arial" w:hAnsi="Arial" w:cs="Arial"/>
          <w:sz w:val="20"/>
        </w:rPr>
        <w:t>Piao</w:t>
      </w:r>
      <w:proofErr w:type="spellEnd"/>
      <w:r w:rsidRPr="00F64667">
        <w:rPr>
          <w:rFonts w:ascii="Arial" w:hAnsi="Arial" w:cs="Arial"/>
          <w:sz w:val="20"/>
        </w:rPr>
        <w:t xml:space="preserve"> PGCs were homozygous for the autosomal dominant </w:t>
      </w:r>
      <w:proofErr w:type="spellStart"/>
      <w:r w:rsidRPr="00F64667">
        <w:rPr>
          <w:rFonts w:ascii="Arial" w:hAnsi="Arial" w:cs="Arial"/>
          <w:sz w:val="20"/>
        </w:rPr>
        <w:t>rumplessness</w:t>
      </w:r>
      <w:proofErr w:type="spellEnd"/>
      <w:r w:rsidRPr="00F64667">
        <w:rPr>
          <w:rFonts w:ascii="Arial" w:hAnsi="Arial" w:cs="Arial"/>
          <w:sz w:val="20"/>
        </w:rPr>
        <w:t xml:space="preserve"> (</w:t>
      </w:r>
      <w:proofErr w:type="spellStart"/>
      <w:r w:rsidRPr="00F64667">
        <w:rPr>
          <w:rFonts w:ascii="Arial" w:hAnsi="Arial" w:cs="Arial"/>
          <w:i/>
          <w:iCs/>
          <w:sz w:val="20"/>
        </w:rPr>
        <w:t>Rp</w:t>
      </w:r>
      <w:proofErr w:type="spellEnd"/>
      <w:r w:rsidRPr="00F64667">
        <w:rPr>
          <w:rFonts w:ascii="Arial" w:hAnsi="Arial" w:cs="Arial"/>
          <w:sz w:val="20"/>
        </w:rPr>
        <w:t xml:space="preserve">) mutation, which is characterized by the absence of free caudal vertebrae and </w:t>
      </w:r>
      <w:proofErr w:type="spellStart"/>
      <w:r w:rsidRPr="00F64667">
        <w:rPr>
          <w:rFonts w:ascii="Arial" w:hAnsi="Arial" w:cs="Arial"/>
          <w:sz w:val="20"/>
        </w:rPr>
        <w:t>uropygial</w:t>
      </w:r>
      <w:proofErr w:type="spellEnd"/>
      <w:r w:rsidRPr="00F64667">
        <w:rPr>
          <w:rFonts w:ascii="Arial" w:hAnsi="Arial" w:cs="Arial"/>
          <w:sz w:val="20"/>
        </w:rPr>
        <w:t xml:space="preserve"> glands, the donor PGC-derived chicks lacked tails (</w:t>
      </w:r>
      <w:proofErr w:type="spellStart"/>
      <w:r w:rsidRPr="00F64667">
        <w:rPr>
          <w:rFonts w:ascii="Arial" w:hAnsi="Arial" w:cs="Arial"/>
          <w:i/>
          <w:iCs/>
          <w:sz w:val="20"/>
        </w:rPr>
        <w:t>Rp</w:t>
      </w:r>
      <w:proofErr w:type="spellEnd"/>
      <w:r w:rsidRPr="00F64667">
        <w:rPr>
          <w:rFonts w:ascii="Arial" w:hAnsi="Arial" w:cs="Arial"/>
          <w:sz w:val="20"/>
        </w:rPr>
        <w:t>/</w:t>
      </w:r>
      <w:proofErr w:type="spellStart"/>
      <w:r w:rsidRPr="00F64667">
        <w:rPr>
          <w:rFonts w:ascii="Arial" w:hAnsi="Arial" w:cs="Arial"/>
          <w:i/>
          <w:iCs/>
          <w:sz w:val="20"/>
        </w:rPr>
        <w:t>rp</w:t>
      </w:r>
      <w:proofErr w:type="spellEnd"/>
      <w:r w:rsidRPr="00F64667">
        <w:rPr>
          <w:rFonts w:ascii="Arial" w:hAnsi="Arial" w:cs="Arial"/>
          <w:i/>
          <w:iCs/>
          <w:sz w:val="20"/>
          <w:vertAlign w:val="superscript"/>
        </w:rPr>
        <w:t>+</w:t>
      </w:r>
      <w:r w:rsidRPr="00F64667">
        <w:rPr>
          <w:rFonts w:ascii="Arial" w:hAnsi="Arial" w:cs="Arial"/>
          <w:sz w:val="20"/>
        </w:rPr>
        <w:t>), whereas recipient-derived chicks had normal tails (</w:t>
      </w:r>
      <w:proofErr w:type="spellStart"/>
      <w:r w:rsidRPr="00F64667">
        <w:rPr>
          <w:rFonts w:ascii="Arial" w:hAnsi="Arial" w:cs="Arial"/>
          <w:i/>
          <w:iCs/>
          <w:sz w:val="20"/>
        </w:rPr>
        <w:t>rp</w:t>
      </w:r>
      <w:proofErr w:type="spellEnd"/>
      <w:r w:rsidRPr="00F64667">
        <w:rPr>
          <w:rFonts w:ascii="Arial" w:hAnsi="Arial" w:cs="Arial"/>
          <w:i/>
          <w:iCs/>
          <w:sz w:val="20"/>
          <w:vertAlign w:val="superscript"/>
        </w:rPr>
        <w:t>+</w:t>
      </w:r>
      <w:r w:rsidRPr="00F64667">
        <w:rPr>
          <w:rFonts w:ascii="Arial" w:hAnsi="Arial" w:cs="Arial"/>
          <w:sz w:val="20"/>
        </w:rPr>
        <w:t>/</w:t>
      </w:r>
      <w:proofErr w:type="spellStart"/>
      <w:r w:rsidRPr="00F64667">
        <w:rPr>
          <w:rFonts w:ascii="Arial" w:hAnsi="Arial" w:cs="Arial"/>
          <w:i/>
          <w:iCs/>
          <w:sz w:val="20"/>
        </w:rPr>
        <w:t>rp</w:t>
      </w:r>
      <w:proofErr w:type="spellEnd"/>
      <w:r w:rsidRPr="00F64667">
        <w:rPr>
          <w:rFonts w:ascii="Arial" w:hAnsi="Arial" w:cs="Arial"/>
          <w:i/>
          <w:iCs/>
          <w:sz w:val="20"/>
          <w:vertAlign w:val="superscript"/>
        </w:rPr>
        <w:t>+</w:t>
      </w:r>
      <w:r w:rsidRPr="00F64667">
        <w:rPr>
          <w:rFonts w:ascii="Arial" w:hAnsi="Arial" w:cs="Arial"/>
          <w:sz w:val="20"/>
        </w:rPr>
        <w:t xml:space="preserve">). In addition, </w:t>
      </w:r>
      <w:proofErr w:type="spellStart"/>
      <w:r w:rsidRPr="00F64667">
        <w:rPr>
          <w:rFonts w:ascii="Arial" w:hAnsi="Arial" w:cs="Arial"/>
          <w:sz w:val="20"/>
        </w:rPr>
        <w:t>Piao</w:t>
      </w:r>
      <w:proofErr w:type="spellEnd"/>
      <w:r w:rsidRPr="00F64667">
        <w:rPr>
          <w:rFonts w:ascii="Arial" w:hAnsi="Arial" w:cs="Arial"/>
          <w:sz w:val="20"/>
        </w:rPr>
        <w:t xml:space="preserve"> donor PGCs had black skin (</w:t>
      </w:r>
      <w:proofErr w:type="spellStart"/>
      <w:r w:rsidRPr="00F64667">
        <w:rPr>
          <w:rFonts w:ascii="Arial" w:hAnsi="Arial" w:cs="Arial"/>
          <w:i/>
          <w:iCs/>
          <w:sz w:val="20"/>
        </w:rPr>
        <w:t>Fm</w:t>
      </w:r>
      <w:proofErr w:type="spellEnd"/>
      <w:r w:rsidRPr="00F64667">
        <w:rPr>
          <w:rFonts w:ascii="Arial" w:hAnsi="Arial" w:cs="Arial"/>
          <w:sz w:val="20"/>
        </w:rPr>
        <w:t>/-) and a brown chick-down color (</w:t>
      </w:r>
      <w:proofErr w:type="spellStart"/>
      <w:r w:rsidRPr="00F64667">
        <w:rPr>
          <w:rFonts w:ascii="Arial" w:hAnsi="Arial" w:cs="Arial"/>
          <w:i/>
          <w:iCs/>
          <w:sz w:val="20"/>
        </w:rPr>
        <w:t>e</w:t>
      </w:r>
      <w:r w:rsidRPr="00F64667">
        <w:rPr>
          <w:rFonts w:ascii="Arial" w:hAnsi="Arial" w:cs="Arial"/>
          <w:i/>
          <w:iCs/>
          <w:sz w:val="20"/>
          <w:vertAlign w:val="superscript"/>
        </w:rPr>
        <w:t>b</w:t>
      </w:r>
      <w:proofErr w:type="spellEnd"/>
      <w:r w:rsidRPr="00F64667">
        <w:rPr>
          <w:rFonts w:ascii="Arial" w:hAnsi="Arial" w:cs="Arial"/>
          <w:sz w:val="20"/>
        </w:rPr>
        <w:t xml:space="preserve"> allele at the </w:t>
      </w:r>
      <w:r w:rsidRPr="00F64667">
        <w:rPr>
          <w:rFonts w:ascii="Arial" w:hAnsi="Arial" w:cs="Arial"/>
          <w:i/>
          <w:iCs/>
          <w:sz w:val="20"/>
        </w:rPr>
        <w:t>E</w:t>
      </w:r>
      <w:r w:rsidRPr="00F64667">
        <w:rPr>
          <w:rFonts w:ascii="Arial" w:hAnsi="Arial" w:cs="Arial"/>
          <w:sz w:val="20"/>
        </w:rPr>
        <w:t xml:space="preserve"> locus, </w:t>
      </w:r>
      <w:r w:rsidRPr="00F64667">
        <w:rPr>
          <w:rFonts w:ascii="Arial" w:hAnsi="Arial" w:cs="Arial"/>
          <w:i/>
          <w:iCs/>
          <w:sz w:val="20"/>
        </w:rPr>
        <w:t>MC1R</w:t>
      </w:r>
      <w:r w:rsidRPr="00F64667">
        <w:rPr>
          <w:rFonts w:ascii="Arial" w:hAnsi="Arial" w:cs="Arial"/>
          <w:sz w:val="20"/>
        </w:rPr>
        <w:t xml:space="preserve">) mutations in at least one dose. Therefore, in some cases, we also used </w:t>
      </w:r>
      <w:proofErr w:type="spellStart"/>
      <w:r w:rsidRPr="00F64667">
        <w:rPr>
          <w:rFonts w:ascii="Arial" w:hAnsi="Arial" w:cs="Arial"/>
          <w:i/>
          <w:iCs/>
          <w:sz w:val="20"/>
        </w:rPr>
        <w:t>Fm</w:t>
      </w:r>
      <w:proofErr w:type="spellEnd"/>
      <w:r w:rsidRPr="00F64667">
        <w:rPr>
          <w:rFonts w:ascii="Arial" w:hAnsi="Arial" w:cs="Arial"/>
          <w:sz w:val="20"/>
        </w:rPr>
        <w:t xml:space="preserve"> and </w:t>
      </w:r>
      <w:r w:rsidRPr="00F64667">
        <w:rPr>
          <w:rFonts w:ascii="Arial" w:hAnsi="Arial" w:cs="Arial"/>
          <w:i/>
          <w:iCs/>
          <w:sz w:val="20"/>
        </w:rPr>
        <w:t>E</w:t>
      </w:r>
      <w:r w:rsidRPr="00F64667">
        <w:rPr>
          <w:rFonts w:ascii="Arial" w:hAnsi="Arial" w:cs="Arial"/>
          <w:sz w:val="20"/>
        </w:rPr>
        <w:t xml:space="preserve"> mutations as phenotypic markers to identify donor PGC-derived chicks.</w:t>
      </w:r>
    </w:p>
    <w:p w14:paraId="65C18F99" w14:textId="4C745139" w:rsidR="00D5309E" w:rsidRDefault="00D5309E" w:rsidP="00302DEB">
      <w:pPr>
        <w:adjustRightInd w:val="0"/>
        <w:snapToGrid w:val="0"/>
        <w:ind w:firstLineChars="100" w:firstLine="200"/>
        <w:rPr>
          <w:rFonts w:ascii="Arial" w:hAnsi="Arial" w:cs="Arial"/>
          <w:sz w:val="20"/>
        </w:rPr>
      </w:pPr>
      <w:r w:rsidRPr="00F64667">
        <w:rPr>
          <w:rFonts w:ascii="Arial" w:hAnsi="Arial" w:cs="Arial"/>
          <w:sz w:val="20"/>
        </w:rPr>
        <w:t xml:space="preserve">In Progeny Test II, because the donor PGC-derived chicks identified by phenotypic observation were expected to be a mixture of three groups (male PGC-derived, female PGC-derived, and both PGC-derived chicks), we further classified them using Sanger sequencing and PCR genotyping with mitochondrial DNA and genomic DNA. First, we categorized the three groups into two groups, male PGC-derived chicks and female or both PGC-derived chicks, based on the sequence haplotypes of the D-loop region (1370 </w:t>
      </w:r>
      <w:proofErr w:type="spellStart"/>
      <w:r w:rsidRPr="00F64667">
        <w:rPr>
          <w:rFonts w:ascii="Arial" w:hAnsi="Arial" w:cs="Arial"/>
          <w:sz w:val="20"/>
        </w:rPr>
        <w:t>bp</w:t>
      </w:r>
      <w:proofErr w:type="spellEnd"/>
      <w:r w:rsidRPr="00F64667">
        <w:rPr>
          <w:rFonts w:ascii="Arial" w:hAnsi="Arial" w:cs="Arial"/>
          <w:sz w:val="20"/>
        </w:rPr>
        <w:t>) in mitochondrial DNA (</w:t>
      </w:r>
      <w:proofErr w:type="spellStart"/>
      <w:r w:rsidRPr="00F64667">
        <w:rPr>
          <w:rFonts w:ascii="Arial" w:hAnsi="Arial" w:cs="Arial"/>
          <w:sz w:val="20"/>
        </w:rPr>
        <w:t>mtDNA</w:t>
      </w:r>
      <w:proofErr w:type="spellEnd"/>
      <w:r w:rsidRPr="00F64667">
        <w:rPr>
          <w:rFonts w:ascii="Arial" w:hAnsi="Arial" w:cs="Arial"/>
          <w:sz w:val="20"/>
        </w:rPr>
        <w:t xml:space="preserve">) (Table S1). Subsequently, chicks from the female or both donor PGCs were further classified by Sanger sequencing of markers strongly associated with the </w:t>
      </w:r>
      <w:proofErr w:type="spellStart"/>
      <w:r w:rsidRPr="00F64667">
        <w:rPr>
          <w:rFonts w:ascii="Arial" w:hAnsi="Arial" w:cs="Arial"/>
          <w:i/>
          <w:iCs/>
          <w:sz w:val="20"/>
        </w:rPr>
        <w:t>Rp</w:t>
      </w:r>
      <w:proofErr w:type="spellEnd"/>
      <w:r w:rsidRPr="00F64667">
        <w:rPr>
          <w:rFonts w:ascii="Arial" w:hAnsi="Arial" w:cs="Arial"/>
          <w:sz w:val="20"/>
        </w:rPr>
        <w:t xml:space="preserve"> mutation and genotyping of the </w:t>
      </w:r>
      <w:proofErr w:type="spellStart"/>
      <w:r w:rsidRPr="00F64667">
        <w:rPr>
          <w:rFonts w:ascii="Arial" w:hAnsi="Arial" w:cs="Arial"/>
          <w:i/>
          <w:iCs/>
          <w:sz w:val="20"/>
        </w:rPr>
        <w:t>Rp</w:t>
      </w:r>
      <w:proofErr w:type="spellEnd"/>
      <w:r w:rsidRPr="00F64667">
        <w:rPr>
          <w:rFonts w:ascii="Arial" w:hAnsi="Arial" w:cs="Arial"/>
          <w:sz w:val="20"/>
        </w:rPr>
        <w:t xml:space="preserve"> causative mutation. Initially, since the causative mutation of </w:t>
      </w:r>
      <w:proofErr w:type="spellStart"/>
      <w:r w:rsidRPr="00F64667">
        <w:rPr>
          <w:rFonts w:ascii="Arial" w:hAnsi="Arial" w:cs="Arial"/>
          <w:i/>
          <w:iCs/>
          <w:sz w:val="20"/>
        </w:rPr>
        <w:t>Rp</w:t>
      </w:r>
      <w:proofErr w:type="spellEnd"/>
      <w:r w:rsidRPr="00F64667">
        <w:rPr>
          <w:rFonts w:ascii="Arial" w:hAnsi="Arial" w:cs="Arial"/>
          <w:sz w:val="20"/>
        </w:rPr>
        <w:t xml:space="preserve"> had not been identified, we used a sequencing marker (RpSQ5: 863 </w:t>
      </w:r>
      <w:proofErr w:type="spellStart"/>
      <w:r w:rsidRPr="00F64667">
        <w:rPr>
          <w:rFonts w:ascii="Arial" w:hAnsi="Arial" w:cs="Arial"/>
          <w:sz w:val="20"/>
        </w:rPr>
        <w:t>bp</w:t>
      </w:r>
      <w:proofErr w:type="spellEnd"/>
      <w:r w:rsidRPr="00F64667">
        <w:rPr>
          <w:rFonts w:ascii="Arial" w:hAnsi="Arial" w:cs="Arial"/>
          <w:sz w:val="20"/>
        </w:rPr>
        <w:t xml:space="preserve">) that could discriminate between donor and recipient genotypes from three linkage markers designed within the </w:t>
      </w:r>
      <w:proofErr w:type="spellStart"/>
      <w:r w:rsidRPr="00F64667">
        <w:rPr>
          <w:rFonts w:ascii="Arial" w:hAnsi="Arial" w:cs="Arial"/>
          <w:i/>
          <w:iCs/>
          <w:sz w:val="20"/>
        </w:rPr>
        <w:t>Rp</w:t>
      </w:r>
      <w:proofErr w:type="spellEnd"/>
      <w:r w:rsidRPr="00F64667">
        <w:rPr>
          <w:rFonts w:ascii="Arial" w:hAnsi="Arial" w:cs="Arial"/>
          <w:sz w:val="20"/>
        </w:rPr>
        <w:t xml:space="preserve"> candidate region located between the </w:t>
      </w:r>
      <w:r w:rsidRPr="00F64667">
        <w:rPr>
          <w:rFonts w:ascii="Arial" w:hAnsi="Arial" w:cs="Arial"/>
          <w:i/>
          <w:iCs/>
          <w:sz w:val="20"/>
        </w:rPr>
        <w:t>IRX1</w:t>
      </w:r>
      <w:r w:rsidRPr="00F64667">
        <w:rPr>
          <w:rFonts w:ascii="Arial" w:hAnsi="Arial" w:cs="Arial"/>
          <w:sz w:val="20"/>
        </w:rPr>
        <w:t xml:space="preserve"> and </w:t>
      </w:r>
      <w:r w:rsidRPr="00F64667">
        <w:rPr>
          <w:rFonts w:ascii="Arial" w:hAnsi="Arial" w:cs="Arial"/>
          <w:i/>
          <w:iCs/>
          <w:sz w:val="20"/>
        </w:rPr>
        <w:t>IRX2</w:t>
      </w:r>
      <w:r w:rsidRPr="00F64667">
        <w:rPr>
          <w:rFonts w:ascii="Arial" w:hAnsi="Arial" w:cs="Arial"/>
          <w:sz w:val="20"/>
        </w:rPr>
        <w:t xml:space="preserve"> genes on chromosome 2 reported by </w:t>
      </w:r>
      <w:proofErr w:type="spellStart"/>
      <w:r w:rsidRPr="00F64667">
        <w:rPr>
          <w:rFonts w:ascii="Arial" w:hAnsi="Arial" w:cs="Arial"/>
          <w:sz w:val="20"/>
        </w:rPr>
        <w:t>Freese</w:t>
      </w:r>
      <w:proofErr w:type="spellEnd"/>
      <w:r w:rsidRPr="00F64667">
        <w:rPr>
          <w:rFonts w:ascii="Arial" w:hAnsi="Arial" w:cs="Arial"/>
          <w:sz w:val="20"/>
        </w:rPr>
        <w:t xml:space="preserve"> et al. </w:t>
      </w:r>
      <w:r w:rsidR="001D0103">
        <w:rPr>
          <w:rFonts w:ascii="Arial" w:hAnsi="Arial" w:cs="Arial"/>
          <w:sz w:val="20"/>
        </w:rPr>
        <w:fldChar w:fldCharType="begin"/>
      </w:r>
      <w:r w:rsidR="001D0103">
        <w:rPr>
          <w:rFonts w:ascii="Arial" w:hAnsi="Arial" w:cs="Arial"/>
          <w:sz w:val="20"/>
        </w:rPr>
        <w:instrText xml:space="preserve"> ADDIN EN.CITE &lt;EndNote&gt;&lt;Cite&gt;&lt;Author&gt;Freese&lt;/Author&gt;&lt;Year&gt;2014&lt;/Year&gt;&lt;RecNum&gt;57&lt;/RecNum&gt;&lt;DisplayText&gt;[4]&lt;/DisplayText&gt;&lt;record&gt;&lt;rec-number&gt;57&lt;/rec-number&gt;&lt;foreign-keys&gt;&lt;key app="EN" db-id="vzsw2ede7drffje50ztxx99kpp22etdxrz0e" timestamp="1704502232"&gt;57&lt;/key&gt;&lt;/foreign-keys&gt;&lt;ref-type name="Journal Article"&gt;17&lt;/ref-type&gt;&lt;contributors&gt;&lt;authors&gt;&lt;author&gt;Freese, N. H.&lt;/author&gt;&lt;author&gt;Lam, B. A.&lt;/author&gt;&lt;author&gt;Staton, M.&lt;/author&gt;&lt;author&gt;Scott, A.&lt;/author&gt;&lt;author&gt;Chapman, S. C.&lt;/author&gt;&lt;/authors&gt;&lt;/contributors&gt;&lt;auth-address&gt;Department of Biological Sciences, Clemson University, Clemson, South Carolina, United States of America.&amp;#xD;Department of Entomology and Plant Pathology, University of Tennessee, Knoxville, Tennessee, United States of America.&lt;/auth-address&gt;&lt;titles&gt;&lt;title&gt;A novel gain-of-function mutation of the proneural IRX1 and IRX2 genes disrupts axis elongation in the Araucana rumpless chicken&lt;/title&gt;&lt;secondary-title&gt;PLoS One&lt;/secondary-title&gt;&lt;/titles&gt;&lt;periodical&gt;&lt;full-title&gt;PLoS One&lt;/full-title&gt;&lt;/periodical&gt;&lt;pages&gt;e112364&lt;/pages&gt;&lt;volume&gt;9&lt;/volume&gt;&lt;number&gt;11&lt;/number&gt;&lt;edition&gt;2014/11/06&lt;/edition&gt;&lt;keywords&gt;&lt;keyword&gt;Animals&lt;/keyword&gt;&lt;keyword&gt;*Avian Proteins/biosynthesis/genetics&lt;/keyword&gt;&lt;keyword&gt;Body Patterning/genetics&lt;/keyword&gt;&lt;keyword&gt;Chick Embryo&lt;/keyword&gt;&lt;keyword&gt;*Chickens&lt;/keyword&gt;&lt;keyword&gt;*Gene Expression Regulation, Developmental&lt;/keyword&gt;&lt;keyword&gt;Mesoderm/embryology&lt;/keyword&gt;&lt;keyword&gt;*Mutation&lt;/keyword&gt;&lt;keyword&gt;*Nerve Tissue Proteins/biosynthesis/genetics&lt;/keyword&gt;&lt;keyword&gt;Polymorphism, Single Nucleotide&lt;/keyword&gt;&lt;keyword&gt;*Transcription Factors/biosynthesis/genetics&lt;/keyword&gt;&lt;/keywords&gt;&lt;dates&gt;&lt;year&gt;2014&lt;/year&gt;&lt;/dates&gt;&lt;isbn&gt;1932-6203&lt;/isbn&gt;&lt;accession-num&gt;25372603&lt;/accession-num&gt;&lt;urls&gt;&lt;/urls&gt;&lt;custom2&gt;PMC4221472&lt;/custom2&gt;&lt;electronic-resource-num&gt;10.1371/journal.pone.0112364&lt;/electronic-resource-num&gt;&lt;remote-database-provider&gt;NLM&lt;/remote-database-provider&gt;&lt;language&gt;eng&lt;/language&gt;&lt;/record&gt;&lt;/Cite&gt;&lt;/EndNote&gt;</w:instrText>
      </w:r>
      <w:r w:rsidR="001D0103">
        <w:rPr>
          <w:rFonts w:ascii="Arial" w:hAnsi="Arial" w:cs="Arial"/>
          <w:sz w:val="20"/>
        </w:rPr>
        <w:fldChar w:fldCharType="separate"/>
      </w:r>
      <w:r w:rsidR="001D0103">
        <w:rPr>
          <w:rFonts w:ascii="Arial" w:hAnsi="Arial" w:cs="Arial"/>
          <w:noProof/>
          <w:sz w:val="20"/>
        </w:rPr>
        <w:t>[4]</w:t>
      </w:r>
      <w:r w:rsidR="001D0103">
        <w:rPr>
          <w:rFonts w:ascii="Arial" w:hAnsi="Arial" w:cs="Arial"/>
          <w:sz w:val="20"/>
        </w:rPr>
        <w:fldChar w:fldCharType="end"/>
      </w:r>
      <w:r w:rsidRPr="00F64667">
        <w:rPr>
          <w:rFonts w:ascii="Arial" w:hAnsi="Arial" w:cs="Arial"/>
          <w:sz w:val="20"/>
        </w:rPr>
        <w:t xml:space="preserve">. Since the causative mutation of </w:t>
      </w:r>
      <w:proofErr w:type="spellStart"/>
      <w:r w:rsidRPr="00F64667">
        <w:rPr>
          <w:rFonts w:ascii="Arial" w:hAnsi="Arial" w:cs="Arial"/>
          <w:i/>
          <w:iCs/>
          <w:sz w:val="20"/>
        </w:rPr>
        <w:t>Rp</w:t>
      </w:r>
      <w:proofErr w:type="spellEnd"/>
      <w:r w:rsidRPr="00F64667">
        <w:rPr>
          <w:rFonts w:ascii="Arial" w:hAnsi="Arial" w:cs="Arial"/>
          <w:sz w:val="20"/>
        </w:rPr>
        <w:t xml:space="preserve"> in </w:t>
      </w:r>
      <w:proofErr w:type="spellStart"/>
      <w:r w:rsidRPr="00F64667">
        <w:rPr>
          <w:rFonts w:ascii="Arial" w:hAnsi="Arial" w:cs="Arial"/>
          <w:sz w:val="20"/>
        </w:rPr>
        <w:t>Piao</w:t>
      </w:r>
      <w:proofErr w:type="spellEnd"/>
      <w:r w:rsidRPr="00F64667">
        <w:rPr>
          <w:rFonts w:ascii="Arial" w:hAnsi="Arial" w:cs="Arial"/>
          <w:sz w:val="20"/>
        </w:rPr>
        <w:t xml:space="preserve"> chickens was later identified as a 4.1 kb deletion located upstream of the </w:t>
      </w:r>
      <w:r w:rsidRPr="00F64667">
        <w:rPr>
          <w:rFonts w:ascii="Arial" w:hAnsi="Arial" w:cs="Arial"/>
          <w:i/>
          <w:iCs/>
          <w:sz w:val="20"/>
        </w:rPr>
        <w:t>IRX1</w:t>
      </w:r>
      <w:r w:rsidRPr="00F64667">
        <w:rPr>
          <w:rFonts w:ascii="Arial" w:hAnsi="Arial" w:cs="Arial"/>
          <w:sz w:val="20"/>
        </w:rPr>
        <w:t xml:space="preserve"> gene by Zhang et al. </w:t>
      </w:r>
      <w:r w:rsidR="001D0103">
        <w:rPr>
          <w:rFonts w:ascii="Arial" w:hAnsi="Arial" w:cs="Arial"/>
          <w:sz w:val="20"/>
        </w:rPr>
        <w:fldChar w:fldCharType="begin">
          <w:fldData xml:space="preserve">PEVuZE5vdGU+PENpdGU+PEF1dGhvcj5aaGFuZzwvQXV0aG9yPjxZZWFyPjIwMjI8L1llYXI+PFJl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</w:fldData>
        </w:fldChar>
      </w:r>
      <w:r w:rsidR="001D0103">
        <w:rPr>
          <w:rFonts w:ascii="Arial" w:hAnsi="Arial" w:cs="Arial"/>
          <w:sz w:val="20"/>
        </w:rPr>
        <w:instrText xml:space="preserve"> ADDIN EN.CITE </w:instrText>
      </w:r>
      <w:r w:rsidR="001D0103">
        <w:rPr>
          <w:rFonts w:ascii="Arial" w:hAnsi="Arial" w:cs="Arial"/>
          <w:sz w:val="20"/>
        </w:rPr>
        <w:fldChar w:fldCharType="begin">
          <w:fldData xml:space="preserve">PEVuZE5vdGU+PENpdGU+PEF1dGhvcj5aaGFuZzwvQXV0aG9yPjxZZWFyPjIwMjI8L1llYXI+PFJl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</w:fldData>
        </w:fldChar>
      </w:r>
      <w:r w:rsidR="001D0103">
        <w:rPr>
          <w:rFonts w:ascii="Arial" w:hAnsi="Arial" w:cs="Arial"/>
          <w:sz w:val="20"/>
        </w:rPr>
        <w:instrText xml:space="preserve"> ADDIN EN.CITE.DATA </w:instrText>
      </w:r>
      <w:r w:rsidR="001D0103">
        <w:rPr>
          <w:rFonts w:ascii="Arial" w:hAnsi="Arial" w:cs="Arial"/>
          <w:sz w:val="20"/>
        </w:rPr>
      </w:r>
      <w:r w:rsidR="001D0103">
        <w:rPr>
          <w:rFonts w:ascii="Arial" w:hAnsi="Arial" w:cs="Arial"/>
          <w:sz w:val="20"/>
        </w:rPr>
        <w:fldChar w:fldCharType="end"/>
      </w:r>
      <w:r w:rsidR="001D0103">
        <w:rPr>
          <w:rFonts w:ascii="Arial" w:hAnsi="Arial" w:cs="Arial"/>
          <w:sz w:val="20"/>
        </w:rPr>
      </w:r>
      <w:r w:rsidR="001D0103">
        <w:rPr>
          <w:rFonts w:ascii="Arial" w:hAnsi="Arial" w:cs="Arial"/>
          <w:sz w:val="20"/>
        </w:rPr>
        <w:fldChar w:fldCharType="separate"/>
      </w:r>
      <w:r w:rsidR="001D0103">
        <w:rPr>
          <w:rFonts w:ascii="Arial" w:hAnsi="Arial" w:cs="Arial"/>
          <w:noProof/>
          <w:sz w:val="20"/>
        </w:rPr>
        <w:t>[5]</w:t>
      </w:r>
      <w:r w:rsidR="001D0103">
        <w:rPr>
          <w:rFonts w:ascii="Arial" w:hAnsi="Arial" w:cs="Arial"/>
          <w:sz w:val="20"/>
        </w:rPr>
        <w:fldChar w:fldCharType="end"/>
      </w:r>
      <w:r w:rsidRPr="00F64667">
        <w:rPr>
          <w:rFonts w:ascii="Arial" w:hAnsi="Arial" w:cs="Arial"/>
          <w:sz w:val="20"/>
        </w:rPr>
        <w:t>, we genotyped the donor-derived chicks with newly designed PCR-based genotyping markers based on this information. The primers used for PCR amplification/sequencing are listed in Table S1.</w:t>
      </w:r>
    </w:p>
    <w:p w14:paraId="00642A2B" w14:textId="6B0FFA9D" w:rsidR="00AA7D8C" w:rsidRDefault="00AA7D8C" w:rsidP="00302DEB">
      <w:pPr>
        <w:adjustRightInd w:val="0"/>
        <w:snapToGrid w:val="0"/>
        <w:spacing w:before="200" w:after="60"/>
        <w:rPr>
          <w:rFonts w:ascii="Arial" w:eastAsia="MS Mincho" w:hAnsi="Arial" w:cs="Arial"/>
          <w:sz w:val="20"/>
          <w:lang w:eastAsia="ja-JP"/>
        </w:rPr>
      </w:pPr>
      <w:r w:rsidRPr="00F64667">
        <w:rPr>
          <w:rFonts w:ascii="Arial" w:hAnsi="Arial" w:cs="Arial"/>
          <w:b/>
          <w:bCs/>
          <w:sz w:val="20"/>
        </w:rPr>
        <w:t>Transplantation</w:t>
      </w:r>
      <w:r w:rsidRPr="00F64667">
        <w:rPr>
          <w:rFonts w:ascii="Arial" w:eastAsia="MS Mincho" w:hAnsi="Arial" w:cs="Arial"/>
          <w:b/>
          <w:bCs/>
          <w:sz w:val="20"/>
          <w:lang w:eastAsia="ja-JP"/>
        </w:rPr>
        <w:t xml:space="preserve"> of TYRP1-KO PGCs into recipients</w:t>
      </w:r>
      <w:r>
        <w:rPr>
          <w:rFonts w:ascii="Arial" w:eastAsia="MS Mincho" w:hAnsi="Arial" w:cs="Arial"/>
          <w:b/>
          <w:bCs/>
          <w:sz w:val="20"/>
          <w:lang w:eastAsia="ja-JP"/>
        </w:rPr>
        <w:t xml:space="preserve">. </w:t>
      </w:r>
      <w:r w:rsidRPr="00F64667">
        <w:rPr>
          <w:rFonts w:ascii="Arial" w:eastAsia="MS Mincho" w:hAnsi="Arial" w:cs="Arial"/>
          <w:sz w:val="20"/>
          <w:lang w:eastAsia="ja-JP"/>
        </w:rPr>
        <w:t>A total of 3,500</w:t>
      </w:r>
      <w:r w:rsidRPr="00F64667">
        <w:rPr>
          <w:rFonts w:ascii="Arial" w:hAnsi="Arial" w:cs="Arial"/>
          <w:sz w:val="20"/>
          <w:lang w:eastAsia="ja-JP"/>
        </w:rPr>
        <w:t>–</w:t>
      </w:r>
      <w:r w:rsidRPr="00F64667">
        <w:rPr>
          <w:rFonts w:ascii="Arial" w:eastAsia="MS Mincho" w:hAnsi="Arial" w:cs="Arial"/>
          <w:sz w:val="20"/>
          <w:lang w:eastAsia="ja-JP"/>
        </w:rPr>
        <w:t xml:space="preserve">5,000 </w:t>
      </w:r>
      <w:r w:rsidRPr="00F64667">
        <w:rPr>
          <w:rFonts w:ascii="Arial" w:eastAsia="MS Mincho" w:hAnsi="Arial" w:cs="Arial"/>
          <w:i/>
          <w:iCs/>
          <w:sz w:val="20"/>
          <w:lang w:eastAsia="ja-JP"/>
        </w:rPr>
        <w:t>TYRP1</w:t>
      </w:r>
      <w:r w:rsidRPr="00F64667">
        <w:rPr>
          <w:rFonts w:ascii="Arial" w:eastAsia="MS Mincho" w:hAnsi="Arial" w:cs="Arial"/>
          <w:sz w:val="20"/>
          <w:lang w:eastAsia="ja-JP"/>
        </w:rPr>
        <w:t>-KO PGC cells were microinjected into the dorsal aorta of HH13</w:t>
      </w:r>
      <w:r w:rsidRPr="00F64667">
        <w:rPr>
          <w:rFonts w:ascii="Arial" w:hAnsi="Arial" w:cs="Arial"/>
          <w:sz w:val="20"/>
          <w:lang w:eastAsia="ja-JP"/>
        </w:rPr>
        <w:t>–1</w:t>
      </w:r>
      <w:r w:rsidRPr="00F64667">
        <w:rPr>
          <w:rFonts w:ascii="Arial" w:eastAsia="MS Mincho" w:hAnsi="Arial" w:cs="Arial"/>
          <w:sz w:val="20"/>
          <w:lang w:eastAsia="ja-JP"/>
        </w:rPr>
        <w:t xml:space="preserve">6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(YAU) recipient embryos using the protocol described above. These recipient embryos were then transferred to the System III shell of surrogate eggshell culture systems and incubated at 37.8 °C until hatching.</w:t>
      </w:r>
    </w:p>
    <w:p w14:paraId="18ABE0A4" w14:textId="77777777" w:rsidR="00AA7D8C" w:rsidRPr="00F64667" w:rsidRDefault="00AA7D8C" w:rsidP="00302DEB">
      <w:pPr>
        <w:adjustRightInd w:val="0"/>
        <w:snapToGrid w:val="0"/>
        <w:spacing w:before="200" w:after="60"/>
        <w:rPr>
          <w:rFonts w:ascii="Arial" w:eastAsia="MS Mincho" w:hAnsi="Arial" w:cs="Arial"/>
          <w:sz w:val="20"/>
          <w:lang w:eastAsia="ja-JP"/>
        </w:rPr>
      </w:pPr>
      <w:r w:rsidRPr="00F64667">
        <w:rPr>
          <w:rFonts w:ascii="Arial" w:eastAsia="MS Mincho" w:hAnsi="Arial" w:cs="Arial"/>
          <w:b/>
          <w:bCs/>
          <w:sz w:val="20"/>
          <w:lang w:eastAsia="ja-JP"/>
        </w:rPr>
        <w:t xml:space="preserve">Progeny </w:t>
      </w:r>
      <w:r w:rsidRPr="00F64667">
        <w:rPr>
          <w:rFonts w:ascii="Arial" w:hAnsi="Arial" w:cs="Arial"/>
          <w:b/>
          <w:bCs/>
          <w:sz w:val="20"/>
        </w:rPr>
        <w:t>testing</w:t>
      </w:r>
      <w:r w:rsidRPr="00F64667">
        <w:rPr>
          <w:rFonts w:ascii="Arial" w:eastAsia="MS Mincho" w:hAnsi="Arial" w:cs="Arial"/>
          <w:b/>
          <w:bCs/>
          <w:sz w:val="20"/>
          <w:lang w:eastAsia="ja-JP"/>
        </w:rPr>
        <w:t xml:space="preserve"> and screening of </w:t>
      </w:r>
      <w:r w:rsidRPr="00F64667">
        <w:rPr>
          <w:rFonts w:ascii="Arial" w:eastAsia="MS Mincho" w:hAnsi="Arial" w:cs="Arial"/>
          <w:b/>
          <w:bCs/>
          <w:i/>
          <w:iCs/>
          <w:sz w:val="20"/>
          <w:lang w:eastAsia="ja-JP"/>
        </w:rPr>
        <w:t xml:space="preserve">TYRP1 </w:t>
      </w:r>
      <w:r w:rsidRPr="00F64667">
        <w:rPr>
          <w:rFonts w:ascii="Arial" w:eastAsia="MS Mincho" w:hAnsi="Arial" w:cs="Arial"/>
          <w:b/>
          <w:bCs/>
          <w:sz w:val="20"/>
          <w:lang w:eastAsia="ja-JP"/>
        </w:rPr>
        <w:t>KO chickens</w:t>
      </w:r>
      <w:r>
        <w:rPr>
          <w:rFonts w:ascii="Arial" w:eastAsia="MS Mincho" w:hAnsi="Arial" w:cs="Arial"/>
          <w:b/>
          <w:bCs/>
          <w:sz w:val="20"/>
          <w:lang w:eastAsia="ja-JP"/>
        </w:rPr>
        <w:t xml:space="preserve">. </w:t>
      </w:r>
      <w:r w:rsidRPr="00F64667">
        <w:rPr>
          <w:rFonts w:ascii="Arial" w:eastAsia="MS Mincho" w:hAnsi="Arial" w:cs="Arial"/>
          <w:sz w:val="20"/>
          <w:lang w:eastAsia="ja-JP"/>
        </w:rPr>
        <w:t xml:space="preserve">Hatched recipient chicks that were transplanted with a donor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 KO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PGC line (#CA10-</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-KO) were reared to sexual maturity. The putative germline chimeric males were then mated with wild-type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w:t>
      </w:r>
      <w:r w:rsidRPr="00F64667">
        <w:rPr>
          <w:rFonts w:ascii="Arial" w:eastAsia="MS Mincho" w:hAnsi="Arial" w:cs="Arial"/>
          <w:sz w:val="20"/>
          <w:lang w:eastAsia="ja-JP"/>
        </w:rPr>
        <w:lastRenderedPageBreak/>
        <w:t>(YAU) hens. The differentiation between chicks derived from donor KO PGCs and those from recipients was based on their phenotypic characteristics. Specifically, the recipient PCM males were homozygous for the polydactyly (</w:t>
      </w:r>
      <w:r w:rsidRPr="00F64667">
        <w:rPr>
          <w:rFonts w:ascii="Arial" w:eastAsia="MS Mincho" w:hAnsi="Arial" w:cs="Arial"/>
          <w:i/>
          <w:iCs/>
          <w:sz w:val="20"/>
          <w:lang w:eastAsia="ja-JP"/>
        </w:rPr>
        <w:t>Po</w:t>
      </w:r>
      <w:r w:rsidRPr="00F64667">
        <w:rPr>
          <w:rFonts w:ascii="Arial" w:eastAsia="MS Mincho" w:hAnsi="Arial" w:cs="Arial"/>
          <w:sz w:val="20"/>
          <w:lang w:eastAsia="ja-JP"/>
        </w:rPr>
        <w:t xml:space="preserve">) mutation, resulting in the formation of an extra digit on the feet. In contrast, the donor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PGCs and the mating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females were normal, without polydactyly (</w:t>
      </w:r>
      <w:proofErr w:type="spellStart"/>
      <w:r w:rsidRPr="00F64667">
        <w:rPr>
          <w:rFonts w:ascii="Arial" w:eastAsia="MS Mincho" w:hAnsi="Arial" w:cs="Arial"/>
          <w:i/>
          <w:iCs/>
          <w:sz w:val="20"/>
          <w:lang w:eastAsia="ja-JP"/>
        </w:rPr>
        <w:t>po</w:t>
      </w:r>
      <w:proofErr w:type="spellEnd"/>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w:t>
      </w:r>
      <w:proofErr w:type="spellStart"/>
      <w:r w:rsidRPr="00F64667">
        <w:rPr>
          <w:rFonts w:ascii="Arial" w:eastAsia="MS Mincho" w:hAnsi="Arial" w:cs="Arial"/>
          <w:i/>
          <w:iCs/>
          <w:sz w:val="20"/>
          <w:lang w:eastAsia="ja-JP"/>
        </w:rPr>
        <w:t>po</w:t>
      </w:r>
      <w:proofErr w:type="spellEnd"/>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 (Fig. S1B and Table S6). Consequently, chicks with normal digits (</w:t>
      </w:r>
      <w:proofErr w:type="spellStart"/>
      <w:r w:rsidRPr="00F64667">
        <w:rPr>
          <w:rFonts w:ascii="Arial" w:eastAsia="MS Mincho" w:hAnsi="Arial" w:cs="Arial"/>
          <w:i/>
          <w:iCs/>
          <w:sz w:val="20"/>
          <w:lang w:eastAsia="ja-JP"/>
        </w:rPr>
        <w:t>po</w:t>
      </w:r>
      <w:proofErr w:type="spellEnd"/>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w:t>
      </w:r>
      <w:proofErr w:type="spellStart"/>
      <w:r w:rsidRPr="00F64667">
        <w:rPr>
          <w:rFonts w:ascii="Arial" w:eastAsia="MS Mincho" w:hAnsi="Arial" w:cs="Arial"/>
          <w:i/>
          <w:iCs/>
          <w:sz w:val="20"/>
          <w:lang w:eastAsia="ja-JP"/>
        </w:rPr>
        <w:t>po</w:t>
      </w:r>
      <w:proofErr w:type="spellEnd"/>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 were expected to be the offspring of donor KO PGCs, while those with an extra digit (</w:t>
      </w:r>
      <w:r w:rsidRPr="00F64667">
        <w:rPr>
          <w:rFonts w:ascii="Arial" w:eastAsia="MS Mincho" w:hAnsi="Arial" w:cs="Arial"/>
          <w:i/>
          <w:iCs/>
          <w:sz w:val="20"/>
          <w:lang w:eastAsia="ja-JP"/>
        </w:rPr>
        <w:t>Po</w:t>
      </w:r>
      <w:r w:rsidRPr="00F64667">
        <w:rPr>
          <w:rFonts w:ascii="Arial" w:eastAsia="MS Mincho" w:hAnsi="Arial" w:cs="Arial"/>
          <w:sz w:val="20"/>
          <w:lang w:eastAsia="ja-JP"/>
        </w:rPr>
        <w:t>/</w:t>
      </w:r>
      <w:proofErr w:type="spellStart"/>
      <w:r w:rsidRPr="00F64667">
        <w:rPr>
          <w:rFonts w:ascii="Arial" w:eastAsia="MS Mincho" w:hAnsi="Arial" w:cs="Arial"/>
          <w:i/>
          <w:iCs/>
          <w:sz w:val="20"/>
          <w:lang w:eastAsia="ja-JP"/>
        </w:rPr>
        <w:t>po</w:t>
      </w:r>
      <w:proofErr w:type="spellEnd"/>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 xml:space="preserve">) were determined to be the offspring of recipient males. In addition, since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 is a sex-linked gene located on the Z chromosome, we expected that female chicks (Z</w:t>
      </w:r>
      <w:r w:rsidRPr="00F64667">
        <w:rPr>
          <w:rFonts w:ascii="Arial" w:eastAsia="MS Mincho" w:hAnsi="Arial" w:cs="Arial"/>
          <w:i/>
          <w:iCs/>
          <w:sz w:val="20"/>
          <w:vertAlign w:val="superscript"/>
          <w:lang w:eastAsia="ja-JP"/>
        </w:rPr>
        <w:t>TYRP1-</w:t>
      </w:r>
      <w:r w:rsidRPr="00F64667">
        <w:rPr>
          <w:rFonts w:ascii="Arial" w:eastAsia="MS Mincho" w:hAnsi="Arial" w:cs="Arial"/>
          <w:sz w:val="20"/>
          <w:lang w:eastAsia="ja-JP"/>
        </w:rPr>
        <w:t xml:space="preserve">/W) with the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 mutation would have reduced eumelanin in their chick-down color compared to that in wild-type chicks. In contrast, male chicks (Z</w:t>
      </w:r>
      <w:r w:rsidRPr="00F64667">
        <w:rPr>
          <w:rFonts w:ascii="Arial" w:eastAsia="MS Mincho" w:hAnsi="Arial" w:cs="Arial"/>
          <w:sz w:val="20"/>
          <w:vertAlign w:val="superscript"/>
          <w:lang w:eastAsia="ja-JP"/>
        </w:rPr>
        <w:t>+</w:t>
      </w:r>
      <w:r w:rsidRPr="00F64667">
        <w:rPr>
          <w:rFonts w:ascii="Arial" w:eastAsia="MS Mincho" w:hAnsi="Arial" w:cs="Arial"/>
          <w:sz w:val="20"/>
          <w:lang w:eastAsia="ja-JP"/>
        </w:rPr>
        <w:t>/Z</w:t>
      </w:r>
      <w:r w:rsidRPr="00F64667">
        <w:rPr>
          <w:rFonts w:ascii="Arial" w:eastAsia="MS Mincho" w:hAnsi="Arial" w:cs="Arial"/>
          <w:i/>
          <w:iCs/>
          <w:sz w:val="20"/>
          <w:vertAlign w:val="superscript"/>
          <w:lang w:eastAsia="ja-JP"/>
        </w:rPr>
        <w:t>TYRP1-</w:t>
      </w:r>
      <w:r w:rsidRPr="00F64667">
        <w:rPr>
          <w:rFonts w:ascii="Arial" w:eastAsia="MS Mincho" w:hAnsi="Arial" w:cs="Arial"/>
          <w:sz w:val="20"/>
          <w:lang w:eastAsia="ja-JP"/>
        </w:rPr>
        <w:t xml:space="preserve">) with the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 mutation were expected to have the typical </w:t>
      </w:r>
      <w:proofErr w:type="spellStart"/>
      <w:r w:rsidRPr="00F64667">
        <w:rPr>
          <w:rFonts w:ascii="Arial" w:eastAsia="MS Mincho" w:hAnsi="Arial" w:cs="Arial"/>
          <w:sz w:val="20"/>
          <w:lang w:eastAsia="ja-JP"/>
        </w:rPr>
        <w:t>Chahua</w:t>
      </w:r>
      <w:proofErr w:type="spellEnd"/>
      <w:r w:rsidRPr="00F64667">
        <w:rPr>
          <w:rFonts w:ascii="Arial" w:eastAsia="MS Mincho" w:hAnsi="Arial" w:cs="Arial"/>
          <w:sz w:val="20"/>
          <w:lang w:eastAsia="ja-JP"/>
        </w:rPr>
        <w:t xml:space="preserve"> (wild-type) chick-down color. These phenotypes were finally confirmed by PCR-based genotyping and sequence analysis of the target region. The PCR fragment containing the two target sites was amplified and sequenced using the primer pair listed in Table S1.</w:t>
      </w:r>
    </w:p>
    <w:p w14:paraId="150A0EE5" w14:textId="77777777" w:rsidR="00AA7D8C" w:rsidRPr="00F64667" w:rsidRDefault="00AA7D8C" w:rsidP="00302DEB">
      <w:pPr>
        <w:adjustRightInd w:val="0"/>
        <w:snapToGrid w:val="0"/>
        <w:spacing w:before="200" w:after="60"/>
        <w:rPr>
          <w:rFonts w:ascii="Arial" w:eastAsia="MS Mincho" w:hAnsi="Arial" w:cs="Arial"/>
          <w:sz w:val="20"/>
          <w:lang w:eastAsia="ja-JP"/>
        </w:rPr>
      </w:pPr>
      <w:r w:rsidRPr="00F64667">
        <w:rPr>
          <w:rFonts w:ascii="Arial" w:eastAsia="MS Mincho" w:hAnsi="Arial" w:cs="Arial"/>
          <w:b/>
          <w:bCs/>
          <w:sz w:val="20"/>
          <w:lang w:eastAsia="ja-JP"/>
        </w:rPr>
        <w:t>Off-target analysis</w:t>
      </w:r>
      <w:r>
        <w:rPr>
          <w:rFonts w:ascii="Arial" w:eastAsia="MS Mincho" w:hAnsi="Arial" w:cs="Arial"/>
          <w:b/>
          <w:bCs/>
          <w:sz w:val="20"/>
          <w:lang w:eastAsia="ja-JP"/>
        </w:rPr>
        <w:t xml:space="preserve">. </w:t>
      </w:r>
      <w:r w:rsidRPr="00F64667">
        <w:rPr>
          <w:rFonts w:ascii="Arial" w:eastAsia="MS Mincho" w:hAnsi="Arial" w:cs="Arial"/>
          <w:sz w:val="20"/>
          <w:lang w:eastAsia="ja-JP"/>
        </w:rPr>
        <w:t xml:space="preserve">We selected four highly specific </w:t>
      </w:r>
      <w:proofErr w:type="spellStart"/>
      <w:r w:rsidRPr="00F64667">
        <w:rPr>
          <w:rFonts w:ascii="Arial" w:eastAsia="MS Mincho" w:hAnsi="Arial" w:cs="Arial"/>
          <w:sz w:val="20"/>
          <w:lang w:eastAsia="ja-JP"/>
        </w:rPr>
        <w:t>sgRNA</w:t>
      </w:r>
      <w:proofErr w:type="spellEnd"/>
      <w:r w:rsidRPr="00F64667">
        <w:rPr>
          <w:rFonts w:ascii="Arial" w:eastAsia="MS Mincho" w:hAnsi="Arial" w:cs="Arial"/>
          <w:sz w:val="20"/>
          <w:lang w:eastAsia="ja-JP"/>
        </w:rPr>
        <w:t xml:space="preserve"> sequences (sgRNA#1</w:t>
      </w:r>
      <w:r w:rsidRPr="00F64667">
        <w:rPr>
          <w:rFonts w:ascii="Arial" w:hAnsi="Arial" w:cs="Arial"/>
          <w:sz w:val="20"/>
          <w:lang w:eastAsia="ja-JP"/>
        </w:rPr>
        <w:t>–</w:t>
      </w:r>
      <w:r w:rsidRPr="00F64667">
        <w:rPr>
          <w:rFonts w:ascii="Arial" w:eastAsia="MS Mincho" w:hAnsi="Arial" w:cs="Arial"/>
          <w:sz w:val="20"/>
          <w:lang w:eastAsia="ja-JP"/>
        </w:rPr>
        <w:t xml:space="preserve">#4) targeting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 exon 2 using </w:t>
      </w:r>
      <w:proofErr w:type="spellStart"/>
      <w:r w:rsidRPr="00F64667">
        <w:rPr>
          <w:rFonts w:ascii="Arial" w:eastAsia="MS Mincho" w:hAnsi="Arial" w:cs="Arial"/>
          <w:sz w:val="20"/>
          <w:lang w:eastAsia="ja-JP"/>
        </w:rPr>
        <w:t>CRISPRdirect</w:t>
      </w:r>
      <w:proofErr w:type="spellEnd"/>
      <w:r w:rsidRPr="00F64667">
        <w:rPr>
          <w:rFonts w:ascii="Arial" w:eastAsia="MS Mincho" w:hAnsi="Arial" w:cs="Arial"/>
          <w:sz w:val="20"/>
          <w:lang w:eastAsia="ja-JP"/>
        </w:rPr>
        <w:t xml:space="preserve"> (http://crispr.dbcls.jp/) based on the genome database (ICGSC Gallus_gallus-4.0/galGal4) (Table S2). These sequences did not have any off-target candidates in the 12-mer and 20-mer+PAM motif (NGG) regions. However, as a precaution, we also searched for potential off-target sequences for </w:t>
      </w:r>
      <w:r w:rsidRPr="00F64667">
        <w:rPr>
          <w:rFonts w:ascii="Arial" w:eastAsia="MS Mincho" w:hAnsi="Arial" w:cs="Arial"/>
          <w:i/>
          <w:iCs/>
          <w:sz w:val="20"/>
          <w:lang w:eastAsia="ja-JP"/>
        </w:rPr>
        <w:t>TYRP1</w:t>
      </w:r>
      <w:r w:rsidRPr="00F64667">
        <w:rPr>
          <w:rFonts w:ascii="Arial" w:eastAsia="MS Mincho" w:hAnsi="Arial" w:cs="Arial"/>
          <w:sz w:val="20"/>
          <w:lang w:eastAsia="ja-JP"/>
        </w:rPr>
        <w:t xml:space="preserve">-sgRNA#1 and -#2 using the updated genome databases </w:t>
      </w:r>
      <w:proofErr w:type="spellStart"/>
      <w:r w:rsidRPr="00F64667">
        <w:rPr>
          <w:rFonts w:ascii="Arial" w:eastAsia="MS Mincho" w:hAnsi="Arial" w:cs="Arial"/>
          <w:sz w:val="20"/>
          <w:lang w:eastAsia="ja-JP"/>
        </w:rPr>
        <w:t>Cas-OFFinder</w:t>
      </w:r>
      <w:proofErr w:type="spellEnd"/>
      <w:r w:rsidRPr="00F64667">
        <w:rPr>
          <w:rFonts w:ascii="Arial" w:eastAsia="MS Mincho" w:hAnsi="Arial" w:cs="Arial"/>
          <w:sz w:val="20"/>
          <w:lang w:eastAsia="ja-JP"/>
        </w:rPr>
        <w:t xml:space="preserve"> (http://www.rgenome.net/cas-offinder/) (Galgal5) and </w:t>
      </w:r>
      <w:proofErr w:type="spellStart"/>
      <w:r w:rsidRPr="00F64667">
        <w:rPr>
          <w:rFonts w:ascii="Arial" w:eastAsia="MS Mincho" w:hAnsi="Arial" w:cs="Arial"/>
          <w:sz w:val="20"/>
          <w:lang w:eastAsia="ja-JP"/>
        </w:rPr>
        <w:t>Ensembl</w:t>
      </w:r>
      <w:proofErr w:type="spellEnd"/>
      <w:r w:rsidRPr="00F64667">
        <w:rPr>
          <w:rFonts w:ascii="Arial" w:eastAsia="MS Mincho" w:hAnsi="Arial" w:cs="Arial"/>
          <w:sz w:val="20"/>
          <w:lang w:eastAsia="ja-JP"/>
        </w:rPr>
        <w:t xml:space="preserve"> Database (http://www.ensembl.org/index.html) (Galgal6). No off-target candidates were found in either database. Nevertheless, we selected five candidates from each of the 8-mer + PAM motif regions using </w:t>
      </w:r>
      <w:proofErr w:type="spellStart"/>
      <w:r w:rsidRPr="00F64667">
        <w:rPr>
          <w:rFonts w:ascii="Arial" w:eastAsia="MS Mincho" w:hAnsi="Arial" w:cs="Arial"/>
          <w:sz w:val="20"/>
          <w:lang w:eastAsia="ja-JP"/>
        </w:rPr>
        <w:t>CRISPRdirect</w:t>
      </w:r>
      <w:proofErr w:type="spellEnd"/>
      <w:r w:rsidRPr="00F64667">
        <w:rPr>
          <w:rFonts w:ascii="Arial" w:eastAsia="MS Mincho" w:hAnsi="Arial" w:cs="Arial"/>
          <w:sz w:val="20"/>
          <w:lang w:eastAsia="ja-JP"/>
        </w:rPr>
        <w:t xml:space="preserve"> (Table S3). PCR products were amplified from the genomic DNA of KO PGCs (#CA10-</w:t>
      </w:r>
      <w:r w:rsidRPr="00F64667">
        <w:rPr>
          <w:rFonts w:ascii="Arial" w:eastAsia="MS Mincho" w:hAnsi="Arial" w:cs="Arial"/>
          <w:i/>
          <w:iCs/>
          <w:sz w:val="20"/>
          <w:lang w:eastAsia="ja-JP"/>
        </w:rPr>
        <w:t>TYRP1</w:t>
      </w:r>
      <w:r w:rsidRPr="00F64667">
        <w:rPr>
          <w:rFonts w:ascii="Arial" w:eastAsia="MS Mincho" w:hAnsi="Arial" w:cs="Arial"/>
          <w:sz w:val="20"/>
          <w:lang w:eastAsia="ja-JP"/>
        </w:rPr>
        <w:t>-KO) using the primers listed in Table S1, and eight TA clones each were sequenced by the Sanger method.</w:t>
      </w:r>
    </w:p>
    <w:p w14:paraId="352C6502" w14:textId="77777777" w:rsidR="00AA7D8C" w:rsidRDefault="00AA7D8C" w:rsidP="00302DEB">
      <w:pPr>
        <w:adjustRightInd w:val="0"/>
        <w:snapToGrid w:val="0"/>
        <w:ind w:firstLineChars="100" w:firstLine="200"/>
        <w:rPr>
          <w:rFonts w:ascii="Arial" w:hAnsi="Arial" w:cs="Arial"/>
          <w:sz w:val="20"/>
        </w:rPr>
      </w:pPr>
    </w:p>
    <w:p w14:paraId="5AAD3354" w14:textId="77777777" w:rsidR="001D0103" w:rsidRPr="001D0103" w:rsidRDefault="001D0103" w:rsidP="001D0103">
      <w:pPr>
        <w:pStyle w:val="EndNoteBibliographyTitle"/>
        <w:jc w:val="left"/>
        <w:rPr>
          <w:b/>
        </w:rPr>
      </w:pPr>
      <w:r>
        <w:fldChar w:fldCharType="begin"/>
      </w:r>
      <w:r>
        <w:instrText xml:space="preserve"> ADDIN EN.REFLIST </w:instrText>
      </w:r>
      <w:r>
        <w:fldChar w:fldCharType="separate"/>
      </w:r>
      <w:r w:rsidRPr="001D0103">
        <w:rPr>
          <w:b/>
        </w:rPr>
        <w:t>References</w:t>
      </w:r>
    </w:p>
    <w:p w14:paraId="5B79033E" w14:textId="77777777" w:rsidR="001D0103" w:rsidRPr="001D0103" w:rsidRDefault="001D0103" w:rsidP="001D0103">
      <w:pPr>
        <w:pStyle w:val="EndNoteBibliographyTitle"/>
        <w:rPr>
          <w:b/>
        </w:rPr>
      </w:pPr>
    </w:p>
    <w:p w14:paraId="3C2E1A9B" w14:textId="77777777" w:rsidR="001D0103" w:rsidRPr="001D0103" w:rsidRDefault="001D0103" w:rsidP="001D0103">
      <w:pPr>
        <w:pStyle w:val="EndNoteBibliography"/>
        <w:spacing w:after="0"/>
        <w:ind w:left="720" w:hanging="720"/>
      </w:pPr>
      <w:r w:rsidRPr="001D0103">
        <w:t>1.</w:t>
      </w:r>
      <w:r w:rsidRPr="001D0103">
        <w:tab/>
        <w:t xml:space="preserve">Perry, M.M., </w:t>
      </w:r>
      <w:r w:rsidRPr="001D0103">
        <w:rPr>
          <w:i/>
        </w:rPr>
        <w:t>A complete culture system for the chick embryo.</w:t>
      </w:r>
      <w:r w:rsidRPr="001D0103">
        <w:t xml:space="preserve"> Nature, 1988. </w:t>
      </w:r>
      <w:r w:rsidRPr="001D0103">
        <w:rPr>
          <w:b/>
        </w:rPr>
        <w:t>331</w:t>
      </w:r>
      <w:r w:rsidRPr="001D0103">
        <w:t>(6151): p. 70-2.</w:t>
      </w:r>
    </w:p>
    <w:p w14:paraId="6A61414A" w14:textId="77777777" w:rsidR="001D0103" w:rsidRPr="001D0103" w:rsidRDefault="001D0103" w:rsidP="001D0103">
      <w:pPr>
        <w:pStyle w:val="EndNoteBibliography"/>
        <w:spacing w:after="0"/>
        <w:ind w:left="720" w:hanging="720"/>
      </w:pPr>
      <w:r w:rsidRPr="001D0103">
        <w:t>2.</w:t>
      </w:r>
      <w:r w:rsidRPr="001D0103">
        <w:tab/>
        <w:t xml:space="preserve">Naito, M., et al., </w:t>
      </w:r>
      <w:r w:rsidRPr="001D0103">
        <w:rPr>
          <w:i/>
        </w:rPr>
        <w:t>Production of germline chimeric chickens, with high transmission rate of donor-derived gametes, produced by transfer of primordial germ cells.</w:t>
      </w:r>
      <w:r w:rsidRPr="001D0103">
        <w:t xml:space="preserve"> Mol Reprod Dev, 1994. </w:t>
      </w:r>
      <w:r w:rsidRPr="001D0103">
        <w:rPr>
          <w:b/>
        </w:rPr>
        <w:t>39</w:t>
      </w:r>
      <w:r w:rsidRPr="001D0103">
        <w:t>(2): p. 153-61.</w:t>
      </w:r>
    </w:p>
    <w:p w14:paraId="5900D3C0" w14:textId="77777777" w:rsidR="001D0103" w:rsidRPr="001D0103" w:rsidRDefault="001D0103" w:rsidP="001D0103">
      <w:pPr>
        <w:pStyle w:val="EndNoteBibliography"/>
        <w:spacing w:after="0"/>
        <w:ind w:left="720" w:hanging="720"/>
      </w:pPr>
      <w:r w:rsidRPr="001D0103">
        <w:t>3.</w:t>
      </w:r>
      <w:r w:rsidRPr="001D0103">
        <w:tab/>
        <w:t xml:space="preserve">Dorshorst, B., et al., </w:t>
      </w:r>
      <w:r w:rsidRPr="001D0103">
        <w:rPr>
          <w:i/>
        </w:rPr>
        <w:t>A complex genomic rearrangement involving the endothelin 3 locus causes dermal hyperpigmentation in the chicken.</w:t>
      </w:r>
      <w:r w:rsidRPr="001D0103">
        <w:t xml:space="preserve"> PLoS Genet, 2011. </w:t>
      </w:r>
      <w:r w:rsidRPr="001D0103">
        <w:rPr>
          <w:b/>
        </w:rPr>
        <w:t>7</w:t>
      </w:r>
      <w:r w:rsidRPr="001D0103">
        <w:t>(12): p. e1002412.</w:t>
      </w:r>
    </w:p>
    <w:p w14:paraId="743254ED" w14:textId="77777777" w:rsidR="001D0103" w:rsidRPr="001D0103" w:rsidRDefault="001D0103" w:rsidP="001D0103">
      <w:pPr>
        <w:pStyle w:val="EndNoteBibliography"/>
        <w:spacing w:after="0"/>
        <w:ind w:left="720" w:hanging="720"/>
      </w:pPr>
      <w:r w:rsidRPr="001D0103">
        <w:t>4.</w:t>
      </w:r>
      <w:r w:rsidRPr="001D0103">
        <w:tab/>
        <w:t xml:space="preserve">Freese, N.H., et al., </w:t>
      </w:r>
      <w:r w:rsidRPr="001D0103">
        <w:rPr>
          <w:i/>
        </w:rPr>
        <w:t>A novel gain-of-function mutation of the proneural IRX1 and IRX2 genes disrupts axis elongation in the Araucana rumpless chicken.</w:t>
      </w:r>
      <w:r w:rsidRPr="001D0103">
        <w:t xml:space="preserve"> PLoS One, 2014. </w:t>
      </w:r>
      <w:r w:rsidRPr="001D0103">
        <w:rPr>
          <w:b/>
        </w:rPr>
        <w:t>9</w:t>
      </w:r>
      <w:r w:rsidRPr="001D0103">
        <w:t>(11): p. e112364.</w:t>
      </w:r>
    </w:p>
    <w:p w14:paraId="6044B793" w14:textId="77777777" w:rsidR="001D0103" w:rsidRPr="001D0103" w:rsidRDefault="001D0103" w:rsidP="001D0103">
      <w:pPr>
        <w:pStyle w:val="EndNoteBibliography"/>
        <w:ind w:left="720" w:hanging="720"/>
      </w:pPr>
      <w:r w:rsidRPr="001D0103">
        <w:t>5.</w:t>
      </w:r>
      <w:r w:rsidRPr="001D0103">
        <w:tab/>
        <w:t xml:space="preserve">Zhang, J., et al., </w:t>
      </w:r>
      <w:r w:rsidRPr="001D0103">
        <w:rPr>
          <w:i/>
        </w:rPr>
        <w:t>A </w:t>
      </w:r>
      <w:r w:rsidRPr="001D0103">
        <w:rPr>
          <w:rFonts w:ascii="Cambria Math" w:hAnsi="Cambria Math" w:cs="Cambria Math"/>
          <w:i/>
        </w:rPr>
        <w:t>∼</w:t>
      </w:r>
      <w:r w:rsidRPr="001D0103">
        <w:rPr>
          <w:i/>
        </w:rPr>
        <w:t> 4.1 kb deletion in IRX1 gene upstream is completely associated with rumplessness in Piao chicken.</w:t>
      </w:r>
      <w:r w:rsidRPr="001D0103">
        <w:t xml:space="preserve"> Genomics, 2022. </w:t>
      </w:r>
      <w:r w:rsidRPr="001D0103">
        <w:rPr>
          <w:b/>
        </w:rPr>
        <w:t>114</w:t>
      </w:r>
      <w:r w:rsidRPr="001D0103">
        <w:t>(6): p. 110515.</w:t>
      </w:r>
    </w:p>
    <w:p w14:paraId="02A0C044" w14:textId="6399C18E" w:rsidR="004F1842" w:rsidRPr="004F1842" w:rsidRDefault="001D0103" w:rsidP="00302DEB">
      <w:pPr>
        <w:pStyle w:val="EndNoteBibliography"/>
        <w:spacing w:after="0"/>
        <w:ind w:left="720" w:hanging="720"/>
      </w:pPr>
      <w:r>
        <w:fldChar w:fldCharType="end"/>
      </w:r>
    </w:p>
    <w:sectPr w:rsidR="004F1842" w:rsidRPr="004F1842" w:rsidSect="00D5309E">
      <w:pgSz w:w="12240" w:h="15840" w:code="1"/>
      <w:pgMar w:top="1440" w:right="1797" w:bottom="1440" w:left="1797"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B4CD2F" w14:textId="77777777" w:rsidR="00F47D64" w:rsidRDefault="00F47D64">
      <w:r>
        <w:separator/>
      </w:r>
    </w:p>
  </w:endnote>
  <w:endnote w:type="continuationSeparator" w:id="0">
    <w:p w14:paraId="36D2A242" w14:textId="77777777" w:rsidR="00F47D64" w:rsidRDefault="00F47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96907" w14:textId="5CBB6088" w:rsidR="00F125EE" w:rsidRDefault="00114193">
    <w:pPr>
      <w:pStyle w:val="Footer"/>
      <w:jc w:val="right"/>
    </w:pPr>
    <w:r>
      <w:fldChar w:fldCharType="begin"/>
    </w:r>
    <w:r>
      <w:instrText xml:space="preserve"> PAGE   \* MERGEFORMAT </w:instrText>
    </w:r>
    <w:r>
      <w:fldChar w:fldCharType="separate"/>
    </w:r>
    <w:r w:rsidR="005760F0">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324DBA" w14:textId="77777777" w:rsidR="00F47D64" w:rsidRDefault="00F47D64">
      <w:r>
        <w:separator/>
      </w:r>
    </w:p>
  </w:footnote>
  <w:footnote w:type="continuationSeparator" w:id="0">
    <w:p w14:paraId="3A78AF06" w14:textId="77777777" w:rsidR="00F47D64" w:rsidRDefault="00F47D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oNotDisplayPageBoundaries/>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0&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sw2ede7drffje50ztxx99kpp22etdxrz0e&quot;&gt;PGC&lt;record-ids&gt;&lt;item&gt;32&lt;/item&gt;&lt;item&gt;54&lt;/item&gt;&lt;item&gt;55&lt;/item&gt;&lt;item&gt;56&lt;/item&gt;&lt;item&gt;57&lt;/item&gt;&lt;/record-ids&gt;&lt;/item&gt;&lt;/Libraries&gt;"/>
  </w:docVars>
  <w:rsids>
    <w:rsidRoot w:val="002C030F"/>
    <w:rsid w:val="000004B2"/>
    <w:rsid w:val="00013AA8"/>
    <w:rsid w:val="00015F74"/>
    <w:rsid w:val="00017C53"/>
    <w:rsid w:val="00020637"/>
    <w:rsid w:val="00030840"/>
    <w:rsid w:val="00064CF1"/>
    <w:rsid w:val="00065EBD"/>
    <w:rsid w:val="00083B44"/>
    <w:rsid w:val="000850DC"/>
    <w:rsid w:val="00087DA5"/>
    <w:rsid w:val="00092827"/>
    <w:rsid w:val="000A24CD"/>
    <w:rsid w:val="000A41E4"/>
    <w:rsid w:val="000C2771"/>
    <w:rsid w:val="000C5F36"/>
    <w:rsid w:val="000D14D2"/>
    <w:rsid w:val="000F0DCE"/>
    <w:rsid w:val="00112C5B"/>
    <w:rsid w:val="00112E69"/>
    <w:rsid w:val="00114193"/>
    <w:rsid w:val="00115A38"/>
    <w:rsid w:val="0011687B"/>
    <w:rsid w:val="00124F82"/>
    <w:rsid w:val="00132684"/>
    <w:rsid w:val="00133421"/>
    <w:rsid w:val="0016337A"/>
    <w:rsid w:val="00164269"/>
    <w:rsid w:val="001A1BDE"/>
    <w:rsid w:val="001C0520"/>
    <w:rsid w:val="001C0975"/>
    <w:rsid w:val="001D0103"/>
    <w:rsid w:val="001F0876"/>
    <w:rsid w:val="001F167C"/>
    <w:rsid w:val="001F5E91"/>
    <w:rsid w:val="002006A0"/>
    <w:rsid w:val="002077B9"/>
    <w:rsid w:val="002204DA"/>
    <w:rsid w:val="00254CE4"/>
    <w:rsid w:val="0026027C"/>
    <w:rsid w:val="00260A94"/>
    <w:rsid w:val="002615FE"/>
    <w:rsid w:val="00262D72"/>
    <w:rsid w:val="00294FBB"/>
    <w:rsid w:val="00297F5F"/>
    <w:rsid w:val="002C030F"/>
    <w:rsid w:val="002C667A"/>
    <w:rsid w:val="00302DEB"/>
    <w:rsid w:val="00325D90"/>
    <w:rsid w:val="00331D75"/>
    <w:rsid w:val="00332BFB"/>
    <w:rsid w:val="00355362"/>
    <w:rsid w:val="00363E44"/>
    <w:rsid w:val="00387114"/>
    <w:rsid w:val="00395E86"/>
    <w:rsid w:val="00397983"/>
    <w:rsid w:val="003A2FD8"/>
    <w:rsid w:val="003B40E6"/>
    <w:rsid w:val="003E1ADB"/>
    <w:rsid w:val="003E5939"/>
    <w:rsid w:val="003F0635"/>
    <w:rsid w:val="003F6E14"/>
    <w:rsid w:val="00405336"/>
    <w:rsid w:val="00407AB1"/>
    <w:rsid w:val="004571D5"/>
    <w:rsid w:val="00461D81"/>
    <w:rsid w:val="0046356B"/>
    <w:rsid w:val="00477182"/>
    <w:rsid w:val="004779CB"/>
    <w:rsid w:val="004A159F"/>
    <w:rsid w:val="004B2F21"/>
    <w:rsid w:val="004B7EBF"/>
    <w:rsid w:val="004E42D8"/>
    <w:rsid w:val="004E7BA2"/>
    <w:rsid w:val="004F1842"/>
    <w:rsid w:val="004F7EDF"/>
    <w:rsid w:val="005001AC"/>
    <w:rsid w:val="00527D71"/>
    <w:rsid w:val="005607DD"/>
    <w:rsid w:val="005609E9"/>
    <w:rsid w:val="005760F0"/>
    <w:rsid w:val="005A558C"/>
    <w:rsid w:val="005B5B11"/>
    <w:rsid w:val="005C52D5"/>
    <w:rsid w:val="005D088E"/>
    <w:rsid w:val="005D2F44"/>
    <w:rsid w:val="005E28F8"/>
    <w:rsid w:val="005E6513"/>
    <w:rsid w:val="005F1E17"/>
    <w:rsid w:val="0060363A"/>
    <w:rsid w:val="006069C6"/>
    <w:rsid w:val="00611A19"/>
    <w:rsid w:val="006140DF"/>
    <w:rsid w:val="00640F93"/>
    <w:rsid w:val="00651114"/>
    <w:rsid w:val="0065772A"/>
    <w:rsid w:val="00670299"/>
    <w:rsid w:val="00685AD3"/>
    <w:rsid w:val="00690668"/>
    <w:rsid w:val="00691985"/>
    <w:rsid w:val="006A1B64"/>
    <w:rsid w:val="006A5BC6"/>
    <w:rsid w:val="006D169A"/>
    <w:rsid w:val="006E3E68"/>
    <w:rsid w:val="007108F5"/>
    <w:rsid w:val="00713E5B"/>
    <w:rsid w:val="007402FC"/>
    <w:rsid w:val="00740B33"/>
    <w:rsid w:val="007411A1"/>
    <w:rsid w:val="00763345"/>
    <w:rsid w:val="007843C9"/>
    <w:rsid w:val="00797F24"/>
    <w:rsid w:val="007B5946"/>
    <w:rsid w:val="007D5FFF"/>
    <w:rsid w:val="007E5809"/>
    <w:rsid w:val="007F5297"/>
    <w:rsid w:val="00807D35"/>
    <w:rsid w:val="00820484"/>
    <w:rsid w:val="00824DF3"/>
    <w:rsid w:val="00840BB2"/>
    <w:rsid w:val="008564BD"/>
    <w:rsid w:val="00885C9B"/>
    <w:rsid w:val="008A5BB4"/>
    <w:rsid w:val="008B73F9"/>
    <w:rsid w:val="008C069B"/>
    <w:rsid w:val="008D5D2A"/>
    <w:rsid w:val="008E09DC"/>
    <w:rsid w:val="00907709"/>
    <w:rsid w:val="00914B63"/>
    <w:rsid w:val="009258B8"/>
    <w:rsid w:val="009354F3"/>
    <w:rsid w:val="0094159F"/>
    <w:rsid w:val="00943C3C"/>
    <w:rsid w:val="009447DC"/>
    <w:rsid w:val="009519CF"/>
    <w:rsid w:val="009543B4"/>
    <w:rsid w:val="00961BA5"/>
    <w:rsid w:val="009743A9"/>
    <w:rsid w:val="00991592"/>
    <w:rsid w:val="009A5287"/>
    <w:rsid w:val="009A670E"/>
    <w:rsid w:val="009B2AC5"/>
    <w:rsid w:val="009B45EF"/>
    <w:rsid w:val="009B7984"/>
    <w:rsid w:val="009D6B1C"/>
    <w:rsid w:val="009E6837"/>
    <w:rsid w:val="009F4BED"/>
    <w:rsid w:val="009F7D93"/>
    <w:rsid w:val="00A17FB2"/>
    <w:rsid w:val="00A3403B"/>
    <w:rsid w:val="00A51A12"/>
    <w:rsid w:val="00A627D4"/>
    <w:rsid w:val="00A72B81"/>
    <w:rsid w:val="00A74DA2"/>
    <w:rsid w:val="00AA7D8C"/>
    <w:rsid w:val="00AB4ABB"/>
    <w:rsid w:val="00AC04D7"/>
    <w:rsid w:val="00AC15B4"/>
    <w:rsid w:val="00AD44D5"/>
    <w:rsid w:val="00AD499C"/>
    <w:rsid w:val="00AE5A70"/>
    <w:rsid w:val="00B003EE"/>
    <w:rsid w:val="00B038F4"/>
    <w:rsid w:val="00B15008"/>
    <w:rsid w:val="00B16F99"/>
    <w:rsid w:val="00B36869"/>
    <w:rsid w:val="00B42F9C"/>
    <w:rsid w:val="00B43B31"/>
    <w:rsid w:val="00B47CFA"/>
    <w:rsid w:val="00B57F00"/>
    <w:rsid w:val="00B73A1C"/>
    <w:rsid w:val="00B77B2A"/>
    <w:rsid w:val="00B82C22"/>
    <w:rsid w:val="00B8723B"/>
    <w:rsid w:val="00B93DBA"/>
    <w:rsid w:val="00B9440A"/>
    <w:rsid w:val="00BB2D2A"/>
    <w:rsid w:val="00BB53DD"/>
    <w:rsid w:val="00BD2875"/>
    <w:rsid w:val="00BD58CF"/>
    <w:rsid w:val="00C046DC"/>
    <w:rsid w:val="00C04CC1"/>
    <w:rsid w:val="00C13842"/>
    <w:rsid w:val="00C205E6"/>
    <w:rsid w:val="00C22588"/>
    <w:rsid w:val="00C364C5"/>
    <w:rsid w:val="00C47714"/>
    <w:rsid w:val="00C50C6D"/>
    <w:rsid w:val="00C600D9"/>
    <w:rsid w:val="00C84023"/>
    <w:rsid w:val="00CA6AE5"/>
    <w:rsid w:val="00CC1384"/>
    <w:rsid w:val="00CD3720"/>
    <w:rsid w:val="00CF16C9"/>
    <w:rsid w:val="00CF1848"/>
    <w:rsid w:val="00CF5C2F"/>
    <w:rsid w:val="00D04BCF"/>
    <w:rsid w:val="00D143D9"/>
    <w:rsid w:val="00D15DED"/>
    <w:rsid w:val="00D269AB"/>
    <w:rsid w:val="00D346C2"/>
    <w:rsid w:val="00D51D16"/>
    <w:rsid w:val="00D5309E"/>
    <w:rsid w:val="00D67404"/>
    <w:rsid w:val="00D73D80"/>
    <w:rsid w:val="00DA22DA"/>
    <w:rsid w:val="00DA59EA"/>
    <w:rsid w:val="00DA5CCC"/>
    <w:rsid w:val="00DB0B1D"/>
    <w:rsid w:val="00DC5445"/>
    <w:rsid w:val="00DC623A"/>
    <w:rsid w:val="00DD421A"/>
    <w:rsid w:val="00E257C8"/>
    <w:rsid w:val="00E37047"/>
    <w:rsid w:val="00E60BDB"/>
    <w:rsid w:val="00E60D0F"/>
    <w:rsid w:val="00E9773B"/>
    <w:rsid w:val="00EA596B"/>
    <w:rsid w:val="00EB26C2"/>
    <w:rsid w:val="00EC13A3"/>
    <w:rsid w:val="00EC7C85"/>
    <w:rsid w:val="00ED5B08"/>
    <w:rsid w:val="00EE3D54"/>
    <w:rsid w:val="00EE7DDC"/>
    <w:rsid w:val="00F04CD9"/>
    <w:rsid w:val="00F125EE"/>
    <w:rsid w:val="00F12E98"/>
    <w:rsid w:val="00F22029"/>
    <w:rsid w:val="00F25495"/>
    <w:rsid w:val="00F25DEF"/>
    <w:rsid w:val="00F47D64"/>
    <w:rsid w:val="00F514EC"/>
    <w:rsid w:val="00F60CD4"/>
    <w:rsid w:val="00F630EA"/>
    <w:rsid w:val="00F7007E"/>
    <w:rsid w:val="00F70200"/>
    <w:rsid w:val="00F73193"/>
    <w:rsid w:val="00F74F95"/>
    <w:rsid w:val="00F775EA"/>
    <w:rsid w:val="00F80705"/>
    <w:rsid w:val="00FA0148"/>
    <w:rsid w:val="00FA1481"/>
    <w:rsid w:val="00FC7860"/>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DED"/>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table" w:styleId="TableGrid">
    <w:name w:val="Table Grid"/>
    <w:basedOn w:val="TableNormal"/>
    <w:rsid w:val="009E68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D5309E"/>
    <w:pPr>
      <w:spacing w:after="200"/>
    </w:pPr>
    <w:rPr>
      <w:rFonts w:ascii="Arial" w:hAnsi="Arial" w:cs="Arial"/>
      <w:noProof/>
      <w:sz w:val="20"/>
      <w:szCs w:val="22"/>
    </w:rPr>
  </w:style>
  <w:style w:type="character" w:customStyle="1" w:styleId="EndNoteBibliographyChar">
    <w:name w:val="EndNote Bibliography Char"/>
    <w:basedOn w:val="DefaultParagraphFont"/>
    <w:link w:val="EndNoteBibliography"/>
    <w:rsid w:val="00D5309E"/>
    <w:rPr>
      <w:rFonts w:ascii="Arial" w:hAnsi="Arial" w:cs="Arial"/>
      <w:noProof/>
      <w:szCs w:val="22"/>
    </w:rPr>
  </w:style>
  <w:style w:type="paragraph" w:customStyle="1" w:styleId="EndNoteBibliographyTitle">
    <w:name w:val="EndNote Bibliography Title"/>
    <w:basedOn w:val="Normal"/>
    <w:link w:val="EndNoteBibliographyTitleChar"/>
    <w:rsid w:val="001D0103"/>
    <w:pPr>
      <w:jc w:val="center"/>
    </w:pPr>
    <w:rPr>
      <w:rFonts w:ascii="Arial" w:hAnsi="Arial" w:cs="Arial"/>
      <w:noProof/>
      <w:sz w:val="20"/>
    </w:rPr>
  </w:style>
  <w:style w:type="character" w:customStyle="1" w:styleId="EndNoteBibliographyTitleChar">
    <w:name w:val="EndNote Bibliography Title Char"/>
    <w:basedOn w:val="DefaultParagraphFont"/>
    <w:link w:val="EndNoteBibliographyTitle"/>
    <w:rsid w:val="001D0103"/>
    <w:rPr>
      <w:rFonts w:ascii="Arial" w:hAnsi="Arial" w:cs="Arial"/>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12357">
      <w:bodyDiv w:val="1"/>
      <w:marLeft w:val="0"/>
      <w:marRight w:val="0"/>
      <w:marTop w:val="0"/>
      <w:marBottom w:val="0"/>
      <w:divBdr>
        <w:top w:val="none" w:sz="0" w:space="0" w:color="auto"/>
        <w:left w:val="none" w:sz="0" w:space="0" w:color="auto"/>
        <w:bottom w:val="none" w:sz="0" w:space="0" w:color="auto"/>
        <w:right w:val="none" w:sz="0" w:space="0" w:color="auto"/>
      </w:divBdr>
    </w:div>
    <w:div w:id="489489801">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57877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4F57A9-BD35-40E2-B8B1-B8066ACB1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3584</Words>
  <Characters>20431</Characters>
  <Application>Microsoft Office Word</Application>
  <DocSecurity>0</DocSecurity>
  <Lines>170</Lines>
  <Paragraphs>47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23968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Ameen</cp:lastModifiedBy>
  <cp:revision>8</cp:revision>
  <cp:lastPrinted>2018-02-26T17:19:00Z</cp:lastPrinted>
  <dcterms:created xsi:type="dcterms:W3CDTF">2023-12-21T16:20:00Z</dcterms:created>
  <dcterms:modified xsi:type="dcterms:W3CDTF">2024-01-10T01:10:00Z</dcterms:modified>
</cp:coreProperties>
</file>