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suppressLineNumbers w:val="0"/>
        <w:spacing w:before="340" w:beforeAutospacing="0" w:after="330" w:afterAutospacing="0" w:line="360" w:lineRule="auto"/>
        <w:ind w:right="0"/>
        <w:jc w:val="both"/>
        <w:rPr>
          <w:rFonts w:hint="default" w:ascii="Times New Roman" w:hAnsi="Times New Roman" w:eastAsia="宋体" w:cs="Times New Roman"/>
          <w:b/>
          <w:bCs/>
          <w:kern w:val="2"/>
          <w:sz w:val="20"/>
          <w:szCs w:val="20"/>
          <w:lang w:val="en-US" w:eastAsia="zh-CN" w:bidi="en-US"/>
        </w:rPr>
      </w:pPr>
      <w:r>
        <w:rPr>
          <w:rFonts w:hint="eastAsia" w:ascii="Times New Roman" w:hAnsi="Times New Roman" w:eastAsia="宋体" w:cs="Times New Roman"/>
          <w:b/>
          <w:bCs/>
          <w:kern w:val="2"/>
          <w:sz w:val="20"/>
          <w:szCs w:val="20"/>
          <w:lang w:val="en-US" w:eastAsia="zh-CN" w:bidi="en-US"/>
        </w:rPr>
        <w:t xml:space="preserve">Supplementary </w:t>
      </w:r>
      <w:r>
        <w:rPr>
          <w:rFonts w:hint="default" w:ascii="Times New Roman" w:hAnsi="Times New Roman" w:eastAsia="宋体" w:cs="Times New Roman"/>
          <w:b/>
          <w:bCs/>
          <w:kern w:val="2"/>
          <w:sz w:val="20"/>
          <w:szCs w:val="20"/>
          <w:lang w:val="en-US" w:eastAsia="zh-CN" w:bidi="en-US"/>
        </w:rPr>
        <w:t>Methods</w:t>
      </w:r>
    </w:p>
    <w:p>
      <w:pPr>
        <w:keepNext/>
        <w:keepLines/>
        <w:widowControl w:val="0"/>
        <w:suppressLineNumbers w:val="0"/>
        <w:spacing w:before="340" w:beforeAutospacing="0" w:after="330" w:afterAutospacing="0" w:line="360" w:lineRule="auto"/>
        <w:ind w:right="0"/>
        <w:jc w:val="both"/>
        <w:rPr>
          <w:rFonts w:hint="default" w:ascii="Times New Roman" w:hAnsi="Times New Roman" w:eastAsia="宋体" w:cs="Times New Roman"/>
          <w:b/>
          <w:bCs/>
          <w:kern w:val="2"/>
          <w:sz w:val="20"/>
          <w:szCs w:val="20"/>
          <w:lang w:val="en-US" w:eastAsia="zh-CN" w:bidi="en-US"/>
        </w:rPr>
      </w:pPr>
      <w:r>
        <w:rPr>
          <w:rFonts w:hint="default" w:ascii="Times New Roman" w:hAnsi="Times New Roman" w:eastAsia="宋体" w:cs="Times New Roman"/>
          <w:b/>
          <w:bCs/>
          <w:kern w:val="2"/>
          <w:sz w:val="20"/>
          <w:szCs w:val="20"/>
          <w:lang w:val="en-US" w:eastAsia="zh-CN" w:bidi="en-US"/>
        </w:rPr>
        <w:t>16S rRNA gene sequencing analysis</w:t>
      </w:r>
    </w:p>
    <w:p>
      <w:pPr>
        <w:keepNext/>
        <w:keepLines/>
        <w:widowControl w:val="0"/>
        <w:suppressLineNumbers w:val="0"/>
        <w:spacing w:before="340" w:beforeAutospacing="0" w:after="330" w:afterAutospacing="0" w:line="360" w:lineRule="auto"/>
        <w:ind w:left="0" w:right="0" w:firstLine="300" w:firstLineChars="150"/>
        <w:jc w:val="both"/>
        <w:rPr>
          <w:rFonts w:hint="default" w:ascii="Times New Roman" w:hAnsi="Times New Roman" w:cs="Times New Roman"/>
          <w:sz w:val="20"/>
          <w:szCs w:val="20"/>
          <w:lang w:val="en-US" w:bidi="en-US"/>
        </w:rPr>
      </w:pPr>
      <w:r>
        <w:rPr>
          <w:rFonts w:hint="default" w:ascii="Times New Roman" w:hAnsi="Times New Roman" w:eastAsia="宋体" w:cs="Times New Roman"/>
          <w:kern w:val="2"/>
          <w:sz w:val="20"/>
          <w:szCs w:val="20"/>
          <w:lang w:val="en-US" w:eastAsia="zh-CN" w:bidi="en-US"/>
        </w:rPr>
        <w:t>Eighty colon contents samples in the KM experiment were collected for 16S rRNA gene analysis. Briefly, the steps of the analysis were DNA extraction, DNA quality detection, 16S rRNA gene amplification, purify the PCR products, PE library construction, Illumina sequencing and bioinformatics analysis</w: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 </w:instrTex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EN.CITE.DATA </w:instrText>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vertAlign w:val="superscript"/>
          <w:lang w:val="en-US" w:eastAsia="zh-CN" w:bidi="en-US"/>
        </w:rPr>
        <w:t>[20, 21]</w:t>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t>. The microbiomes were analyzed at the Shanghai Majorbio BioPharm Technology Co., Ltd..</w:t>
      </w:r>
    </w:p>
    <w:p>
      <w:pPr>
        <w:keepNext/>
        <w:keepLines/>
        <w:widowControl w:val="0"/>
        <w:suppressLineNumbers w:val="0"/>
        <w:spacing w:before="340" w:beforeAutospacing="0" w:after="330" w:afterAutospacing="0" w:line="360" w:lineRule="auto"/>
        <w:ind w:left="0" w:right="0" w:firstLine="200" w:firstLineChars="100"/>
        <w:jc w:val="both"/>
        <w:rPr>
          <w:rFonts w:hint="default" w:ascii="Times New Roman" w:hAnsi="Times New Roman" w:cs="Times New Roman"/>
          <w:sz w:val="20"/>
          <w:szCs w:val="20"/>
          <w:lang w:val="en-US" w:bidi="en-US"/>
        </w:rPr>
      </w:pPr>
      <w:r>
        <w:rPr>
          <w:rFonts w:hint="default" w:ascii="Times New Roman" w:hAnsi="Times New Roman" w:eastAsia="宋体" w:cs="Times New Roman"/>
          <w:kern w:val="2"/>
          <w:sz w:val="20"/>
          <w:szCs w:val="20"/>
          <w:lang w:val="en-US" w:eastAsia="zh-CN" w:bidi="en-US"/>
        </w:rPr>
        <w:t>A TIANmap Stool DNA Kit (DP328, TIAGEN biotech Co., Ltd., Beijing, China) was used to extract genomic DNA from colon contents according to the manufacture's protocols. Concentration and purity of extracted DNA was determined with TBS-380 Mini-Fluorometer (Turner BioSystems Co., Ltd, USA) and NanoDrop2000 (Thermo Scientific Co., Ltd, USA), respectively. DNA extract quality was checked on 1% agarose gel.</w:t>
      </w:r>
      <w:r>
        <w:rPr>
          <w:rFonts w:hint="default" w:ascii="Calibri" w:hAnsi="Calibri" w:eastAsia="宋体" w:cs="Times New Roman"/>
          <w:kern w:val="2"/>
          <w:sz w:val="21"/>
          <w:szCs w:val="24"/>
          <w:lang w:val="en-US" w:eastAsia="zh-CN" w:bidi="ar"/>
        </w:rPr>
        <w:t xml:space="preserve"> </w:t>
      </w:r>
      <w:r>
        <w:rPr>
          <w:rFonts w:hint="default" w:ascii="Times New Roman" w:hAnsi="Times New Roman" w:eastAsia="宋体" w:cs="Times New Roman"/>
          <w:kern w:val="2"/>
          <w:sz w:val="20"/>
          <w:szCs w:val="20"/>
          <w:lang w:val="en-US" w:eastAsia="zh-CN" w:bidi="en-US"/>
        </w:rPr>
        <w:t>The V3-V4 regions of the bacterial 16S rRNA gene were amplified with a set of</w:t>
      </w:r>
    </w:p>
    <w:p>
      <w:pPr>
        <w:keepNext/>
        <w:keepLines/>
        <w:widowControl w:val="0"/>
        <w:suppressLineNumbers w:val="0"/>
        <w:spacing w:before="340" w:beforeAutospacing="0" w:after="330" w:afterAutospacing="0" w:line="360" w:lineRule="auto"/>
        <w:ind w:left="0" w:right="0"/>
        <w:jc w:val="both"/>
        <w:rPr>
          <w:rFonts w:hint="default" w:ascii="Times New Roman" w:hAnsi="Times New Roman" w:cs="Times New Roman"/>
          <w:sz w:val="20"/>
          <w:szCs w:val="20"/>
          <w:lang w:val="en-US" w:bidi="en-US"/>
        </w:rPr>
      </w:pPr>
      <w:r>
        <w:rPr>
          <w:rFonts w:hint="default" w:ascii="Times New Roman" w:hAnsi="Times New Roman" w:eastAsia="宋体" w:cs="Times New Roman"/>
          <w:kern w:val="2"/>
          <w:sz w:val="20"/>
          <w:szCs w:val="20"/>
          <w:lang w:val="en-US" w:eastAsia="zh-CN" w:bidi="en-US"/>
        </w:rPr>
        <w:t>primers: 338F: 5-ACTCCTACGGGAGGCAGCAG-3, 806R:5’-GGACTACHVGGGTWTCTAAT-3’ (ABI GeneAmp® 9700, USA). The PE library was constructed after the purification, quantification and normalization of the PCR products. Finally, the eligible library was sequenced via the Illumina MiSeq platform</w: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 </w:instrTex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EN.CITE.DATA </w:instrText>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vertAlign w:val="superscript"/>
          <w:lang w:val="en-US" w:eastAsia="zh-CN" w:bidi="en-US"/>
        </w:rPr>
        <w:t>[20]</w:t>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t>.</w:t>
      </w:r>
    </w:p>
    <w:p>
      <w:pPr>
        <w:keepNext/>
        <w:keepLines/>
        <w:widowControl w:val="0"/>
        <w:suppressLineNumbers w:val="0"/>
        <w:spacing w:before="340" w:beforeAutospacing="0" w:after="330" w:afterAutospacing="0" w:line="360" w:lineRule="auto"/>
        <w:ind w:left="0" w:right="0" w:firstLine="200" w:firstLineChars="100"/>
        <w:jc w:val="both"/>
        <w:rPr>
          <w:rFonts w:hint="default" w:ascii="Times New Roman" w:hAnsi="Times New Roman" w:cs="Times New Roman"/>
          <w:sz w:val="20"/>
          <w:szCs w:val="20"/>
          <w:lang w:val="en-US" w:bidi="en-US"/>
        </w:rPr>
      </w:pPr>
      <w:r>
        <w:rPr>
          <w:rFonts w:hint="default" w:ascii="Times New Roman" w:hAnsi="Times New Roman" w:eastAsia="宋体" w:cs="Times New Roman"/>
          <w:kern w:val="2"/>
          <w:sz w:val="20"/>
          <w:szCs w:val="20"/>
          <w:lang w:val="en-US" w:eastAsia="zh-CN" w:bidi="en-US"/>
        </w:rPr>
        <w:t xml:space="preserve"> The paired-end (PE) reads, which are obtained from Illumina MiSeq platform, are used for further bioinformatics analysis. PE reads splicing, tags filtering and removal of chimeras were executed before bioinformatics analysis</w: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 </w:instrTex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EN.CITE.DATA </w:instrText>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vertAlign w:val="superscript"/>
          <w:lang w:val="en-US" w:eastAsia="zh-CN" w:bidi="en-US"/>
        </w:rPr>
        <w:t>[22]</w:t>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t xml:space="preserve">. The optimized reads were put into Uparse (version v. 7.0.1090, </w:t>
      </w:r>
      <w:r>
        <w:rPr>
          <w:rFonts w:hint="default" w:ascii="Calibri" w:hAnsi="Calibri" w:eastAsia="宋体" w:cs="Times New Roman"/>
          <w:kern w:val="2"/>
          <w:sz w:val="21"/>
          <w:szCs w:val="24"/>
          <w:lang w:val="en-US" w:eastAsia="zh-CN" w:bidi="ar"/>
        </w:rPr>
        <w:fldChar w:fldCharType="begin"/>
      </w:r>
      <w:r>
        <w:rPr>
          <w:rFonts w:hint="default" w:ascii="Calibri" w:hAnsi="Calibri" w:eastAsia="宋体" w:cs="Times New Roman"/>
          <w:kern w:val="2"/>
          <w:sz w:val="21"/>
          <w:szCs w:val="24"/>
          <w:lang w:val="en-US" w:eastAsia="zh-CN" w:bidi="ar"/>
        </w:rPr>
        <w:instrText xml:space="preserve"> HYPERLINK "http://www.drive5.com/uparse/" </w:instrText>
      </w:r>
      <w:r>
        <w:rPr>
          <w:rFonts w:hint="default" w:ascii="Calibri" w:hAnsi="Calibri" w:eastAsia="宋体" w:cs="Times New Roman"/>
          <w:kern w:val="2"/>
          <w:sz w:val="21"/>
          <w:szCs w:val="24"/>
          <w:lang w:val="en-US" w:eastAsia="zh-CN" w:bidi="ar"/>
        </w:rPr>
        <w:fldChar w:fldCharType="separate"/>
      </w:r>
      <w:r>
        <w:rPr>
          <w:rStyle w:val="5"/>
          <w:rFonts w:hint="default" w:ascii="Times New Roman" w:hAnsi="Times New Roman" w:cs="Times New Roman"/>
          <w:sz w:val="20"/>
          <w:szCs w:val="20"/>
          <w:u w:val="single"/>
          <w:lang w:val="en-US" w:bidi="en-US"/>
        </w:rPr>
        <w:t>http://www.drive5.com/uparse/</w:t>
      </w:r>
      <w:r>
        <w:rPr>
          <w:rFonts w:hint="default" w:ascii="Calibri" w:hAnsi="Calibri" w:eastAsia="宋体" w:cs="Times New Roman"/>
          <w:kern w:val="2"/>
          <w:sz w:val="21"/>
          <w:szCs w:val="24"/>
          <w:lang w:val="en-US" w:eastAsia="zh-CN" w:bidi="ar"/>
        </w:rPr>
        <w:fldChar w:fldCharType="end"/>
      </w:r>
      <w:r>
        <w:rPr>
          <w:rFonts w:hint="default" w:ascii="Times New Roman" w:hAnsi="Times New Roman" w:eastAsia="宋体" w:cs="Times New Roman"/>
          <w:kern w:val="2"/>
          <w:sz w:val="20"/>
          <w:szCs w:val="20"/>
          <w:lang w:val="en-US" w:eastAsia="zh-CN" w:bidi="en-US"/>
        </w:rPr>
        <w:t>) software to obtain operational taxonomic unit (OUT) with a</w:t>
      </w:r>
      <w:r>
        <w:rPr>
          <w:rFonts w:hint="default" w:ascii="Calibri" w:hAnsi="Calibri" w:eastAsia="宋体" w:cs="Times New Roman"/>
          <w:kern w:val="2"/>
          <w:sz w:val="21"/>
          <w:szCs w:val="24"/>
          <w:lang w:val="en-US" w:eastAsia="zh-CN" w:bidi="ar"/>
        </w:rPr>
        <w:t xml:space="preserve"> </w:t>
      </w:r>
      <w:r>
        <w:rPr>
          <w:rFonts w:hint="default" w:ascii="Times New Roman" w:hAnsi="Times New Roman" w:eastAsia="宋体" w:cs="Times New Roman"/>
          <w:kern w:val="2"/>
          <w:sz w:val="20"/>
          <w:szCs w:val="20"/>
          <w:lang w:val="en-US" w:eastAsia="zh-CN" w:bidi="en-US"/>
        </w:rPr>
        <w:t>97 % similar threshold, and the OTU was taxonomically annotated based on the Silva 138 (</w:t>
      </w:r>
      <w:r>
        <w:rPr>
          <w:rFonts w:hint="default" w:ascii="Calibri" w:hAnsi="Calibri" w:eastAsia="宋体" w:cs="Times New Roman"/>
          <w:kern w:val="2"/>
          <w:sz w:val="21"/>
          <w:szCs w:val="24"/>
          <w:lang w:val="en-US" w:eastAsia="zh-CN" w:bidi="ar"/>
        </w:rPr>
        <w:fldChar w:fldCharType="begin"/>
      </w:r>
      <w:r>
        <w:rPr>
          <w:rFonts w:hint="default" w:ascii="Calibri" w:hAnsi="Calibri" w:eastAsia="宋体" w:cs="Times New Roman"/>
          <w:kern w:val="2"/>
          <w:sz w:val="21"/>
          <w:szCs w:val="24"/>
          <w:lang w:val="en-US" w:eastAsia="zh-CN" w:bidi="ar"/>
        </w:rPr>
        <w:instrText xml:space="preserve"> HYPERLINK "https://www.arb-silva.de/" </w:instrText>
      </w:r>
      <w:r>
        <w:rPr>
          <w:rFonts w:hint="default" w:ascii="Calibri" w:hAnsi="Calibri" w:eastAsia="宋体" w:cs="Times New Roman"/>
          <w:kern w:val="2"/>
          <w:sz w:val="21"/>
          <w:szCs w:val="24"/>
          <w:lang w:val="en-US" w:eastAsia="zh-CN" w:bidi="ar"/>
        </w:rPr>
        <w:fldChar w:fldCharType="separate"/>
      </w:r>
      <w:r>
        <w:rPr>
          <w:rStyle w:val="5"/>
          <w:rFonts w:hint="default" w:ascii="Times New Roman" w:hAnsi="Times New Roman" w:cs="Times New Roman"/>
          <w:sz w:val="20"/>
          <w:szCs w:val="20"/>
          <w:u w:val="single"/>
          <w:lang w:val="en-US" w:bidi="en-US"/>
        </w:rPr>
        <w:t>https://www.arb-silva.de/</w:t>
      </w:r>
      <w:r>
        <w:rPr>
          <w:rFonts w:hint="default" w:ascii="Calibri" w:hAnsi="Calibri" w:eastAsia="宋体" w:cs="Times New Roman"/>
          <w:kern w:val="2"/>
          <w:sz w:val="21"/>
          <w:szCs w:val="24"/>
          <w:lang w:val="en-US" w:eastAsia="zh-CN" w:bidi="ar"/>
        </w:rPr>
        <w:fldChar w:fldCharType="end"/>
      </w:r>
      <w:r>
        <w:rPr>
          <w:rFonts w:hint="default" w:ascii="Times New Roman" w:hAnsi="Times New Roman" w:eastAsia="宋体" w:cs="Times New Roman"/>
          <w:kern w:val="2"/>
          <w:sz w:val="20"/>
          <w:szCs w:val="20"/>
          <w:lang w:val="en-US" w:eastAsia="zh-CN" w:bidi="en-US"/>
        </w:rPr>
        <w:t xml:space="preserve">) at the domain, kingdom, phylum, class, order, family, genus, and species levels. The alpha diversity (including shannon index, ace index and chao index) was estimated by Mothur (version v. 1.30.2, </w:t>
      </w:r>
      <w:r>
        <w:rPr>
          <w:rFonts w:hint="default" w:ascii="Calibri" w:hAnsi="Calibri" w:eastAsia="宋体" w:cs="Times New Roman"/>
          <w:kern w:val="2"/>
          <w:sz w:val="21"/>
          <w:szCs w:val="24"/>
          <w:lang w:val="en-US" w:eastAsia="zh-CN" w:bidi="ar"/>
        </w:rPr>
        <w:fldChar w:fldCharType="begin"/>
      </w:r>
      <w:r>
        <w:rPr>
          <w:rFonts w:hint="default" w:ascii="Calibri" w:hAnsi="Calibri" w:eastAsia="宋体" w:cs="Times New Roman"/>
          <w:kern w:val="2"/>
          <w:sz w:val="21"/>
          <w:szCs w:val="24"/>
          <w:lang w:val="en-US" w:eastAsia="zh-CN" w:bidi="ar"/>
        </w:rPr>
        <w:instrText xml:space="preserve"> HYPERLINK "https://www.mothur.org/wiki/Download_mothur" </w:instrText>
      </w:r>
      <w:r>
        <w:rPr>
          <w:rFonts w:hint="default" w:ascii="Calibri" w:hAnsi="Calibri" w:eastAsia="宋体" w:cs="Times New Roman"/>
          <w:kern w:val="2"/>
          <w:sz w:val="21"/>
          <w:szCs w:val="24"/>
          <w:lang w:val="en-US" w:eastAsia="zh-CN" w:bidi="ar"/>
        </w:rPr>
        <w:fldChar w:fldCharType="separate"/>
      </w:r>
      <w:r>
        <w:rPr>
          <w:rStyle w:val="5"/>
          <w:rFonts w:hint="default" w:ascii="Times New Roman" w:hAnsi="Times New Roman" w:cs="Times New Roman"/>
          <w:sz w:val="20"/>
          <w:szCs w:val="20"/>
          <w:u w:val="single"/>
          <w:lang w:val="en-US" w:bidi="en-US"/>
        </w:rPr>
        <w:t>https://www.mothur.org/wiki/Download_mothur</w:t>
      </w:r>
      <w:r>
        <w:rPr>
          <w:rFonts w:hint="default" w:ascii="Calibri" w:hAnsi="Calibri" w:eastAsia="宋体" w:cs="Times New Roman"/>
          <w:kern w:val="2"/>
          <w:sz w:val="21"/>
          <w:szCs w:val="24"/>
          <w:lang w:val="en-US" w:eastAsia="zh-CN" w:bidi="ar"/>
        </w:rPr>
        <w:fldChar w:fldCharType="end"/>
      </w:r>
      <w:r>
        <w:rPr>
          <w:rFonts w:hint="default" w:ascii="Times New Roman" w:hAnsi="Times New Roman" w:eastAsia="宋体" w:cs="Times New Roman"/>
          <w:kern w:val="2"/>
          <w:sz w:val="20"/>
          <w:szCs w:val="20"/>
          <w:lang w:val="en-US" w:eastAsia="zh-CN" w:bidi="en-US"/>
        </w:rPr>
        <w:t>) software. Beta diversity analysis, including principal component analysis (PCA) and hierarchical clustering, was calculated using Bray-Curtis algorithm of QIIME and R software to compare the similarity of species diversity in different groups. In addition, COG functional prediction by PICRUSt (http://picrust.github.io/picrust) was used to analyze the metagenomic function of the gut microbiota.</w:t>
      </w:r>
    </w:p>
    <w:p>
      <w:pPr>
        <w:keepNext/>
        <w:keepLines/>
        <w:widowControl w:val="0"/>
        <w:suppressLineNumbers w:val="0"/>
        <w:spacing w:before="340" w:beforeAutospacing="0" w:after="330" w:afterAutospacing="0" w:line="360" w:lineRule="auto"/>
        <w:ind w:left="0" w:right="0"/>
        <w:jc w:val="both"/>
        <w:rPr>
          <w:rFonts w:hint="default" w:ascii="Times New Roman" w:hAnsi="Times New Roman" w:cs="Times New Roman"/>
          <w:b/>
          <w:bCs/>
          <w:sz w:val="20"/>
          <w:szCs w:val="20"/>
          <w:lang w:val="en-US" w:bidi="en-US"/>
        </w:rPr>
      </w:pPr>
      <w:r>
        <w:rPr>
          <w:rFonts w:hint="default" w:ascii="Times New Roman" w:hAnsi="Times New Roman" w:eastAsia="宋体" w:cs="Times New Roman"/>
          <w:b/>
          <w:bCs/>
          <w:kern w:val="2"/>
          <w:sz w:val="20"/>
          <w:szCs w:val="20"/>
          <w:lang w:val="en-US" w:eastAsia="zh-CN" w:bidi="en-US"/>
        </w:rPr>
        <w:t xml:space="preserve">Untargeted metabolomics analysis </w:t>
      </w:r>
    </w:p>
    <w:p>
      <w:pPr>
        <w:keepNext/>
        <w:keepLines/>
        <w:widowControl w:val="0"/>
        <w:suppressLineNumbers w:val="0"/>
        <w:spacing w:before="340" w:beforeAutospacing="0" w:after="330" w:afterAutospacing="0" w:line="360" w:lineRule="auto"/>
        <w:ind w:left="0" w:right="0"/>
        <w:jc w:val="both"/>
        <w:rPr>
          <w:rFonts w:hint="default" w:ascii="Times New Roman" w:hAnsi="Times New Roman" w:cs="Times New Roman"/>
          <w:sz w:val="20"/>
          <w:szCs w:val="20"/>
          <w:lang w:val="en-US" w:bidi="en-US"/>
        </w:rPr>
      </w:pPr>
      <w:r>
        <w:rPr>
          <w:rFonts w:hint="default" w:ascii="Times New Roman" w:hAnsi="Times New Roman" w:eastAsia="宋体" w:cs="Times New Roman"/>
          <w:kern w:val="2"/>
          <w:sz w:val="20"/>
          <w:szCs w:val="20"/>
          <w:lang w:val="en-US" w:eastAsia="zh-CN" w:bidi="en-US"/>
        </w:rPr>
        <w:t xml:space="preserve">   The contents samples from the KM experiment were used for untargeted metabolomics analysis with UHPLC-QTOF-MS technology. The method was conducted as previously described</w: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 </w:instrTex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EN.CITE.DATA </w:instrText>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vertAlign w:val="superscript"/>
          <w:lang w:val="en-US" w:eastAsia="zh-CN" w:bidi="en-US"/>
        </w:rPr>
        <w:t>[13, 20]</w:t>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t>. Briefly, the methods concluded sample preprocessing, QC preparation, LC-MS/MS mass spectrometry analysis and data processing.</w:t>
      </w:r>
    </w:p>
    <w:p>
      <w:pPr>
        <w:keepNext/>
        <w:keepLines/>
        <w:widowControl w:val="0"/>
        <w:suppressLineNumbers w:val="0"/>
        <w:spacing w:before="340" w:beforeAutospacing="0" w:after="330" w:afterAutospacing="0" w:line="360" w:lineRule="auto"/>
        <w:ind w:left="0" w:right="0" w:firstLine="300" w:firstLineChars="150"/>
        <w:jc w:val="both"/>
        <w:rPr>
          <w:rFonts w:hint="default" w:ascii="Times New Roman" w:hAnsi="Times New Roman" w:cs="Times New Roman"/>
          <w:sz w:val="20"/>
          <w:szCs w:val="20"/>
          <w:lang w:val="en-US" w:bidi="en-US"/>
        </w:rPr>
      </w:pPr>
      <w:r>
        <w:rPr>
          <w:rFonts w:hint="default" w:ascii="Times New Roman" w:hAnsi="Times New Roman" w:eastAsia="宋体" w:cs="Times New Roman"/>
          <w:kern w:val="2"/>
          <w:sz w:val="20"/>
          <w:szCs w:val="20"/>
          <w:lang w:val="en-US" w:eastAsia="zh-CN" w:bidi="en-US"/>
        </w:rPr>
        <w:t>The sample of colon contents were taken out from -80</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 and thawed at 4°C before their analysis. Weighing 80mg samples, and joining 200 ul water, vortex 60 s. Then adding a 800 ul methanol acetonitrile solution (1:1,v/v), vortex 60s. Later, ultrasound at 4</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 xml:space="preserve"> for 30min, twice, placed at -20</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 xml:space="preserve"> for 1 hour to precipitate the protein. The last step was centrifuged at 4</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 xml:space="preserve"> for 20min with 14000g, and collected the supernatant. QC samples were prepared with mixing equal quality colon contents from every sample. QC samples are used to evaluate the stability of the system during the whole experiment.</w:t>
      </w:r>
    </w:p>
    <w:p>
      <w:pPr>
        <w:keepNext/>
        <w:keepLines/>
        <w:widowControl w:val="0"/>
        <w:suppressLineNumbers w:val="0"/>
        <w:spacing w:before="340" w:beforeAutospacing="0" w:after="330" w:afterAutospacing="0" w:line="360" w:lineRule="auto"/>
        <w:ind w:left="0" w:right="0" w:firstLine="300" w:firstLineChars="150"/>
        <w:jc w:val="both"/>
        <w:rPr>
          <w:rFonts w:hint="default" w:ascii="Times New Roman" w:hAnsi="Times New Roman" w:cs="Times New Roman"/>
          <w:sz w:val="20"/>
          <w:szCs w:val="20"/>
          <w:lang w:val="en-US" w:bidi="en-US"/>
        </w:rPr>
      </w:pPr>
      <w:r>
        <w:rPr>
          <w:rFonts w:hint="default" w:ascii="Times New Roman" w:hAnsi="Times New Roman" w:eastAsia="宋体" w:cs="Times New Roman"/>
          <w:kern w:val="2"/>
          <w:sz w:val="20"/>
          <w:szCs w:val="20"/>
          <w:lang w:val="en-US" w:eastAsia="zh-CN" w:bidi="en-US"/>
        </w:rPr>
        <w:t xml:space="preserve"> We used a 1290 UHPLC system (Agilent Technologies) for UHPLC analysis and an Agilent 6600 mass spectrometer for mass spectrum analysis. The chromatography conditions: ACQUITY UPLC BEH Amide column (1.7 μm, 2.1 mm × 100 mm, Waters, Ireland). Column temperature 25 ◦C, flow rate 0.3 mL/min.</w:t>
      </w:r>
      <w:r>
        <w:rPr>
          <w:rFonts w:hint="default" w:ascii="Calibri" w:hAnsi="Calibri" w:eastAsia="宋体" w:cs="Times New Roman"/>
          <w:kern w:val="2"/>
          <w:sz w:val="21"/>
          <w:szCs w:val="24"/>
          <w:lang w:val="en-US" w:eastAsia="zh-CN" w:bidi="ar"/>
        </w:rPr>
        <w:t xml:space="preserve"> </w:t>
      </w:r>
      <w:r>
        <w:rPr>
          <w:rFonts w:hint="default" w:ascii="Times New Roman" w:hAnsi="Times New Roman" w:eastAsia="宋体" w:cs="Times New Roman"/>
          <w:kern w:val="2"/>
          <w:sz w:val="20"/>
          <w:szCs w:val="20"/>
          <w:lang w:val="en-US" w:eastAsia="zh-CN" w:bidi="en-US"/>
        </w:rPr>
        <w:t>Mobile phase A:</w:t>
      </w:r>
      <w:r>
        <w:rPr>
          <w:rFonts w:hint="default" w:ascii="Calibri" w:hAnsi="Calibri" w:eastAsia="宋体" w:cs="Times New Roman"/>
          <w:kern w:val="2"/>
          <w:sz w:val="21"/>
          <w:szCs w:val="24"/>
          <w:lang w:val="en-US" w:eastAsia="zh-CN" w:bidi="ar"/>
        </w:rPr>
        <w:t xml:space="preserve"> </w:t>
      </w:r>
      <w:r>
        <w:rPr>
          <w:rFonts w:hint="default" w:ascii="Times New Roman" w:hAnsi="Times New Roman" w:eastAsia="宋体" w:cs="Times New Roman"/>
          <w:kern w:val="2"/>
          <w:sz w:val="20"/>
          <w:szCs w:val="20"/>
          <w:lang w:val="en-US" w:eastAsia="zh-CN" w:bidi="en-US"/>
        </w:rPr>
        <w:t>water +25 mM ammonium acetate + 25 mM ammonium hydroxide. Mobile phase A: acetonitrile.</w:t>
      </w:r>
      <w:r>
        <w:rPr>
          <w:rFonts w:hint="default" w:ascii="Calibri" w:hAnsi="Calibri" w:eastAsia="宋体" w:cs="Times New Roman"/>
          <w:kern w:val="2"/>
          <w:sz w:val="21"/>
          <w:szCs w:val="24"/>
          <w:lang w:val="en-US" w:eastAsia="zh-CN" w:bidi="ar"/>
        </w:rPr>
        <w:t xml:space="preserve"> </w:t>
      </w:r>
      <w:r>
        <w:rPr>
          <w:rFonts w:hint="default" w:ascii="Times New Roman" w:hAnsi="Times New Roman" w:eastAsia="宋体" w:cs="Times New Roman"/>
          <w:kern w:val="2"/>
          <w:sz w:val="20"/>
          <w:szCs w:val="20"/>
          <w:lang w:val="en-US" w:eastAsia="zh-CN" w:bidi="en-US"/>
        </w:rPr>
        <w:t>The following gradient elution procedure was performed as previous studies</w: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 </w:instrText>
      </w:r>
      <w:r>
        <w:rPr>
          <w:rFonts w:hint="default" w:ascii="Times New Roman" w:hAnsi="Times New Roman" w:eastAsia="宋体" w:cs="Times New Roman"/>
          <w:kern w:val="2"/>
          <w:sz w:val="20"/>
          <w:szCs w:val="20"/>
          <w:lang w:val="en-US" w:eastAsia="zh-CN" w:bidi="en-US"/>
        </w:rPr>
        <w:fldChar w:fldCharType="begin"/>
      </w:r>
      <w:r>
        <w:rPr>
          <w:rFonts w:hint="default" w:ascii="Times New Roman" w:hAnsi="Times New Roman" w:eastAsia="宋体" w:cs="Times New Roman"/>
          <w:kern w:val="2"/>
          <w:sz w:val="20"/>
          <w:szCs w:val="20"/>
          <w:lang w:val="en-US" w:eastAsia="zh-CN" w:bidi="en-US"/>
        </w:rPr>
        <w:instrText xml:space="preserve"> ADDIN EN.CITE.DATA </w:instrText>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fldChar w:fldCharType="separate"/>
      </w:r>
      <w:r>
        <w:rPr>
          <w:rFonts w:hint="default" w:ascii="Times New Roman" w:hAnsi="Times New Roman" w:eastAsia="宋体" w:cs="Times New Roman"/>
          <w:kern w:val="2"/>
          <w:sz w:val="20"/>
          <w:szCs w:val="20"/>
          <w:vertAlign w:val="superscript"/>
          <w:lang w:val="en-US" w:eastAsia="zh-CN" w:bidi="en-US"/>
        </w:rPr>
        <w:t>[20]</w:t>
      </w:r>
      <w:r>
        <w:rPr>
          <w:rFonts w:hint="default" w:ascii="Times New Roman" w:hAnsi="Times New Roman" w:eastAsia="宋体" w:cs="Times New Roman"/>
          <w:kern w:val="2"/>
          <w:sz w:val="20"/>
          <w:szCs w:val="20"/>
          <w:lang w:val="en-US" w:eastAsia="zh-CN" w:bidi="en-US"/>
        </w:rPr>
        <w:fldChar w:fldCharType="end"/>
      </w:r>
      <w:r>
        <w:rPr>
          <w:rFonts w:hint="default" w:ascii="Times New Roman" w:hAnsi="Times New Roman" w:eastAsia="宋体" w:cs="Times New Roman"/>
          <w:kern w:val="2"/>
          <w:sz w:val="20"/>
          <w:szCs w:val="20"/>
          <w:lang w:val="en-US" w:eastAsia="zh-CN" w:bidi="en-US"/>
        </w:rPr>
        <w:t xml:space="preserve">. After UHPLC analysis, the samples were separated. We used </w:t>
      </w:r>
      <w:bookmarkStart w:id="0" w:name="OLE_LINK8"/>
      <w:r>
        <w:rPr>
          <w:rFonts w:hint="default" w:ascii="Times New Roman" w:hAnsi="Times New Roman" w:eastAsia="宋体" w:cs="Times New Roman"/>
          <w:kern w:val="2"/>
          <w:sz w:val="20"/>
          <w:szCs w:val="20"/>
          <w:lang w:val="en-US" w:eastAsia="zh-CN" w:bidi="en-US"/>
        </w:rPr>
        <w:t>an Agilent 6600 mass spectrometer for</w:t>
      </w:r>
      <w:bookmarkEnd w:id="0"/>
      <w:r>
        <w:rPr>
          <w:rFonts w:hint="default" w:ascii="Times New Roman" w:hAnsi="Times New Roman" w:eastAsia="宋体" w:cs="Times New Roman"/>
          <w:kern w:val="2"/>
          <w:sz w:val="20"/>
          <w:szCs w:val="20"/>
          <w:lang w:val="en-US" w:eastAsia="zh-CN" w:bidi="en-US"/>
        </w:rPr>
        <w:t xml:space="preserve"> identifying the separated metabolites. The electrospray ionization(ESI) source conditions were as follows: ion source gas1(Gas1):40, ion source gas2(Gas2):80, curtain gas (CUR):30, source temperature:650</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 ion sapary voltage floating (ISVF)</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 xml:space="preserve">5000 V </w:t>
      </w:r>
      <w:bookmarkStart w:id="1" w:name="_Hlk123822879"/>
      <w:r>
        <w:rPr>
          <w:rFonts w:hint="default" w:ascii="Times New Roman" w:hAnsi="Times New Roman" w:eastAsia="宋体" w:cs="Times New Roman"/>
          <w:kern w:val="2"/>
          <w:sz w:val="20"/>
          <w:szCs w:val="20"/>
          <w:lang w:val="en-US" w:eastAsia="zh-CN" w:bidi="en-US"/>
        </w:rPr>
        <w:t>(positive and negative modules type</w:t>
      </w:r>
      <w:bookmarkEnd w:id="1"/>
      <w:r>
        <w:rPr>
          <w:rFonts w:hint="default" w:ascii="Times New Roman" w:hAnsi="Times New Roman" w:eastAsia="宋体" w:cs="Times New Roman"/>
          <w:kern w:val="2"/>
          <w:sz w:val="20"/>
          <w:szCs w:val="20"/>
          <w:lang w:val="en-US" w:eastAsia="zh-CN" w:bidi="en-US"/>
        </w:rPr>
        <w:t>). Secondary mass spectrometry was obtained by information dependent acquisition (IDA) with high sensitivity model. The conditions were as follows: Declustering potential (DP):±60 V ((positive and negative modules type), Collision Energy :35±15 eV, IDA was set as: Exclude isotopes within 4 Da,Candidate ions to monitor per cycle:10.The collected data (wiff.scan format) were saved in. mzXML format by MSconventer for further analysis.</w:t>
      </w:r>
    </w:p>
    <w:p>
      <w:pPr>
        <w:keepNext/>
        <w:keepLines/>
        <w:widowControl w:val="0"/>
        <w:suppressLineNumbers w:val="0"/>
        <w:spacing w:before="340" w:beforeAutospacing="0" w:after="330" w:afterAutospacing="0" w:line="360" w:lineRule="auto"/>
        <w:ind w:left="0" w:right="0" w:firstLine="300" w:firstLineChars="150"/>
        <w:jc w:val="both"/>
        <w:rPr>
          <w:rFonts w:hint="default" w:ascii="Times New Roman" w:hAnsi="Times New Roman" w:cs="Times New Roman"/>
          <w:sz w:val="20"/>
          <w:szCs w:val="20"/>
          <w:lang w:val="en-US" w:bidi="en-US"/>
        </w:rPr>
      </w:pPr>
      <w:r>
        <w:rPr>
          <w:rFonts w:hint="default" w:ascii="Times New Roman" w:hAnsi="Times New Roman" w:eastAsia="宋体" w:cs="Times New Roman"/>
          <w:kern w:val="2"/>
          <w:sz w:val="20"/>
          <w:szCs w:val="20"/>
          <w:lang w:val="en-US" w:eastAsia="zh-CN" w:bidi="en-US"/>
        </w:rPr>
        <w:t xml:space="preserve"> The original data was converted into mzxml format by ProteoWizard, and peak alignment, retention time correction and extraction of peak area were performed by XCMS software. The structure of metabolites was identified by accurate mass number matching (</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 xml:space="preserve">25 ppm) and the second-order spectrogram matching with the self-built database. The peak area was normalized with the z-score method, then the processed data were imported into SIMCA-P 14.1 for multivariate data analyses. The metabolites, which variable importance in the projection (VIP) value &gt;1 (in the OPLS-DA model) and </w:t>
      </w:r>
      <w:r>
        <w:rPr>
          <w:rFonts w:hint="default" w:ascii="Times New Roman" w:hAnsi="Times New Roman" w:eastAsia="宋体" w:cs="Times New Roman"/>
          <w:i/>
          <w:iCs/>
          <w:kern w:val="2"/>
          <w:sz w:val="20"/>
          <w:szCs w:val="20"/>
          <w:lang w:val="en-US" w:eastAsia="zh-CN" w:bidi="en-US"/>
        </w:rPr>
        <w:t>P</w:t>
      </w:r>
      <w:r>
        <w:rPr>
          <w:rFonts w:hint="default" w:ascii="Times New Roman" w:hAnsi="Times New Roman" w:eastAsia="宋体" w:cs="Times New Roman"/>
          <w:kern w:val="2"/>
          <w:sz w:val="20"/>
          <w:szCs w:val="20"/>
          <w:lang w:val="en-US" w:eastAsia="zh-CN" w:bidi="en-US"/>
        </w:rPr>
        <w:t xml:space="preserve"> value less than 0.5 (Student’s t-test, R software), were selected as a differential metabolite. The heatmaps of the differential metabolites were drawn by R software</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pheatmap package</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 xml:space="preserve"> and the method of normalization was z-score.</w:t>
      </w:r>
    </w:p>
    <w:p>
      <w:pPr>
        <w:keepNext/>
        <w:keepLines/>
        <w:widowControl w:val="0"/>
        <w:suppressLineNumbers w:val="0"/>
        <w:spacing w:before="340" w:beforeAutospacing="0" w:after="330" w:afterAutospacing="0" w:line="360" w:lineRule="auto"/>
        <w:ind w:left="0" w:right="0"/>
        <w:jc w:val="both"/>
        <w:rPr>
          <w:rFonts w:hint="default" w:ascii="Times New Roman" w:hAnsi="Times New Roman" w:cs="Times New Roman"/>
          <w:sz w:val="20"/>
          <w:szCs w:val="20"/>
          <w:lang w:val="en-US" w:bidi="en-US"/>
        </w:rPr>
      </w:pPr>
      <w:bookmarkStart w:id="5" w:name="_GoBack"/>
      <w:bookmarkEnd w:id="5"/>
      <w:r>
        <w:rPr>
          <w:rFonts w:hint="default" w:ascii="Times New Roman" w:hAnsi="Times New Roman" w:eastAsia="宋体" w:cs="Times New Roman"/>
          <w:kern w:val="2"/>
          <w:sz w:val="20"/>
          <w:szCs w:val="20"/>
          <w:lang w:val="en-US" w:eastAsia="zh-CN" w:bidi="en-US"/>
        </w:rPr>
        <w:t xml:space="preserve">   Each of the </w:t>
      </w:r>
      <w:bookmarkStart w:id="2" w:name="_Hlk123839687"/>
      <w:r>
        <w:rPr>
          <w:rFonts w:hint="default" w:ascii="Times New Roman" w:hAnsi="Times New Roman" w:eastAsia="宋体" w:cs="Times New Roman"/>
          <w:kern w:val="2"/>
          <w:sz w:val="20"/>
          <w:szCs w:val="20"/>
          <w:lang w:val="en-US" w:eastAsia="zh-CN" w:bidi="en-US"/>
        </w:rPr>
        <w:t>650 gut metabolites</w:t>
      </w:r>
      <w:bookmarkEnd w:id="2"/>
      <w:r>
        <w:rPr>
          <w:rFonts w:hint="default" w:ascii="Times New Roman" w:hAnsi="Times New Roman" w:eastAsia="宋体" w:cs="Times New Roman"/>
          <w:kern w:val="2"/>
          <w:sz w:val="20"/>
          <w:szCs w:val="20"/>
          <w:lang w:val="en-US" w:eastAsia="zh-CN" w:bidi="en-US"/>
        </w:rPr>
        <w:t xml:space="preserve"> were weighted accurately, and 8 different concentrations of every metabolite were prepared with acetonitrile. After trying many times, the best chromatography and Mass spectrometry conditions are as following. We used Agilent 1290 Infinity LC ultra-high-performance liquid chromatography system (UHPLC) with HILIC and C18 column for separation. HILIC column chromatography conditions: column temperature 35 ◦C, flow rate 0.3 mL/min. </w:t>
      </w:r>
      <w:bookmarkStart w:id="3" w:name="OLE_LINK7"/>
      <w:r>
        <w:rPr>
          <w:rFonts w:hint="default" w:ascii="Times New Roman" w:hAnsi="Times New Roman" w:eastAsia="宋体" w:cs="Times New Roman"/>
          <w:kern w:val="2"/>
          <w:sz w:val="20"/>
          <w:szCs w:val="20"/>
          <w:lang w:val="en-US" w:eastAsia="zh-CN" w:bidi="en-US"/>
        </w:rPr>
        <w:t xml:space="preserve">Mobile phase A: </w:t>
      </w:r>
      <w:bookmarkEnd w:id="3"/>
      <w:r>
        <w:rPr>
          <w:rFonts w:hint="default" w:ascii="Times New Roman" w:hAnsi="Times New Roman" w:eastAsia="宋体" w:cs="Times New Roman"/>
          <w:kern w:val="2"/>
          <w:sz w:val="20"/>
          <w:szCs w:val="20"/>
          <w:lang w:val="en-US" w:eastAsia="zh-CN" w:bidi="en-US"/>
        </w:rPr>
        <w:t xml:space="preserve">90% water + 2mM ammonium formate +10% acetonitrile; mobile phase B: Methanol + 0.4 formic acid. </w:t>
      </w:r>
      <w:bookmarkStart w:id="4" w:name="_Hlk123838871"/>
      <w:r>
        <w:rPr>
          <w:rFonts w:hint="default" w:ascii="Times New Roman" w:hAnsi="Times New Roman" w:eastAsia="宋体" w:cs="Times New Roman"/>
          <w:kern w:val="2"/>
          <w:sz w:val="20"/>
          <w:szCs w:val="20"/>
          <w:lang w:val="en-US" w:eastAsia="zh-CN" w:bidi="en-US"/>
        </w:rPr>
        <w:t>The gradient elution procedure is as follows:</w:t>
      </w:r>
      <w:bookmarkEnd w:id="4"/>
      <w:r>
        <w:rPr>
          <w:rFonts w:hint="default" w:ascii="Times New Roman" w:hAnsi="Times New Roman" w:eastAsia="宋体" w:cs="Times New Roman"/>
          <w:kern w:val="2"/>
          <w:sz w:val="20"/>
          <w:szCs w:val="20"/>
          <w:lang w:val="en-US" w:eastAsia="zh-CN" w:bidi="en-US"/>
        </w:rPr>
        <w:t xml:space="preserve"> 0-1.0 min 85% B, 1.0-3.0min B was linearly reduced to 80%, 3.0-4.0 B 80%, 4.0-6.0 B was linearly reduced to 70%, 6.0-10.0 min B was linearly reduced to 50%, 10.0-15.5 min B 50%, 15.5-15.6min B was linearly increased to 85%, 15.6-23.0min B 85%. C18 column chromatography conditions: column temperature 40 ◦C, flow rate 0.34mL/min. Mobile phase A: water + 2mM ammonium acetate + 0.2% ammonium hydroxide, mobile phase B: 99.5% acetonitrile + 0.5% ammonium hydroxide. The gradient elution procedure is as follows: 0-5.0 min B was linearly increased from 5% to 60%, 5.0-11.0 B was increased to 100%, 11.0-13.0 B 100%, 13.0-13.1 B was linearly decreased from 100% to 5%. 13.1-16.0min B 5%. We used an Agilent 6500+QTRAP mass spectrometer for mass spectrum analysis. The conditions: source temperature: 580</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ion source gas1</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GS1</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45</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ion Source Gas2</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GS2</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60</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 xml:space="preserve">curtain gas </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CUR</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35</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IonSpray Voltage</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IS</w:t>
      </w:r>
      <w:r>
        <w:rPr>
          <w:rFonts w:hint="eastAsia" w:ascii="Times New Roman" w:hAnsi="Times New Roman" w:eastAsia="宋体" w:cs="Times New Roman"/>
          <w:kern w:val="2"/>
          <w:sz w:val="20"/>
          <w:szCs w:val="20"/>
          <w:lang w:val="en-US" w:eastAsia="zh-CN" w:bidi="en-US"/>
        </w:rPr>
        <w:t>）：</w:t>
      </w:r>
      <w:r>
        <w:rPr>
          <w:rFonts w:hint="default" w:ascii="Times New Roman" w:hAnsi="Times New Roman" w:eastAsia="宋体" w:cs="Times New Roman"/>
          <w:kern w:val="2"/>
          <w:sz w:val="20"/>
          <w:szCs w:val="20"/>
          <w:lang w:val="en-US" w:eastAsia="zh-CN" w:bidi="en-US"/>
        </w:rPr>
        <w:t>+4500 V or -4500 V in positive or negative modes. Then, based on the peak area and different concentration of standards, we draw the standard curves of 650 gut metabolites, and all the standard curves were saved in File S.1. The colon contents samples were detected in the some chromatography and mass conditions. Finally, based on the peak areas and standard curves, we calculated the concentrations of each gut metabolite.</w:t>
      </w:r>
    </w:p>
    <w:p>
      <w:pPr>
        <w:rPr>
          <w:rFonts w:hint="default"/>
          <w:lang w:val="en-US" w:eastAsia="zh-CN"/>
        </w:rPr>
      </w:pPr>
    </w:p>
    <w:sectPr>
      <w:pgSz w:w="11906" w:h="16838"/>
      <w:pgMar w:top="1440" w:right="1803" w:bottom="1440" w:left="1803" w:header="851" w:footer="992" w:gutter="0"/>
      <w:pgNumType w:fmt="numberInDash"/>
      <w:cols w:space="0" w:num="1"/>
      <w:formProt w:val="0"/>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mFmYzliOGI1NjcyODNiYzdlYzNlNzgwYTk2NzgifQ=="/>
  </w:docVars>
  <w:rsids>
    <w:rsidRoot w:val="00000000"/>
    <w:rsid w:val="27E64516"/>
    <w:rsid w:val="2F9708EA"/>
    <w:rsid w:val="675E77C4"/>
    <w:rsid w:val="7DF14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styleId="4">
    <w:name w:val="FollowedHyperlink"/>
    <w:basedOn w:val="3"/>
    <w:uiPriority w:val="0"/>
    <w:rPr>
      <w:color w:val="954F72"/>
      <w:u w:val="single"/>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1203</Words>
  <Characters>6907</Characters>
  <Lines>0</Lines>
  <Paragraphs>0</Paragraphs>
  <TotalTime>0</TotalTime>
  <ScaleCrop>false</ScaleCrop>
  <LinksUpToDate>false</LinksUpToDate>
  <CharactersWithSpaces>8066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2022-07-03T02:44:00Z</dcterms:created>
  <dc:creator>45378</dc:creator>
  <cp:lastModifiedBy>小敏</cp:lastModifiedBy>
  <dcterms:modified xsi:type="dcterms:W3CDTF">2023-12-18T02:59:08Z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98607B05E75F4819A8CE56556088F8CA</vt:lpwstr>
  </property>
</Properties>
</file>