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552A3" w14:textId="77777777" w:rsidR="00140A9B" w:rsidRPr="00E52CF8" w:rsidRDefault="00140A9B" w:rsidP="00140A9B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E52CF8">
        <w:rPr>
          <w:rFonts w:ascii="Arial" w:hAnsi="Arial" w:cs="Arial"/>
          <w:sz w:val="22"/>
        </w:rPr>
        <w:t>Supplementary Table 2. Logistic regression analysis of factors for postoperative junctional rhythm on electrocardiography (At the first visit to the outpatient clinic after discharge from the hospital).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2251"/>
        <w:gridCol w:w="645"/>
        <w:gridCol w:w="122"/>
        <w:gridCol w:w="2202"/>
        <w:gridCol w:w="810"/>
      </w:tblGrid>
      <w:tr w:rsidR="00140A9B" w:rsidRPr="00E52CF8" w14:paraId="329F6D7C" w14:textId="77777777" w:rsidTr="00A07984">
        <w:tc>
          <w:tcPr>
            <w:tcW w:w="2610" w:type="dxa"/>
            <w:tcBorders>
              <w:top w:val="single" w:sz="4" w:space="0" w:color="auto"/>
            </w:tcBorders>
          </w:tcPr>
          <w:p w14:paraId="2700218A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0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B137B4E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Univariate</w:t>
            </w:r>
          </w:p>
        </w:tc>
        <w:tc>
          <w:tcPr>
            <w:tcW w:w="30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6E46D0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Multivariate</w:t>
            </w:r>
          </w:p>
        </w:tc>
      </w:tr>
      <w:tr w:rsidR="00140A9B" w:rsidRPr="00E52CF8" w14:paraId="3844B11A" w14:textId="77777777" w:rsidTr="00A07984">
        <w:tc>
          <w:tcPr>
            <w:tcW w:w="2610" w:type="dxa"/>
            <w:tcBorders>
              <w:bottom w:val="single" w:sz="4" w:space="0" w:color="auto"/>
            </w:tcBorders>
          </w:tcPr>
          <w:p w14:paraId="2937F24F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251" w:type="dxa"/>
            <w:tcBorders>
              <w:top w:val="single" w:sz="4" w:space="0" w:color="auto"/>
              <w:bottom w:val="single" w:sz="4" w:space="0" w:color="auto"/>
            </w:tcBorders>
          </w:tcPr>
          <w:p w14:paraId="62578661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OR (95% CI)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CB3498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i/>
                <w:sz w:val="22"/>
              </w:rPr>
            </w:pPr>
            <w:r w:rsidRPr="00E52CF8">
              <w:rPr>
                <w:rFonts w:ascii="Arial" w:hAnsi="Arial" w:cs="Arial"/>
                <w:i/>
                <w:sz w:val="22"/>
              </w:rPr>
              <w:t>P</w:t>
            </w:r>
          </w:p>
        </w:tc>
        <w:tc>
          <w:tcPr>
            <w:tcW w:w="2202" w:type="dxa"/>
            <w:tcBorders>
              <w:top w:val="single" w:sz="4" w:space="0" w:color="auto"/>
              <w:bottom w:val="single" w:sz="4" w:space="0" w:color="auto"/>
            </w:tcBorders>
          </w:tcPr>
          <w:p w14:paraId="58AD80A3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OR (95% CI)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32CC9C1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i/>
                <w:sz w:val="22"/>
              </w:rPr>
            </w:pPr>
            <w:r w:rsidRPr="00E52CF8">
              <w:rPr>
                <w:rFonts w:ascii="Arial" w:hAnsi="Arial" w:cs="Arial"/>
                <w:i/>
                <w:sz w:val="22"/>
              </w:rPr>
              <w:t>P</w:t>
            </w:r>
          </w:p>
        </w:tc>
      </w:tr>
      <w:tr w:rsidR="00140A9B" w:rsidRPr="00E52CF8" w14:paraId="1143E488" w14:textId="77777777" w:rsidTr="00A07984">
        <w:tc>
          <w:tcPr>
            <w:tcW w:w="2610" w:type="dxa"/>
            <w:tcBorders>
              <w:top w:val="single" w:sz="4" w:space="0" w:color="auto"/>
            </w:tcBorders>
          </w:tcPr>
          <w:p w14:paraId="3E4B10E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Sex, male</w:t>
            </w:r>
          </w:p>
        </w:tc>
        <w:tc>
          <w:tcPr>
            <w:tcW w:w="2251" w:type="dxa"/>
            <w:tcBorders>
              <w:top w:val="single" w:sz="4" w:space="0" w:color="auto"/>
            </w:tcBorders>
          </w:tcPr>
          <w:p w14:paraId="60D5562C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0.792 (0.337–1.859)</w:t>
            </w:r>
          </w:p>
        </w:tc>
        <w:tc>
          <w:tcPr>
            <w:tcW w:w="645" w:type="dxa"/>
            <w:tcBorders>
              <w:top w:val="single" w:sz="4" w:space="0" w:color="auto"/>
            </w:tcBorders>
          </w:tcPr>
          <w:p w14:paraId="7357BC6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0.59</w:t>
            </w:r>
          </w:p>
        </w:tc>
        <w:tc>
          <w:tcPr>
            <w:tcW w:w="2324" w:type="dxa"/>
            <w:gridSpan w:val="2"/>
            <w:tcBorders>
              <w:top w:val="single" w:sz="4" w:space="0" w:color="auto"/>
            </w:tcBorders>
          </w:tcPr>
          <w:p w14:paraId="07E3ED9A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E1EDE53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1608C02A" w14:textId="77777777" w:rsidTr="00A07984">
        <w:tc>
          <w:tcPr>
            <w:tcW w:w="2610" w:type="dxa"/>
          </w:tcPr>
          <w:p w14:paraId="74A2E8BB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Age</w:t>
            </w:r>
          </w:p>
        </w:tc>
        <w:tc>
          <w:tcPr>
            <w:tcW w:w="2251" w:type="dxa"/>
          </w:tcPr>
          <w:p w14:paraId="28C7380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1.036 (0.990–1.085)</w:t>
            </w:r>
          </w:p>
        </w:tc>
        <w:tc>
          <w:tcPr>
            <w:tcW w:w="767" w:type="dxa"/>
            <w:gridSpan w:val="2"/>
          </w:tcPr>
          <w:p w14:paraId="7DBD6C8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0.22</w:t>
            </w:r>
          </w:p>
        </w:tc>
        <w:tc>
          <w:tcPr>
            <w:tcW w:w="2202" w:type="dxa"/>
          </w:tcPr>
          <w:p w14:paraId="66F9B79B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10" w:type="dxa"/>
          </w:tcPr>
          <w:p w14:paraId="1505AE9F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194F18F8" w14:textId="77777777" w:rsidTr="00A07984">
        <w:tc>
          <w:tcPr>
            <w:tcW w:w="2610" w:type="dxa"/>
          </w:tcPr>
          <w:p w14:paraId="68C0B9C9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AFMR</w:t>
            </w:r>
          </w:p>
        </w:tc>
        <w:tc>
          <w:tcPr>
            <w:tcW w:w="2251" w:type="dxa"/>
          </w:tcPr>
          <w:p w14:paraId="44A44C81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3.559 (1.427–8.850)</w:t>
            </w:r>
          </w:p>
        </w:tc>
        <w:tc>
          <w:tcPr>
            <w:tcW w:w="767" w:type="dxa"/>
            <w:gridSpan w:val="2"/>
          </w:tcPr>
          <w:p w14:paraId="6E17CDB2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0.006</w:t>
            </w:r>
          </w:p>
        </w:tc>
        <w:tc>
          <w:tcPr>
            <w:tcW w:w="2202" w:type="dxa"/>
          </w:tcPr>
          <w:p w14:paraId="223B27E4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2.907 (1.107–7.634)</w:t>
            </w:r>
          </w:p>
        </w:tc>
        <w:tc>
          <w:tcPr>
            <w:tcW w:w="810" w:type="dxa"/>
          </w:tcPr>
          <w:p w14:paraId="527623FA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b/>
                <w:i/>
                <w:sz w:val="22"/>
              </w:rPr>
            </w:pPr>
            <w:r w:rsidRPr="00E52CF8">
              <w:rPr>
                <w:rFonts w:ascii="Arial" w:hAnsi="Arial" w:cs="Arial"/>
                <w:b/>
                <w:i/>
                <w:sz w:val="22"/>
              </w:rPr>
              <w:t>0.03</w:t>
            </w:r>
          </w:p>
        </w:tc>
      </w:tr>
      <w:tr w:rsidR="00140A9B" w:rsidRPr="00E52CF8" w14:paraId="114A7B6F" w14:textId="77777777" w:rsidTr="00A07984">
        <w:tc>
          <w:tcPr>
            <w:tcW w:w="2610" w:type="dxa"/>
          </w:tcPr>
          <w:p w14:paraId="0A7DB232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LAA obliteration</w:t>
            </w:r>
          </w:p>
        </w:tc>
        <w:tc>
          <w:tcPr>
            <w:tcW w:w="2251" w:type="dxa"/>
          </w:tcPr>
          <w:p w14:paraId="1329E250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0.629 (0.253–1.565)</w:t>
            </w:r>
          </w:p>
        </w:tc>
        <w:tc>
          <w:tcPr>
            <w:tcW w:w="767" w:type="dxa"/>
            <w:gridSpan w:val="2"/>
          </w:tcPr>
          <w:p w14:paraId="48DBC8BD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0.32</w:t>
            </w:r>
          </w:p>
        </w:tc>
        <w:tc>
          <w:tcPr>
            <w:tcW w:w="2202" w:type="dxa"/>
          </w:tcPr>
          <w:p w14:paraId="32B0E4E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10" w:type="dxa"/>
          </w:tcPr>
          <w:p w14:paraId="474A87D9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b/>
                <w:sz w:val="22"/>
              </w:rPr>
            </w:pPr>
          </w:p>
        </w:tc>
      </w:tr>
      <w:tr w:rsidR="00140A9B" w:rsidRPr="00E52CF8" w14:paraId="411D9F21" w14:textId="77777777" w:rsidTr="00A07984">
        <w:tc>
          <w:tcPr>
            <w:tcW w:w="2610" w:type="dxa"/>
          </w:tcPr>
          <w:p w14:paraId="716DFE81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Fine fibrillatory wave</w:t>
            </w:r>
          </w:p>
        </w:tc>
        <w:tc>
          <w:tcPr>
            <w:tcW w:w="2251" w:type="dxa"/>
          </w:tcPr>
          <w:p w14:paraId="23C98903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3.390 (1.385–8.333)</w:t>
            </w:r>
          </w:p>
        </w:tc>
        <w:tc>
          <w:tcPr>
            <w:tcW w:w="767" w:type="dxa"/>
            <w:gridSpan w:val="2"/>
          </w:tcPr>
          <w:p w14:paraId="0599EC2B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0.008</w:t>
            </w:r>
          </w:p>
        </w:tc>
        <w:tc>
          <w:tcPr>
            <w:tcW w:w="2202" w:type="dxa"/>
          </w:tcPr>
          <w:p w14:paraId="7D05EA4F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2.849 (1.112–7.299)</w:t>
            </w:r>
          </w:p>
        </w:tc>
        <w:tc>
          <w:tcPr>
            <w:tcW w:w="810" w:type="dxa"/>
          </w:tcPr>
          <w:p w14:paraId="66FADDD8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b/>
                <w:i/>
                <w:sz w:val="22"/>
              </w:rPr>
            </w:pPr>
            <w:r w:rsidRPr="00E52CF8">
              <w:rPr>
                <w:rFonts w:ascii="Arial" w:hAnsi="Arial" w:cs="Arial"/>
                <w:b/>
                <w:i/>
                <w:sz w:val="22"/>
              </w:rPr>
              <w:t>0.03</w:t>
            </w:r>
          </w:p>
        </w:tc>
      </w:tr>
      <w:tr w:rsidR="00140A9B" w:rsidRPr="00E52CF8" w14:paraId="7D12966E" w14:textId="77777777" w:rsidTr="00A07984">
        <w:tc>
          <w:tcPr>
            <w:tcW w:w="2610" w:type="dxa"/>
          </w:tcPr>
          <w:p w14:paraId="286E91E7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Chronic kidney disease</w:t>
            </w:r>
          </w:p>
        </w:tc>
        <w:tc>
          <w:tcPr>
            <w:tcW w:w="2251" w:type="dxa"/>
          </w:tcPr>
          <w:p w14:paraId="34E00763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2.770 (0.507–15.152)</w:t>
            </w:r>
          </w:p>
        </w:tc>
        <w:tc>
          <w:tcPr>
            <w:tcW w:w="767" w:type="dxa"/>
            <w:gridSpan w:val="2"/>
          </w:tcPr>
          <w:p w14:paraId="11882AD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0.24</w:t>
            </w:r>
          </w:p>
        </w:tc>
        <w:tc>
          <w:tcPr>
            <w:tcW w:w="2202" w:type="dxa"/>
          </w:tcPr>
          <w:p w14:paraId="2FE07E0E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10" w:type="dxa"/>
          </w:tcPr>
          <w:p w14:paraId="5250B3E7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5747E8BC" w14:textId="77777777" w:rsidTr="00A07984">
        <w:tc>
          <w:tcPr>
            <w:tcW w:w="2610" w:type="dxa"/>
          </w:tcPr>
          <w:p w14:paraId="4D220148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Ejection fraction</w:t>
            </w:r>
          </w:p>
        </w:tc>
        <w:tc>
          <w:tcPr>
            <w:tcW w:w="2251" w:type="dxa"/>
          </w:tcPr>
          <w:p w14:paraId="2C9802CC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1.028 (0.985–1.072)</w:t>
            </w:r>
          </w:p>
        </w:tc>
        <w:tc>
          <w:tcPr>
            <w:tcW w:w="767" w:type="dxa"/>
            <w:gridSpan w:val="2"/>
          </w:tcPr>
          <w:p w14:paraId="5EB00534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0.21</w:t>
            </w:r>
          </w:p>
        </w:tc>
        <w:tc>
          <w:tcPr>
            <w:tcW w:w="2202" w:type="dxa"/>
          </w:tcPr>
          <w:p w14:paraId="21C48577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10" w:type="dxa"/>
          </w:tcPr>
          <w:p w14:paraId="0B40FD73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007268C8" w14:textId="77777777" w:rsidTr="00A07984">
        <w:tc>
          <w:tcPr>
            <w:tcW w:w="2610" w:type="dxa"/>
          </w:tcPr>
          <w:p w14:paraId="7CB86AD4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LVEDD</w:t>
            </w:r>
          </w:p>
        </w:tc>
        <w:tc>
          <w:tcPr>
            <w:tcW w:w="2251" w:type="dxa"/>
          </w:tcPr>
          <w:p w14:paraId="49E754DB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0.778 (0.445–1.362)</w:t>
            </w:r>
          </w:p>
        </w:tc>
        <w:tc>
          <w:tcPr>
            <w:tcW w:w="767" w:type="dxa"/>
            <w:gridSpan w:val="2"/>
          </w:tcPr>
          <w:p w14:paraId="4AAF298E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0.38</w:t>
            </w:r>
          </w:p>
        </w:tc>
        <w:tc>
          <w:tcPr>
            <w:tcW w:w="2202" w:type="dxa"/>
          </w:tcPr>
          <w:p w14:paraId="3CD9F7D1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810" w:type="dxa"/>
          </w:tcPr>
          <w:p w14:paraId="1104CE7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0152AB6D" w14:textId="77777777" w:rsidTr="00A07984">
        <w:tc>
          <w:tcPr>
            <w:tcW w:w="2610" w:type="dxa"/>
            <w:tcBorders>
              <w:bottom w:val="single" w:sz="4" w:space="0" w:color="auto"/>
            </w:tcBorders>
          </w:tcPr>
          <w:p w14:paraId="402A6C31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LAD</w:t>
            </w:r>
          </w:p>
        </w:tc>
        <w:tc>
          <w:tcPr>
            <w:tcW w:w="2251" w:type="dxa"/>
            <w:tcBorders>
              <w:bottom w:val="single" w:sz="4" w:space="0" w:color="auto"/>
            </w:tcBorders>
          </w:tcPr>
          <w:p w14:paraId="36855BBC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1.650 (0.974–2.801)</w:t>
            </w:r>
          </w:p>
        </w:tc>
        <w:tc>
          <w:tcPr>
            <w:tcW w:w="767" w:type="dxa"/>
            <w:gridSpan w:val="2"/>
            <w:tcBorders>
              <w:bottom w:val="single" w:sz="4" w:space="0" w:color="auto"/>
            </w:tcBorders>
          </w:tcPr>
          <w:p w14:paraId="351D08A0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0.06</w:t>
            </w:r>
          </w:p>
        </w:tc>
        <w:tc>
          <w:tcPr>
            <w:tcW w:w="2202" w:type="dxa"/>
            <w:tcBorders>
              <w:bottom w:val="single" w:sz="4" w:space="0" w:color="auto"/>
            </w:tcBorders>
          </w:tcPr>
          <w:p w14:paraId="35E0A6FC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1.302 (0.740–2.294)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672E89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0.36</w:t>
            </w:r>
          </w:p>
        </w:tc>
      </w:tr>
    </w:tbl>
    <w:p w14:paraId="5B8726A6" w14:textId="77777777" w:rsidR="00140A9B" w:rsidRPr="00E52CF8" w:rsidRDefault="00140A9B" w:rsidP="00140A9B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E52CF8">
        <w:rPr>
          <w:rFonts w:ascii="Arial" w:hAnsi="Arial" w:cs="Arial"/>
          <w:sz w:val="22"/>
        </w:rPr>
        <w:t>Significant p</w:t>
      </w:r>
      <w:r w:rsidRPr="00E52CF8">
        <w:rPr>
          <w:rFonts w:ascii="Arial" w:hAnsi="Arial" w:cs="Arial"/>
          <w:i/>
          <w:sz w:val="22"/>
        </w:rPr>
        <w:t xml:space="preserve"> </w:t>
      </w:r>
      <w:r w:rsidRPr="00E52CF8">
        <w:rPr>
          <w:rFonts w:ascii="Arial" w:hAnsi="Arial" w:cs="Arial"/>
          <w:sz w:val="22"/>
        </w:rPr>
        <w:t xml:space="preserve">values are shown in italics and bold. </w:t>
      </w:r>
    </w:p>
    <w:p w14:paraId="6AE29508" w14:textId="77777777" w:rsidR="00140A9B" w:rsidRPr="00E52CF8" w:rsidRDefault="00140A9B" w:rsidP="00140A9B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E52CF8">
        <w:rPr>
          <w:rFonts w:ascii="Arial" w:hAnsi="Arial" w:cs="Arial"/>
          <w:sz w:val="22"/>
        </w:rPr>
        <w:t>AFMR = atrial functional mitral regurgitation; CI = confidence interval; LAA = left atrial appendage; LAD = left atrial diameter; LVEDD = left ventricular end-diastolic diameter; OR = odds ratio.</w:t>
      </w:r>
    </w:p>
    <w:p w14:paraId="50370A17" w14:textId="77777777" w:rsidR="00AA0621" w:rsidRPr="00140A9B" w:rsidRDefault="00AA0621"/>
    <w:sectPr w:rsidR="00AA0621" w:rsidRPr="00140A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A9B"/>
    <w:rsid w:val="00140A9B"/>
    <w:rsid w:val="002A19F8"/>
    <w:rsid w:val="004A6AD3"/>
    <w:rsid w:val="00733FA3"/>
    <w:rsid w:val="00830389"/>
    <w:rsid w:val="00AA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9831B"/>
  <w15:chartTrackingRefBased/>
  <w15:docId w15:val="{8A6AEFCB-7819-4D58-826D-C22CB8C1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A9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0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140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sub song</dc:creator>
  <cp:keywords/>
  <dc:description/>
  <cp:lastModifiedBy>kyung sub song</cp:lastModifiedBy>
  <cp:revision>2</cp:revision>
  <dcterms:created xsi:type="dcterms:W3CDTF">2024-01-10T05:21:00Z</dcterms:created>
  <dcterms:modified xsi:type="dcterms:W3CDTF">2024-01-10T05:21:00Z</dcterms:modified>
</cp:coreProperties>
</file>