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E69E" w14:textId="31E2FE50" w:rsid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A460C3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S1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KEGG and GO functional enrichment analysis for DEG</w:t>
      </w:r>
      <w:r w:rsidRPr="007502B9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</w:p>
    <w:p w14:paraId="3E7BE186" w14:textId="66C79D8C" w:rsidR="007502B9" w:rsidRPr="007502B9" w:rsidRDefault="007502B9" w:rsidP="007502B9">
      <w:pPr>
        <w:spacing w:line="360" w:lineRule="auto"/>
        <w:rPr>
          <w:rFonts w:ascii="Times New Roman" w:eastAsia="宋体" w:hAnsi="Times New Roman" w:cs="Times New Roman" w:hint="eastAsia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igure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S2</w:t>
      </w:r>
      <w:r w:rsidRPr="00093F4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Different risk groups and different subclusters of NSCLC.</w:t>
      </w:r>
      <w:r w:rsidRPr="008F35D7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3187B3C3" w14:textId="3872693A" w:rsidR="007502B9" w:rsidRP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7604C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S3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Single-gene batch correlation analysis </w:t>
      </w:r>
      <w:r w:rsidRPr="007502B9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for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DLAT and DLST. </w:t>
      </w:r>
    </w:p>
    <w:p w14:paraId="33FB37CE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3E7B6EC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0"/>
          <w:szCs w:val="20"/>
        </w:rPr>
      </w:pPr>
    </w:p>
    <w:p w14:paraId="4DAB81E7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9554223" wp14:editId="670B115E">
            <wp:extent cx="5274310" cy="3596005"/>
            <wp:effectExtent l="0" t="0" r="2540" b="4445"/>
            <wp:docPr id="1177696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96508" name="图片 1177696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D574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A460C3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S1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KEGG and GO functional enrichment analysis for DEG</w:t>
      </w:r>
      <w:r w:rsidRPr="007502B9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Bar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plot of GO enrichment analysis. </w:t>
      </w:r>
      <w:r w:rsidRPr="0099522D">
        <w:rPr>
          <w:rFonts w:ascii="Times New Roman" w:eastAsia="宋体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Bubble plot of GO enrichment analysis. </w:t>
      </w:r>
      <w:r w:rsidRPr="0099522D">
        <w:rPr>
          <w:rFonts w:ascii="Times New Roman" w:eastAsia="宋体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 Bar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plot of KEGG enrichment analysis. </w:t>
      </w:r>
      <w:r w:rsidRPr="0099522D">
        <w:rPr>
          <w:rFonts w:ascii="Times New Roman" w:eastAsia="宋体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Pr="0099522D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>Bubble plot of KEGG enrichment analysis. The length of the bar graph represents the degree of gene enrichment and the color represents the degree of variation</w:t>
      </w:r>
      <w:r>
        <w:rPr>
          <w:rFonts w:ascii="Times New Roman" w:eastAsia="宋体" w:hAnsi="Times New Roman" w:cs="Times New Roman"/>
          <w:sz w:val="20"/>
          <w:szCs w:val="20"/>
        </w:rPr>
        <w:t>. T</w:t>
      </w:r>
      <w:r w:rsidRPr="00793401">
        <w:rPr>
          <w:rFonts w:ascii="Times New Roman" w:eastAsia="宋体" w:hAnsi="Times New Roman" w:cs="Times New Roman"/>
          <w:sz w:val="20"/>
          <w:szCs w:val="20"/>
        </w:rPr>
        <w:t>he size of the bubble graph represents the degree of gene enrichment and the color represents the degree of variation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</w:p>
    <w:p w14:paraId="630544F8" w14:textId="77777777" w:rsidR="007502B9" w:rsidRP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36FCB50" w14:textId="3683921A" w:rsidR="007502B9" w:rsidRDefault="007502B9" w:rsidP="007502B9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0BC7A16" wp14:editId="369BBD1C">
            <wp:extent cx="5274310" cy="2671445"/>
            <wp:effectExtent l="0" t="0" r="2540" b="0"/>
            <wp:docPr id="11437383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38385" name="图片 11437383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D843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igure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S2</w:t>
      </w:r>
      <w:r w:rsidRPr="00093F4C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>Different risk groups and different subclusters of NSCLC.</w:t>
      </w:r>
      <w:r w:rsidRPr="008F35D7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100ED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8F35D7">
        <w:rPr>
          <w:rFonts w:ascii="Times New Roman" w:eastAsia="宋体" w:hAnsi="Times New Roman" w:cs="Times New Roman"/>
          <w:b/>
          <w:bCs/>
          <w:sz w:val="20"/>
          <w:szCs w:val="20"/>
        </w:rPr>
        <w:t>A.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Expression of SERPINE1 and FAM83 </w:t>
      </w:r>
      <w:r>
        <w:rPr>
          <w:rFonts w:ascii="Times New Roman" w:eastAsia="宋体" w:hAnsi="Times New Roman" w:cs="Times New Roman"/>
          <w:sz w:val="20"/>
          <w:szCs w:val="20"/>
        </w:rPr>
        <w:t>based on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 risk groups in TCGA </w:t>
      </w:r>
      <w:r>
        <w:rPr>
          <w:rFonts w:ascii="Times New Roman" w:eastAsia="宋体" w:hAnsi="Times New Roman" w:cs="Times New Roman" w:hint="eastAsia"/>
          <w:sz w:val="20"/>
          <w:szCs w:val="20"/>
        </w:rPr>
        <w:t>internal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training </w:t>
      </w:r>
      <w:r>
        <w:rPr>
          <w:rFonts w:ascii="Times New Roman" w:eastAsia="宋体" w:hAnsi="Times New Roman" w:cs="Times New Roman" w:hint="eastAsia"/>
          <w:sz w:val="20"/>
          <w:szCs w:val="20"/>
        </w:rPr>
        <w:t>set.</w:t>
      </w:r>
      <w:r w:rsidRPr="00210F78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B.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Expression of SERPINE1 and FAM83 </w:t>
      </w:r>
      <w:r>
        <w:rPr>
          <w:rFonts w:ascii="Times New Roman" w:eastAsia="宋体" w:hAnsi="Times New Roman" w:cs="Times New Roman"/>
          <w:sz w:val="20"/>
          <w:szCs w:val="20"/>
        </w:rPr>
        <w:t>based on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 risk groups in TCGA </w:t>
      </w:r>
      <w:r>
        <w:rPr>
          <w:rFonts w:ascii="Times New Roman" w:eastAsia="宋体" w:hAnsi="Times New Roman" w:cs="Times New Roman" w:hint="eastAsia"/>
          <w:sz w:val="20"/>
          <w:szCs w:val="20"/>
        </w:rPr>
        <w:t>internal</w:t>
      </w:r>
      <w:r>
        <w:rPr>
          <w:rFonts w:ascii="Times New Roman" w:eastAsia="宋体" w:hAnsi="Times New Roman" w:cs="Times New Roman"/>
          <w:sz w:val="20"/>
          <w:szCs w:val="20"/>
        </w:rPr>
        <w:t xml:space="preserve"> testing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set.</w:t>
      </w:r>
      <w:r w:rsidRPr="00210F78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C.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Expression of SERPINE1 and FAM83 </w:t>
      </w:r>
      <w:r>
        <w:rPr>
          <w:rFonts w:ascii="Times New Roman" w:eastAsia="宋体" w:hAnsi="Times New Roman" w:cs="Times New Roman"/>
          <w:sz w:val="20"/>
          <w:szCs w:val="20"/>
        </w:rPr>
        <w:t>based on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 risk groups in </w:t>
      </w:r>
      <w:r>
        <w:rPr>
          <w:rFonts w:ascii="Times New Roman" w:eastAsia="宋体" w:hAnsi="Times New Roman" w:cs="Times New Roman"/>
          <w:sz w:val="20"/>
          <w:szCs w:val="20"/>
        </w:rPr>
        <w:t>GEO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ex</w:t>
      </w:r>
      <w:r>
        <w:rPr>
          <w:rFonts w:ascii="Times New Roman" w:eastAsia="宋体" w:hAnsi="Times New Roman" w:cs="Times New Roman" w:hint="eastAsia"/>
          <w:sz w:val="20"/>
          <w:szCs w:val="20"/>
        </w:rPr>
        <w:t>ternal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training </w:t>
      </w:r>
      <w:r>
        <w:rPr>
          <w:rFonts w:ascii="Times New Roman" w:eastAsia="宋体" w:hAnsi="Times New Roman" w:cs="Times New Roman" w:hint="eastAsia"/>
          <w:sz w:val="20"/>
          <w:szCs w:val="20"/>
        </w:rPr>
        <w:t>set.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F35D7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D. </w:t>
      </w:r>
      <w:r w:rsidRPr="008F35D7">
        <w:rPr>
          <w:rFonts w:ascii="Times New Roman" w:eastAsia="宋体" w:hAnsi="Times New Roman" w:cs="Times New Roman"/>
          <w:sz w:val="20"/>
          <w:szCs w:val="20"/>
        </w:rPr>
        <w:t>The Sankey reflect</w:t>
      </w:r>
      <w:r>
        <w:rPr>
          <w:rFonts w:ascii="Times New Roman" w:eastAsia="宋体" w:hAnsi="Times New Roman" w:cs="Times New Roman" w:hint="eastAsia"/>
          <w:sz w:val="20"/>
          <w:szCs w:val="20"/>
        </w:rPr>
        <w:t>ed</w:t>
      </w:r>
      <w:r w:rsidRPr="008F35D7">
        <w:rPr>
          <w:rFonts w:ascii="Times New Roman" w:eastAsia="宋体" w:hAnsi="Times New Roman" w:cs="Times New Roman"/>
          <w:sz w:val="20"/>
          <w:szCs w:val="20"/>
        </w:rPr>
        <w:t xml:space="preserve"> the differences </w:t>
      </w:r>
      <w:r w:rsidRPr="00A13191">
        <w:rPr>
          <w:rFonts w:ascii="Times New Roman" w:eastAsia="宋体" w:hAnsi="Times New Roman" w:cs="Times New Roman"/>
          <w:sz w:val="20"/>
          <w:szCs w:val="20"/>
        </w:rPr>
        <w:t xml:space="preserve">in risk scores and in survival status among the </w:t>
      </w:r>
      <w:r>
        <w:rPr>
          <w:rFonts w:ascii="Times New Roman" w:eastAsia="宋体" w:hAnsi="Times New Roman" w:cs="Times New Roman" w:hint="eastAsia"/>
          <w:sz w:val="20"/>
          <w:szCs w:val="20"/>
        </w:rPr>
        <w:t>sub</w:t>
      </w:r>
      <w:r w:rsidRPr="00A13191">
        <w:rPr>
          <w:rFonts w:ascii="Times New Roman" w:eastAsia="宋体" w:hAnsi="Times New Roman" w:cs="Times New Roman"/>
          <w:sz w:val="20"/>
          <w:szCs w:val="20"/>
        </w:rPr>
        <w:t>clusters</w:t>
      </w:r>
      <w:r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Pr="00461328">
        <w:rPr>
          <w:rFonts w:ascii="Times New Roman" w:eastAsia="宋体" w:hAnsi="Times New Roman" w:cs="Times New Roman"/>
          <w:b/>
          <w:bCs/>
          <w:sz w:val="20"/>
          <w:szCs w:val="20"/>
        </w:rPr>
        <w:t>E.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0F78">
        <w:rPr>
          <w:rFonts w:ascii="Times New Roman" w:eastAsia="宋体" w:hAnsi="Times New Roman" w:cs="Times New Roman"/>
          <w:sz w:val="20"/>
          <w:szCs w:val="20"/>
        </w:rPr>
        <w:t xml:space="preserve">Difference in risk scores for different </w:t>
      </w:r>
      <w:r>
        <w:rPr>
          <w:rFonts w:ascii="Times New Roman" w:eastAsia="宋体" w:hAnsi="Times New Roman" w:cs="Times New Roman"/>
          <w:sz w:val="20"/>
          <w:szCs w:val="20"/>
        </w:rPr>
        <w:t>sub</w:t>
      </w:r>
      <w:r w:rsidRPr="00210F78">
        <w:rPr>
          <w:rFonts w:ascii="Times New Roman" w:eastAsia="宋体" w:hAnsi="Times New Roman" w:cs="Times New Roman"/>
          <w:sz w:val="20"/>
          <w:szCs w:val="20"/>
        </w:rPr>
        <w:t>clusters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73201647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A25A175" w14:textId="12D7929C" w:rsidR="007502B9" w:rsidRDefault="007502B9" w:rsidP="007502B9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8644393" wp14:editId="51BDD4F7">
            <wp:extent cx="5274310" cy="3938270"/>
            <wp:effectExtent l="0" t="0" r="2540" b="5080"/>
            <wp:docPr id="162764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487" name="图片 162764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59BA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7604C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S3 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Single-gene batch correlation analysis </w:t>
      </w:r>
      <w:r w:rsidRPr="007502B9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for</w:t>
      </w:r>
      <w:r w:rsidRPr="007502B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DLAT and DLST.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A. </w:t>
      </w:r>
      <w:r w:rsidRPr="00793401">
        <w:rPr>
          <w:rFonts w:ascii="Times New Roman" w:eastAsia="宋体" w:hAnsi="Times New Roman" w:cs="Times New Roman"/>
          <w:sz w:val="20"/>
          <w:szCs w:val="20"/>
        </w:rPr>
        <w:t xml:space="preserve">Bubble plot of GO </w:t>
      </w:r>
      <w:r w:rsidRPr="00793401">
        <w:rPr>
          <w:rFonts w:ascii="Times New Roman" w:eastAsia="宋体" w:hAnsi="Times New Roman" w:cs="Times New Roman"/>
          <w:sz w:val="20"/>
          <w:szCs w:val="20"/>
        </w:rPr>
        <w:lastRenderedPageBreak/>
        <w:t>enrichment analysis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DLAT-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85DFD">
        <w:rPr>
          <w:rFonts w:ascii="Times New Roman" w:eastAsia="宋体" w:hAnsi="Times New Roman" w:cs="Times New Roman"/>
          <w:sz w:val="20"/>
          <w:szCs w:val="20"/>
        </w:rPr>
        <w:t>correlated genes</w:t>
      </w:r>
      <w:r w:rsidRPr="00793401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B.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>Bar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>plot of GO enrichment analysis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DLAT-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85DFD">
        <w:rPr>
          <w:rFonts w:ascii="Times New Roman" w:eastAsia="宋体" w:hAnsi="Times New Roman" w:cs="Times New Roman"/>
          <w:sz w:val="20"/>
          <w:szCs w:val="20"/>
        </w:rPr>
        <w:t>correlated genes</w:t>
      </w:r>
      <w:r w:rsidRPr="00793401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C. </w:t>
      </w:r>
      <w:r w:rsidRPr="00793401">
        <w:rPr>
          <w:rFonts w:ascii="Times New Roman" w:eastAsia="宋体" w:hAnsi="Times New Roman" w:cs="Times New Roman"/>
          <w:sz w:val="20"/>
          <w:szCs w:val="20"/>
        </w:rPr>
        <w:t>Bubble plot of GO enrichment analysis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DLST-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85DFD">
        <w:rPr>
          <w:rFonts w:ascii="Times New Roman" w:eastAsia="宋体" w:hAnsi="Times New Roman" w:cs="Times New Roman"/>
          <w:sz w:val="20"/>
          <w:szCs w:val="20"/>
        </w:rPr>
        <w:t>correlated genes</w:t>
      </w:r>
      <w:r w:rsidRPr="00793401">
        <w:rPr>
          <w:rFonts w:ascii="Times New Roman" w:eastAsia="宋体" w:hAnsi="Times New Roman" w:cs="Times New Roman"/>
          <w:sz w:val="20"/>
          <w:szCs w:val="20"/>
        </w:rPr>
        <w:t>.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D.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>Bar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793401">
        <w:rPr>
          <w:rFonts w:ascii="Times New Roman" w:eastAsia="宋体" w:hAnsi="Times New Roman" w:cs="Times New Roman"/>
          <w:sz w:val="20"/>
          <w:szCs w:val="20"/>
        </w:rPr>
        <w:t>plot of GO enrichment analysis</w:t>
      </w:r>
      <w:r>
        <w:rPr>
          <w:rFonts w:ascii="Times New Roman" w:eastAsia="宋体" w:hAnsi="Times New Roman" w:cs="Times New Roman"/>
          <w:sz w:val="20"/>
          <w:szCs w:val="20"/>
        </w:rPr>
        <w:t xml:space="preserve"> for DLST-</w:t>
      </w:r>
      <w:r w:rsidRPr="00907CC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C85DFD">
        <w:rPr>
          <w:rFonts w:ascii="Times New Roman" w:eastAsia="宋体" w:hAnsi="Times New Roman" w:cs="Times New Roman"/>
          <w:sz w:val="20"/>
          <w:szCs w:val="20"/>
        </w:rPr>
        <w:t>correlated genes</w:t>
      </w:r>
      <w:r w:rsidRPr="00793401">
        <w:rPr>
          <w:rFonts w:ascii="Times New Roman" w:eastAsia="宋体" w:hAnsi="Times New Roman" w:cs="Times New Roman"/>
          <w:sz w:val="20"/>
          <w:szCs w:val="20"/>
        </w:rPr>
        <w:t>.</w:t>
      </w:r>
    </w:p>
    <w:p w14:paraId="4B1F208B" w14:textId="77777777" w:rsidR="007502B9" w:rsidRPr="007502B9" w:rsidRDefault="007502B9" w:rsidP="007502B9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0"/>
          <w:szCs w:val="20"/>
        </w:rPr>
      </w:pPr>
    </w:p>
    <w:p w14:paraId="731CE8E9" w14:textId="77777777" w:rsidR="007502B9" w:rsidRDefault="007502B9" w:rsidP="007502B9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79EA5333" w14:textId="77777777" w:rsidR="00AA458E" w:rsidRPr="007502B9" w:rsidRDefault="00AA458E"/>
    <w:sectPr w:rsidR="00AA458E" w:rsidRPr="00750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3B92" w14:textId="77777777" w:rsidR="001F7D82" w:rsidRDefault="001F7D82" w:rsidP="007502B9">
      <w:r>
        <w:separator/>
      </w:r>
    </w:p>
  </w:endnote>
  <w:endnote w:type="continuationSeparator" w:id="0">
    <w:p w14:paraId="7D240295" w14:textId="77777777" w:rsidR="001F7D82" w:rsidRDefault="001F7D82" w:rsidP="0075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95C8" w14:textId="77777777" w:rsidR="001F7D82" w:rsidRDefault="001F7D82" w:rsidP="007502B9">
      <w:r>
        <w:separator/>
      </w:r>
    </w:p>
  </w:footnote>
  <w:footnote w:type="continuationSeparator" w:id="0">
    <w:p w14:paraId="49F11CAB" w14:textId="77777777" w:rsidR="001F7D82" w:rsidRDefault="001F7D82" w:rsidP="00750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00"/>
    <w:rsid w:val="001F7D82"/>
    <w:rsid w:val="004E3E9D"/>
    <w:rsid w:val="007502B9"/>
    <w:rsid w:val="00862500"/>
    <w:rsid w:val="00A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CF380"/>
  <w15:chartTrackingRefBased/>
  <w15:docId w15:val="{4C6CBCBA-8879-4AEB-9855-5F6FC241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E3E9D"/>
    <w:rPr>
      <w:kern w:val="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Theme="minorEastAsia"/>
        <w:sz w:val="21"/>
      </w:rPr>
    </w:tblStylePr>
  </w:style>
  <w:style w:type="paragraph" w:styleId="a4">
    <w:name w:val="header"/>
    <w:basedOn w:val="a"/>
    <w:link w:val="a5"/>
    <w:uiPriority w:val="99"/>
    <w:unhideWhenUsed/>
    <w:rsid w:val="007502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02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0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02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 阿</dc:creator>
  <cp:keywords/>
  <dc:description/>
  <cp:lastModifiedBy>宝 阿</cp:lastModifiedBy>
  <cp:revision>2</cp:revision>
  <dcterms:created xsi:type="dcterms:W3CDTF">2023-06-26T11:43:00Z</dcterms:created>
  <dcterms:modified xsi:type="dcterms:W3CDTF">2023-06-26T11:49:00Z</dcterms:modified>
</cp:coreProperties>
</file>