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4"/>
        <w:gridCol w:w="715"/>
        <w:gridCol w:w="3079"/>
        <w:gridCol w:w="1054"/>
        <w:gridCol w:w="80"/>
        <w:gridCol w:w="340"/>
        <w:gridCol w:w="1476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                                      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Supplement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</w:t>
            </w:r>
          </w:p>
          <w:p>
            <w:pPr>
              <w:rPr>
                <w:rFonts w:hint="eastAsia" w:ascii="Times New Roman" w:hAnsi="Times New Roman" w:cs="Times New Roman"/>
                <w:b/>
                <w:bCs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Table S1.</w:t>
            </w:r>
            <w:r>
              <w:rPr>
                <w:rFonts w:ascii="Times New Roman" w:hAnsi="Times New Roman" w:cs="Times New Roman"/>
                <w:szCs w:val="21"/>
              </w:rPr>
              <w:t xml:space="preserve"> Relationship between age, gender, mGLUR5 availability in the MDD group.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ind w:firstLine="90" w:firstLineChars="5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</w:p>
        </w:tc>
        <w:tc>
          <w:tcPr>
            <w:tcW w:w="29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14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t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6" w:type="dxa"/>
          <w:trHeight w:val="20" w:hRule="atLeast"/>
        </w:trPr>
        <w:tc>
          <w:tcPr>
            <w:tcW w:w="0" w:type="auto"/>
            <w:tcBorders>
              <w:top w:val="single" w:color="auto" w:sz="4" w:space="0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Baseline mGluR5 availability (n=25)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dlPFC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-0.173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0.784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vmPFC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-0.212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.309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-0.368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OFC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0.196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.347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0.261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Hippocampus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0.077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.716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-0.100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Amygdala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0.191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.361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0.295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Caudate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0.253</w:t>
            </w:r>
          </w:p>
        </w:tc>
        <w:tc>
          <w:tcPr>
            <w:tcW w:w="293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.222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.530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color="auto" w:sz="4" w:space="0"/>
            </w:tcBorders>
          </w:tcPr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.601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mGluR5, metabotropic glutamate receptor 5;  MDD: major depressive disorder; dlPFC, dorsolateral prefrontal cortex; vmPFC, ventromedial prefrontal cortex; OFC, orbitofrontal cortex; caudate, caudate nucleus; R, Pearson’s correlation coefficient; t, t-statistic in two-sample t-tests.</w:t>
      </w:r>
    </w:p>
    <w:p/>
    <w:p>
      <w:pPr>
        <w:rPr>
          <w:rFonts w:ascii="Times New Roman" w:hAnsi="Times New Roman" w:cs="Times New Roman"/>
          <w:b/>
          <w:bCs/>
          <w:szCs w:val="21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1178"/>
        <w:gridCol w:w="660"/>
        <w:gridCol w:w="709"/>
        <w:gridCol w:w="850"/>
        <w:gridCol w:w="709"/>
        <w:gridCol w:w="856"/>
        <w:gridCol w:w="708"/>
        <w:gridCol w:w="851"/>
        <w:gridCol w:w="709"/>
        <w:gridCol w:w="589"/>
        <w:gridCol w:w="879"/>
        <w:gridCol w:w="879"/>
        <w:gridCol w:w="87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c>
          <w:tcPr>
            <w:tcW w:w="10456" w:type="dxa"/>
            <w:gridSpan w:val="13"/>
            <w:tcBorders>
              <w:top w:val="nil"/>
              <w:bottom w:val="single" w:color="auto" w:sz="4" w:space="0"/>
            </w:tcBorders>
          </w:tcPr>
          <w:p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Table S2. </w:t>
            </w:r>
            <w:r>
              <w:rPr>
                <w:rFonts w:ascii="Times New Roman" w:hAnsi="Times New Roman" w:cs="Times New Roman"/>
                <w:szCs w:val="21"/>
              </w:rPr>
              <w:t xml:space="preserve">Paired t-test comparisons before and after treatment </w:t>
            </w:r>
            <w:r>
              <w:rPr>
                <w:rFonts w:hint="eastAsia" w:ascii="Times New Roman" w:hAnsi="Times New Roman" w:cs="Times New Roman"/>
                <w:szCs w:val="21"/>
              </w:rPr>
              <w:t>in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</w:rPr>
              <w:t>the</w:t>
            </w:r>
            <w:r>
              <w:rPr>
                <w:rFonts w:ascii="Times New Roman" w:hAnsi="Times New Roman" w:cs="Times New Roman"/>
                <w:szCs w:val="21"/>
              </w:rPr>
              <w:t xml:space="preserve"> remitter group (N=6), non-remitter group(N=7), and in all MDD patients with follow-up data (N=13)</w:t>
            </w:r>
            <w:r>
              <w:rPr>
                <w:rFonts w:hint="eastAsia" w:ascii="Times New Roman" w:hAnsi="Times New Roman" w:cs="Times New Roman"/>
                <w:szCs w:val="21"/>
              </w:rPr>
              <w:t>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c>
          <w:tcPr>
            <w:tcW w:w="1178" w:type="dxa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Remitter group (N=6)</w:t>
            </w:r>
          </w:p>
        </w:tc>
        <w:tc>
          <w:tcPr>
            <w:tcW w:w="31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Non-remitter group (N=7)</w:t>
            </w:r>
          </w:p>
        </w:tc>
        <w:tc>
          <w:tcPr>
            <w:tcW w:w="32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MDD patients with follow-up data (N=13)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c>
          <w:tcPr>
            <w:tcW w:w="1178" w:type="dxa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Brain region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Cohen's d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FDR-p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Cohen's d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FDR-p</w:t>
            </w:r>
          </w:p>
        </w:tc>
        <w:tc>
          <w:tcPr>
            <w:tcW w:w="5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Cohen's d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FDR-p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c>
          <w:tcPr>
            <w:tcW w:w="1178" w:type="dxa"/>
            <w:tcBorders>
              <w:top w:val="single" w:color="auto" w:sz="4" w:space="0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dlPFC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.706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.002**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.33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.005**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.595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.573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ind w:firstLine="90" w:firstLineChars="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.770</w:t>
            </w:r>
          </w:p>
        </w:tc>
        <w:tc>
          <w:tcPr>
            <w:tcW w:w="58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.995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.011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.83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.022*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c>
          <w:tcPr>
            <w:tcW w:w="1178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vmPFC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0.455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90" w:firstLineChars="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.770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.010**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c>
          <w:tcPr>
            <w:tcW w:w="1178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OFC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.032*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.038*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90" w:firstLineChars="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.770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c>
          <w:tcPr>
            <w:tcW w:w="1178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Hippocampus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.008**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.012*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0.580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90" w:firstLineChars="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-0.22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.770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c>
          <w:tcPr>
            <w:tcW w:w="1178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Amygdala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.060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90" w:firstLineChars="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.771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c>
          <w:tcPr>
            <w:tcW w:w="1178" w:type="dxa"/>
            <w:tcBorders>
              <w:top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Caudate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.335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0.001**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.004**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.984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.007**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ind w:firstLine="90" w:firstLineChars="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1.51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.042*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.094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.69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c>
          <w:tcPr>
            <w:tcW w:w="10456" w:type="dxa"/>
            <w:gridSpan w:val="13"/>
            <w:tcBorders>
              <w:top w:val="single" w:color="auto" w:sz="4" w:space="0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dlPFC, dorsolateral prefrontal cortex; vmPFC, ventromedial prefrontal cortex; OFC, orbitofrontal cortex; caudate, caudate nucleus; MDD: major depressive disorder; FDR-p, the p-value adjusted using the False Discovery Rate (FDR) correction. *p&lt;0.05, **p&lt;0.01.</w:t>
            </w:r>
          </w:p>
        </w:tc>
      </w:tr>
    </w:tbl>
    <w:p/>
    <w:p/>
    <w:p/>
    <w:p>
      <w:pPr>
        <w:rPr>
          <w:rFonts w:ascii="Times New Roman" w:hAnsi="Times New Roman" w:cs="Times New Roman"/>
          <w:b/>
          <w:bCs/>
          <w:szCs w:val="21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357"/>
        <w:gridCol w:w="1743"/>
        <w:gridCol w:w="1743"/>
        <w:gridCol w:w="1743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Table S3. </w:t>
            </w:r>
            <w:r>
              <w:rPr>
                <w:rFonts w:ascii="Times New Roman" w:hAnsi="Times New Roman" w:cs="Times New Roman"/>
                <w:szCs w:val="21"/>
              </w:rPr>
              <w:t xml:space="preserve">Repeated measures ANOVA of </w:t>
            </w:r>
            <w:r>
              <w:rPr>
                <w:rFonts w:ascii="Times New Roman" w:hAnsi="Times New Roman" w:eastAsia="宋体" w:cs="Times New Roman"/>
                <w:szCs w:val="21"/>
              </w:rPr>
              <w:t>mGluR5 availability in remitters and non-remitters.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df</w:t>
            </w:r>
          </w:p>
        </w:tc>
        <w:tc>
          <w:tcPr>
            <w:tcW w:w="1743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1743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743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η²p</w:t>
            </w:r>
          </w:p>
        </w:tc>
        <w:tc>
          <w:tcPr>
            <w:tcW w:w="1743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FDR-p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Interaction Effect</w:t>
            </w:r>
          </w:p>
        </w:tc>
        <w:tc>
          <w:tcPr>
            <w:tcW w:w="1357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dlPFC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16.903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0.003**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0.009**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vmPFC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22.964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0.001**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0.718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0.006**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OFC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3.437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0.276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Hippocampus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10.927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0.009**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0.548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Amygdala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3.415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Caudate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4.850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0.350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Main effects (Time)</w:t>
            </w:r>
          </w:p>
        </w:tc>
        <w:tc>
          <w:tcPr>
            <w:tcW w:w="1357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OFC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3.555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0.283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Amygdala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1.603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0.237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Caudate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0.455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0.517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0.048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Main effects (Group)</w:t>
            </w:r>
          </w:p>
        </w:tc>
        <w:tc>
          <w:tcPr>
            <w:tcW w:w="1357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OFC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3.562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0.284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Amygdala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2.511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0.218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Caudate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2.543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0.145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0.220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6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 repeated measures ANOVA revealed a significant interaction effect between time (pre- vs. post-treatment) and group (remitters vs. non-remitters) on mGluR5 availability. ANOVA, analysis of variance; df: degrees of freedom; F: F statistic; η²p: partial Eta squared. FDR-p, the p-value adjusted using the False Discovery Rate (FDR) correction; dlPFC, dorsolateral prefrontal cortex; vmPFC, ventromedial prefrontal cortex; OFC, orbitofrontal cortex; caudate, caudate nucleus; *p&lt;0.05, **p&lt;0.01.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</w:p>
    <w:p/>
    <w:p/>
    <w:p>
      <w:pPr>
        <w:rPr>
          <w:rFonts w:ascii="Times New Roman" w:hAnsi="Times New Roman" w:cs="Times New Roman"/>
          <w:b/>
          <w:bCs/>
          <w:szCs w:val="21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p/>
    <w:p/>
    <w:p/>
    <w:p/>
    <w:p/>
    <w:p/>
    <w:p/>
    <w:p/>
    <w:p/>
    <w:p/>
    <w:p/>
    <w:p/>
    <w:p/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QzYTYxNzU5YTI1ZGExNjM3NTExODY0OTFmNjEyNDgifQ=="/>
  </w:docVars>
  <w:rsids>
    <w:rsidRoot w:val="00262A5E"/>
    <w:rsid w:val="00011982"/>
    <w:rsid w:val="00031320"/>
    <w:rsid w:val="000405A6"/>
    <w:rsid w:val="0004132C"/>
    <w:rsid w:val="00053807"/>
    <w:rsid w:val="0006177F"/>
    <w:rsid w:val="000642F4"/>
    <w:rsid w:val="000720A7"/>
    <w:rsid w:val="00075197"/>
    <w:rsid w:val="000A4C8F"/>
    <w:rsid w:val="000A66F9"/>
    <w:rsid w:val="000B0E52"/>
    <w:rsid w:val="000B3EAB"/>
    <w:rsid w:val="000B6D7D"/>
    <w:rsid w:val="000C5270"/>
    <w:rsid w:val="000E6265"/>
    <w:rsid w:val="000E7A0F"/>
    <w:rsid w:val="000F42D0"/>
    <w:rsid w:val="00102D42"/>
    <w:rsid w:val="001246DF"/>
    <w:rsid w:val="00124797"/>
    <w:rsid w:val="00127214"/>
    <w:rsid w:val="001302E6"/>
    <w:rsid w:val="00134306"/>
    <w:rsid w:val="001443AE"/>
    <w:rsid w:val="0015601D"/>
    <w:rsid w:val="00161020"/>
    <w:rsid w:val="0016205C"/>
    <w:rsid w:val="0016638C"/>
    <w:rsid w:val="001C0CEB"/>
    <w:rsid w:val="001E448F"/>
    <w:rsid w:val="00226A6D"/>
    <w:rsid w:val="0023039C"/>
    <w:rsid w:val="002476A2"/>
    <w:rsid w:val="002500A2"/>
    <w:rsid w:val="00254264"/>
    <w:rsid w:val="00260C1B"/>
    <w:rsid w:val="00261F88"/>
    <w:rsid w:val="00262A5E"/>
    <w:rsid w:val="002832E8"/>
    <w:rsid w:val="00293917"/>
    <w:rsid w:val="00296064"/>
    <w:rsid w:val="002C12BD"/>
    <w:rsid w:val="002C178F"/>
    <w:rsid w:val="002D632D"/>
    <w:rsid w:val="002E1A30"/>
    <w:rsid w:val="002F3155"/>
    <w:rsid w:val="00306CF9"/>
    <w:rsid w:val="003117E7"/>
    <w:rsid w:val="00324150"/>
    <w:rsid w:val="00325FE8"/>
    <w:rsid w:val="003323EB"/>
    <w:rsid w:val="00337223"/>
    <w:rsid w:val="00342153"/>
    <w:rsid w:val="003602CA"/>
    <w:rsid w:val="003657FB"/>
    <w:rsid w:val="00385209"/>
    <w:rsid w:val="00386CA8"/>
    <w:rsid w:val="00395599"/>
    <w:rsid w:val="003B7C48"/>
    <w:rsid w:val="003C28E4"/>
    <w:rsid w:val="003E290B"/>
    <w:rsid w:val="003E65EA"/>
    <w:rsid w:val="003F0EAB"/>
    <w:rsid w:val="00407874"/>
    <w:rsid w:val="00421DE1"/>
    <w:rsid w:val="00423EB0"/>
    <w:rsid w:val="004264ED"/>
    <w:rsid w:val="00432954"/>
    <w:rsid w:val="00432FA7"/>
    <w:rsid w:val="00433CBF"/>
    <w:rsid w:val="00482708"/>
    <w:rsid w:val="004847A7"/>
    <w:rsid w:val="00495BFB"/>
    <w:rsid w:val="004A5448"/>
    <w:rsid w:val="004A7537"/>
    <w:rsid w:val="004C0AEE"/>
    <w:rsid w:val="004D013C"/>
    <w:rsid w:val="004D3758"/>
    <w:rsid w:val="004D5EAB"/>
    <w:rsid w:val="004E4B30"/>
    <w:rsid w:val="004F2CA8"/>
    <w:rsid w:val="004F6CC9"/>
    <w:rsid w:val="00533A1C"/>
    <w:rsid w:val="005430E4"/>
    <w:rsid w:val="005977AE"/>
    <w:rsid w:val="005B3B0C"/>
    <w:rsid w:val="005E0F51"/>
    <w:rsid w:val="005E10A1"/>
    <w:rsid w:val="00605545"/>
    <w:rsid w:val="006109BD"/>
    <w:rsid w:val="00616421"/>
    <w:rsid w:val="006260A4"/>
    <w:rsid w:val="006274F3"/>
    <w:rsid w:val="00634E90"/>
    <w:rsid w:val="0065194B"/>
    <w:rsid w:val="006A0A50"/>
    <w:rsid w:val="006C76E8"/>
    <w:rsid w:val="006E336D"/>
    <w:rsid w:val="006F708D"/>
    <w:rsid w:val="007040DF"/>
    <w:rsid w:val="00704FDE"/>
    <w:rsid w:val="00712AAD"/>
    <w:rsid w:val="00713023"/>
    <w:rsid w:val="007218B7"/>
    <w:rsid w:val="00723305"/>
    <w:rsid w:val="00737DE2"/>
    <w:rsid w:val="0074678D"/>
    <w:rsid w:val="007471E3"/>
    <w:rsid w:val="00753DB4"/>
    <w:rsid w:val="007652FA"/>
    <w:rsid w:val="00765AA6"/>
    <w:rsid w:val="0077138B"/>
    <w:rsid w:val="007926B4"/>
    <w:rsid w:val="007A4BB9"/>
    <w:rsid w:val="007A6896"/>
    <w:rsid w:val="007D3CA0"/>
    <w:rsid w:val="007E2CED"/>
    <w:rsid w:val="007E538B"/>
    <w:rsid w:val="007F28C3"/>
    <w:rsid w:val="00800A9E"/>
    <w:rsid w:val="00800B99"/>
    <w:rsid w:val="00804BEA"/>
    <w:rsid w:val="00805CFD"/>
    <w:rsid w:val="00811A1E"/>
    <w:rsid w:val="00822A42"/>
    <w:rsid w:val="0083742C"/>
    <w:rsid w:val="008604BC"/>
    <w:rsid w:val="008604FB"/>
    <w:rsid w:val="00863F3B"/>
    <w:rsid w:val="008667DF"/>
    <w:rsid w:val="008A5C3C"/>
    <w:rsid w:val="008C1FFE"/>
    <w:rsid w:val="008F585B"/>
    <w:rsid w:val="008F6230"/>
    <w:rsid w:val="008F6899"/>
    <w:rsid w:val="00917783"/>
    <w:rsid w:val="00920A11"/>
    <w:rsid w:val="009302D7"/>
    <w:rsid w:val="00934B08"/>
    <w:rsid w:val="00935D77"/>
    <w:rsid w:val="0094325E"/>
    <w:rsid w:val="0094578C"/>
    <w:rsid w:val="00952C19"/>
    <w:rsid w:val="009761F7"/>
    <w:rsid w:val="009C4897"/>
    <w:rsid w:val="009E424E"/>
    <w:rsid w:val="00A26BE4"/>
    <w:rsid w:val="00A27510"/>
    <w:rsid w:val="00A36B2B"/>
    <w:rsid w:val="00A4519B"/>
    <w:rsid w:val="00A50D95"/>
    <w:rsid w:val="00A5602A"/>
    <w:rsid w:val="00A630AC"/>
    <w:rsid w:val="00A72DB0"/>
    <w:rsid w:val="00A82293"/>
    <w:rsid w:val="00A86202"/>
    <w:rsid w:val="00A90282"/>
    <w:rsid w:val="00AB3FB4"/>
    <w:rsid w:val="00AD4AE0"/>
    <w:rsid w:val="00AD7F2B"/>
    <w:rsid w:val="00B05283"/>
    <w:rsid w:val="00B05BE3"/>
    <w:rsid w:val="00B25988"/>
    <w:rsid w:val="00B3239E"/>
    <w:rsid w:val="00B600AE"/>
    <w:rsid w:val="00B6091D"/>
    <w:rsid w:val="00B61D85"/>
    <w:rsid w:val="00B642A3"/>
    <w:rsid w:val="00B74CD5"/>
    <w:rsid w:val="00B87AB7"/>
    <w:rsid w:val="00BB12F8"/>
    <w:rsid w:val="00BB258C"/>
    <w:rsid w:val="00BC0A6F"/>
    <w:rsid w:val="00BD4602"/>
    <w:rsid w:val="00BE0958"/>
    <w:rsid w:val="00BE4994"/>
    <w:rsid w:val="00C0271A"/>
    <w:rsid w:val="00C30891"/>
    <w:rsid w:val="00C30E66"/>
    <w:rsid w:val="00C403AE"/>
    <w:rsid w:val="00C5778F"/>
    <w:rsid w:val="00C57A3E"/>
    <w:rsid w:val="00C67F8E"/>
    <w:rsid w:val="00C96F57"/>
    <w:rsid w:val="00CB26BF"/>
    <w:rsid w:val="00CC1E6C"/>
    <w:rsid w:val="00CF245E"/>
    <w:rsid w:val="00D24EA0"/>
    <w:rsid w:val="00D32301"/>
    <w:rsid w:val="00D426C4"/>
    <w:rsid w:val="00D52B36"/>
    <w:rsid w:val="00D643F4"/>
    <w:rsid w:val="00D66C21"/>
    <w:rsid w:val="00D7701F"/>
    <w:rsid w:val="00D83FBD"/>
    <w:rsid w:val="00DA1810"/>
    <w:rsid w:val="00DA4C72"/>
    <w:rsid w:val="00DA528B"/>
    <w:rsid w:val="00DB25AB"/>
    <w:rsid w:val="00DC2920"/>
    <w:rsid w:val="00DF5FE8"/>
    <w:rsid w:val="00E1101C"/>
    <w:rsid w:val="00E32BEE"/>
    <w:rsid w:val="00E430D4"/>
    <w:rsid w:val="00E60B2A"/>
    <w:rsid w:val="00E675B0"/>
    <w:rsid w:val="00E82F98"/>
    <w:rsid w:val="00E86B61"/>
    <w:rsid w:val="00EB2456"/>
    <w:rsid w:val="00EE6C71"/>
    <w:rsid w:val="00F05D65"/>
    <w:rsid w:val="00F276B4"/>
    <w:rsid w:val="00F31ACE"/>
    <w:rsid w:val="00F4206C"/>
    <w:rsid w:val="00F831EC"/>
    <w:rsid w:val="00F86B2E"/>
    <w:rsid w:val="00FE0B77"/>
    <w:rsid w:val="00FE3E5E"/>
    <w:rsid w:val="00FF3513"/>
    <w:rsid w:val="00FF7E09"/>
    <w:rsid w:val="029D6475"/>
    <w:rsid w:val="10607C17"/>
    <w:rsid w:val="7A286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autoRedefine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autoRedefine/>
    <w:semiHidden/>
    <w:unhideWhenUsed/>
    <w:qFormat/>
    <w:uiPriority w:val="99"/>
    <w:rPr>
      <w:rFonts w:ascii="Times New Roman" w:hAnsi="Times New Roman" w:cs="Times New Roman"/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7"/>
    <w:semiHidden/>
    <w:unhideWhenUsed/>
    <w:qFormat/>
    <w:uiPriority w:val="99"/>
    <w:rPr>
      <w:b/>
      <w:bCs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4">
    <w:name w:val="批注框文本 字符"/>
    <w:basedOn w:val="10"/>
    <w:link w:val="4"/>
    <w:semiHidden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5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批注文字 字符"/>
    <w:basedOn w:val="10"/>
    <w:link w:val="3"/>
    <w:autoRedefine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  <w:style w:type="character" w:customStyle="1" w:styleId="18">
    <w:name w:val="标题 1 字符"/>
    <w:basedOn w:val="10"/>
    <w:link w:val="2"/>
    <w:autoRedefine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D2686D-D27C-4D2A-8C5A-0824A3C710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601</Words>
  <Characters>3426</Characters>
  <Lines>28</Lines>
  <Paragraphs>8</Paragraphs>
  <TotalTime>19</TotalTime>
  <ScaleCrop>false</ScaleCrop>
  <LinksUpToDate>false</LinksUpToDate>
  <CharactersWithSpaces>4019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2023-08-07T06:10:00Z</dcterms:created>
  <dc:creator>Deng Aoqian</dc:creator>
  <cp:lastModifiedBy>仰面鱼</cp:lastModifiedBy>
  <dcterms:modified xsi:type="dcterms:W3CDTF">2023-12-29T02:42:07Z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15E0C0752EFB4226B9BA4D57F48B8487_12</vt:lpwstr>
  </property>
</Properties>
</file>