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7FBFD" w14:textId="42E1D6A0" w:rsidR="00AD612A" w:rsidRPr="006E1073" w:rsidRDefault="00AD612A" w:rsidP="00AC38E5">
      <w:pPr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 w:rsidRPr="006E1073">
        <w:rPr>
          <w:rFonts w:ascii="Calibri" w:hAnsi="Calibri" w:cs="Calibri"/>
          <w:b/>
          <w:sz w:val="28"/>
          <w:szCs w:val="28"/>
        </w:rPr>
        <w:t>Supplementary Figures S1–S1</w:t>
      </w:r>
      <w:r w:rsidR="00AF729A">
        <w:rPr>
          <w:rFonts w:ascii="Calibri" w:hAnsi="Calibri" w:cs="Calibri"/>
          <w:b/>
          <w:sz w:val="28"/>
          <w:szCs w:val="28"/>
        </w:rPr>
        <w:t>0</w:t>
      </w:r>
    </w:p>
    <w:p w14:paraId="786ADCA4" w14:textId="77777777" w:rsidR="00AD612A" w:rsidRPr="006E1073" w:rsidRDefault="00AD612A" w:rsidP="00AD612A">
      <w:pPr>
        <w:jc w:val="both"/>
        <w:rPr>
          <w:rFonts w:ascii="Calibri" w:hAnsi="Calibri" w:cs="Calibri"/>
          <w:b/>
          <w:bCs/>
        </w:rPr>
      </w:pPr>
    </w:p>
    <w:p w14:paraId="369F8793" w14:textId="0ECFB7FA" w:rsidR="00AD612A" w:rsidRPr="006E1073" w:rsidRDefault="00AD612A" w:rsidP="00AD612A">
      <w:pPr>
        <w:jc w:val="both"/>
        <w:rPr>
          <w:rFonts w:ascii="Calibri" w:hAnsi="Calibri" w:cs="Calibri"/>
          <w:bCs/>
        </w:rPr>
      </w:pPr>
      <w:r w:rsidRPr="006E1073">
        <w:rPr>
          <w:rFonts w:ascii="Calibri" w:hAnsi="Calibri" w:cs="Calibri"/>
          <w:b/>
          <w:bCs/>
        </w:rPr>
        <w:t>Title</w:t>
      </w:r>
      <w:r w:rsidR="009701D8" w:rsidRPr="009701D8">
        <w:t xml:space="preserve"> </w:t>
      </w:r>
      <w:r w:rsidR="007720C3" w:rsidRPr="007720C3">
        <w:rPr>
          <w:rFonts w:ascii="Calibri" w:hAnsi="Calibri" w:cs="Calibri"/>
        </w:rPr>
        <w:t xml:space="preserve">The </w:t>
      </w:r>
      <w:r w:rsidR="007720C3" w:rsidRPr="00197204">
        <w:rPr>
          <w:rFonts w:ascii="Calibri" w:hAnsi="Calibri" w:cs="Calibri"/>
          <w:i/>
        </w:rPr>
        <w:t>Cardinium</w:t>
      </w:r>
      <w:r w:rsidR="007720C3" w:rsidRPr="007720C3">
        <w:rPr>
          <w:rFonts w:ascii="Calibri" w:hAnsi="Calibri" w:cs="Calibri"/>
        </w:rPr>
        <w:t xml:space="preserve"> wins on </w:t>
      </w:r>
      <w:r w:rsidR="007720C3" w:rsidRPr="00197204">
        <w:rPr>
          <w:rFonts w:ascii="Calibri" w:hAnsi="Calibri" w:cs="Calibri"/>
          <w:i/>
        </w:rPr>
        <w:t>Wolbachi</w:t>
      </w:r>
      <w:r w:rsidR="007720C3" w:rsidRPr="007720C3">
        <w:rPr>
          <w:rFonts w:ascii="Calibri" w:hAnsi="Calibri" w:cs="Calibri"/>
        </w:rPr>
        <w:t>a in double-infected mite cultures</w:t>
      </w:r>
    </w:p>
    <w:p w14:paraId="2120DFF5" w14:textId="77777777" w:rsidR="00AD612A" w:rsidRPr="006E1073" w:rsidRDefault="00AD612A" w:rsidP="00AD612A">
      <w:pPr>
        <w:jc w:val="both"/>
        <w:rPr>
          <w:rFonts w:ascii="Calibri" w:hAnsi="Calibri" w:cs="Calibri"/>
          <w:b/>
          <w:bCs/>
        </w:rPr>
      </w:pPr>
    </w:p>
    <w:p w14:paraId="053C6D69" w14:textId="07B8FE6C" w:rsidR="00AD612A" w:rsidRPr="006E1073" w:rsidRDefault="00AD612A" w:rsidP="00AD612A">
      <w:pPr>
        <w:jc w:val="both"/>
        <w:rPr>
          <w:rFonts w:ascii="Calibri" w:hAnsi="Calibri" w:cs="Calibri"/>
          <w:bCs/>
        </w:rPr>
      </w:pPr>
      <w:r w:rsidRPr="006E1073">
        <w:rPr>
          <w:rFonts w:ascii="Calibri" w:hAnsi="Calibri" w:cs="Calibri"/>
          <w:b/>
          <w:bCs/>
        </w:rPr>
        <w:t>Authors:</w:t>
      </w:r>
      <w:r w:rsidRPr="006E1073">
        <w:rPr>
          <w:rFonts w:ascii="Calibri" w:hAnsi="Calibri" w:cs="Calibri"/>
          <w:bCs/>
        </w:rPr>
        <w:t xml:space="preserve"> </w:t>
      </w:r>
      <w:r w:rsidR="0028085E" w:rsidRPr="0028085E">
        <w:rPr>
          <w:rFonts w:ascii="Calibri" w:hAnsi="Calibri" w:cs="Calibri"/>
          <w:bCs/>
        </w:rPr>
        <w:t>E. Tresnakova, E. Glowska, J. Hubert</w:t>
      </w:r>
    </w:p>
    <w:p w14:paraId="7A3DF97B" w14:textId="77777777" w:rsidR="00AD612A" w:rsidRPr="006E1073" w:rsidRDefault="00AD612A" w:rsidP="00AD612A">
      <w:pPr>
        <w:rPr>
          <w:rFonts w:ascii="Calibri" w:hAnsi="Calibri" w:cs="Calibri"/>
          <w:b/>
          <w:bCs/>
        </w:rPr>
      </w:pPr>
    </w:p>
    <w:p w14:paraId="18231CA7" w14:textId="0678ED6E" w:rsidR="00AD612A" w:rsidRPr="00C40BFA" w:rsidRDefault="00AD612A">
      <w:pPr>
        <w:rPr>
          <w:rFonts w:ascii="Calibri" w:hAnsi="Calibri" w:cs="Calibri"/>
          <w:bCs/>
        </w:rPr>
      </w:pPr>
      <w:r w:rsidRPr="006E1073">
        <w:rPr>
          <w:rFonts w:ascii="Calibri" w:hAnsi="Calibri" w:cs="Calibri"/>
          <w:b/>
          <w:bCs/>
        </w:rPr>
        <w:t>Journal:</w:t>
      </w:r>
      <w:r w:rsidRPr="006E1073">
        <w:rPr>
          <w:rFonts w:ascii="Calibri" w:hAnsi="Calibri" w:cs="Calibri"/>
          <w:bCs/>
        </w:rPr>
        <w:t xml:space="preserve"> </w:t>
      </w:r>
      <w:r w:rsidR="00E82AC0" w:rsidRPr="00E82AC0">
        <w:rPr>
          <w:rFonts w:ascii="Calibri" w:hAnsi="Calibri" w:cs="Calibri"/>
          <w:bCs/>
        </w:rPr>
        <w:t>Microbiome</w:t>
      </w:r>
    </w:p>
    <w:p w14:paraId="544F6EBC" w14:textId="68AC850C" w:rsidR="00AD612A" w:rsidRDefault="00AD612A">
      <w:r>
        <w:br w:type="page"/>
      </w:r>
    </w:p>
    <w:p w14:paraId="7457C864" w14:textId="344498E5" w:rsidR="00AF4A52" w:rsidRDefault="00AF4A52">
      <w:pPr>
        <w:rPr>
          <w:b/>
          <w:bCs/>
        </w:rPr>
      </w:pPr>
      <w:bookmarkStart w:id="1" w:name="_Hlk139440127"/>
      <w:r>
        <w:rPr>
          <w:b/>
          <w:bCs/>
        </w:rPr>
        <w:lastRenderedPageBreak/>
        <w:t>F</w:t>
      </w:r>
      <w:r w:rsidRPr="00E82AC0">
        <w:rPr>
          <w:b/>
          <w:bCs/>
        </w:rPr>
        <w:t>ig</w:t>
      </w:r>
      <w:r w:rsidR="00DC13D5">
        <w:rPr>
          <w:b/>
          <w:bCs/>
        </w:rPr>
        <w:t xml:space="preserve"> S1</w:t>
      </w:r>
      <w:r w:rsidRPr="00DC13D5">
        <w:rPr>
          <w:bCs/>
        </w:rPr>
        <w:t xml:space="preserve"> </w:t>
      </w:r>
      <w:r w:rsidRPr="004C6077">
        <w:t xml:space="preserve">The genomes of </w:t>
      </w:r>
      <w:r w:rsidRPr="004C6077">
        <w:rPr>
          <w:i/>
          <w:iCs/>
        </w:rPr>
        <w:t>Cardinium</w:t>
      </w:r>
      <w:r w:rsidRPr="004C6077">
        <w:t xml:space="preserve"> and </w:t>
      </w:r>
      <w:r w:rsidRPr="004C6077">
        <w:rPr>
          <w:i/>
          <w:iCs/>
        </w:rPr>
        <w:t>Wolbachia</w:t>
      </w:r>
      <w:r w:rsidRPr="004C6077">
        <w:t xml:space="preserve"> visualized in</w:t>
      </w:r>
      <w:r w:rsidRPr="00153BF2">
        <w:t xml:space="preserve"> </w:t>
      </w:r>
      <w:r w:rsidR="00153BF2" w:rsidRPr="00153BF2">
        <w:t>Proksee</w:t>
      </w:r>
      <w:r w:rsidR="00DC13D5">
        <w:t xml:space="preserve"> </w:t>
      </w:r>
      <w:r w:rsidR="00DC13D5" w:rsidRPr="00DC13D5">
        <w:fldChar w:fldCharType="begin"/>
      </w:r>
      <w:r w:rsidR="00864CA8">
        <w:instrText xml:space="preserve"> ADDIN EN.CITE &lt;EndNote&gt;&lt;Cite&gt;&lt;Author&gt;Grant&lt;/Author&gt;&lt;Year&gt;2023&lt;/Year&gt;&lt;RecNum&gt;763&lt;/RecNum&gt;&lt;DisplayText&gt;[52]&lt;/DisplayText&gt;&lt;record&gt;&lt;rec-number&gt;763&lt;/rec-number&gt;&lt;foreign-keys&gt;&lt;key app="EN" db-id="5sdxv5td55wps4eep0dvzdwlx0wz5wssa0p5" timestamp="1684873752"&gt;763&lt;/key&gt;&lt;/foreign-keys&gt;&lt;ref-type name="Journal Article"&gt;17&lt;/ref-type&gt;&lt;contributors&gt;&lt;authors&gt;&lt;author&gt;Grant, J. R.&lt;/author&gt;&lt;author&gt;Enns, E.&lt;/author&gt;&lt;author&gt;Marinier, E.&lt;/author&gt;&lt;author&gt;Mandal, A.&lt;/author&gt;&lt;author&gt;Herman, E. K.&lt;/author&gt;&lt;author&gt;&lt;style face="normal" font="default" size="100%"&gt;Chen, C.-&lt;/style&gt;&lt;style face="normal" font="default" charset="238" size="100%"&gt;y&lt;/style&gt;&lt;style face="normal" font="default" size="100%"&gt;.&lt;/style&gt;&lt;/author&gt;&lt;author&gt;Graham, M.&lt;/author&gt;&lt;author&gt;Van Domselaar, G.&lt;/author&gt;&lt;author&gt;Stothard, P.&lt;/author&gt;&lt;/authors&gt;&lt;/contributors&gt;&lt;titles&gt;&lt;title&gt;Proksee: in-depth characterization and visualization of bacterial genomes&lt;/title&gt;&lt;secondary-title&gt;Nucleic Acids Research&lt;/secondary-title&gt;&lt;alt-title&gt;Nucleic Acids Res.&lt;/alt-title&gt;&lt;/titles&gt;&lt;periodical&gt;&lt;full-title&gt;Nucleic Acids Research&lt;/full-title&gt;&lt;abbr-1&gt;Nucleic Acids Res.&lt;/abbr-1&gt;&lt;/periodical&gt;&lt;alt-periodical&gt;&lt;full-title&gt;Nucleic Acids Research&lt;/full-title&gt;&lt;abbr-1&gt;Nucleic Acids Res.&lt;/abbr-1&gt;&lt;/alt-periodical&gt;&lt;pages&gt;W484–W492&lt;/pages&gt;&lt;volume&gt;&lt;style face="normal" font="default" charset="238" size="100%"&gt;51&lt;/style&gt;&lt;/volume&gt;&lt;number&gt;W1&lt;/number&gt;&lt;dates&gt;&lt;year&gt;&lt;style face="normal" font="default" charset="238" size="100%"&gt;2023&lt;/style&gt;&lt;/year&gt;&lt;/dates&gt;&lt;urls&gt;&lt;/urls&gt;&lt;electronic-resource-num&gt;10.1093/nar/gkad326&lt;/electronic-resource-num&gt;&lt;/record&gt;&lt;/Cite&gt;&lt;/EndNote&gt;</w:instrText>
      </w:r>
      <w:r w:rsidR="00DC13D5" w:rsidRPr="00DC13D5">
        <w:fldChar w:fldCharType="separate"/>
      </w:r>
      <w:r w:rsidR="00864CA8">
        <w:rPr>
          <w:noProof/>
        </w:rPr>
        <w:t>[52]</w:t>
      </w:r>
      <w:r w:rsidR="00DC13D5" w:rsidRPr="00DC13D5">
        <w:fldChar w:fldCharType="end"/>
      </w:r>
      <w:r w:rsidR="00153BF2" w:rsidRPr="00DC13D5">
        <w:rPr>
          <w:bCs/>
          <w:noProof/>
        </w:rPr>
        <w:t>.</w:t>
      </w:r>
      <w:r w:rsidR="004C6077" w:rsidRPr="00DC13D5">
        <w:rPr>
          <w:bCs/>
          <w:noProof/>
          <w:lang w:val="cs-CZ" w:eastAsia="cs-CZ"/>
        </w:rPr>
        <w:drawing>
          <wp:inline distT="0" distB="0" distL="0" distR="0" wp14:anchorId="16D4F9CD" wp14:editId="100F2F8D">
            <wp:extent cx="5753100" cy="8138160"/>
            <wp:effectExtent l="0" t="0" r="0" b="0"/>
            <wp:docPr id="20015674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br w:type="page"/>
      </w:r>
    </w:p>
    <w:p w14:paraId="77193960" w14:textId="48157214" w:rsidR="00BF666E" w:rsidRDefault="00DC13D5" w:rsidP="00E80610">
      <w:pPr>
        <w:jc w:val="both"/>
      </w:pPr>
      <w:r>
        <w:rPr>
          <w:b/>
          <w:bCs/>
        </w:rPr>
        <w:lastRenderedPageBreak/>
        <w:t>F</w:t>
      </w:r>
      <w:r w:rsidRPr="00812407">
        <w:rPr>
          <w:b/>
          <w:bCs/>
        </w:rPr>
        <w:t>ig</w:t>
      </w:r>
      <w:r w:rsidR="00965C0A" w:rsidRPr="00091489">
        <w:rPr>
          <w:b/>
          <w:bCs/>
        </w:rPr>
        <w:t xml:space="preserve"> S</w:t>
      </w:r>
      <w:r w:rsidR="00AF4A52">
        <w:rPr>
          <w:b/>
          <w:bCs/>
        </w:rPr>
        <w:t>2</w:t>
      </w:r>
      <w:r w:rsidR="00965C0A">
        <w:t xml:space="preserve"> </w:t>
      </w:r>
      <w:r w:rsidR="00BF666E" w:rsidRPr="00BF666E">
        <w:t xml:space="preserve">Phylogenetic analyses of </w:t>
      </w:r>
      <w:r w:rsidR="00BF666E" w:rsidRPr="00091489">
        <w:rPr>
          <w:i/>
          <w:iCs/>
        </w:rPr>
        <w:t>Ca</w:t>
      </w:r>
      <w:r w:rsidR="009B1EE7" w:rsidRPr="00091489">
        <w:rPr>
          <w:i/>
          <w:iCs/>
        </w:rPr>
        <w:t>rdinium</w:t>
      </w:r>
      <w:r w:rsidR="009B1EE7">
        <w:t xml:space="preserve"> </w:t>
      </w:r>
      <w:r w:rsidR="00BF666E" w:rsidRPr="00BF666E">
        <w:t xml:space="preserve">based on whole-genome similarity metrics </w:t>
      </w:r>
      <w:r w:rsidR="00ED49B0">
        <w:t xml:space="preserve">using </w:t>
      </w:r>
      <w:r w:rsidR="009B1EE7" w:rsidRPr="00091489">
        <w:rPr>
          <w:i/>
          <w:iCs/>
        </w:rPr>
        <w:t>Cardinium</w:t>
      </w:r>
      <w:r w:rsidR="009B1EE7">
        <w:t xml:space="preserve"> genomes available in GenBank</w:t>
      </w:r>
      <w:r w:rsidR="00BF666E" w:rsidRPr="00BF666E">
        <w:t xml:space="preserve">; </w:t>
      </w:r>
      <w:r w:rsidR="00BF666E" w:rsidRPr="00DC13D5">
        <w:rPr>
          <w:b/>
        </w:rPr>
        <w:t>A</w:t>
      </w:r>
      <w:r w:rsidR="00BF666E" w:rsidRPr="00BF666E">
        <w:t xml:space="preserve"> - FastANI analysis using average nucleotide identities (ANI); </w:t>
      </w:r>
      <w:r w:rsidR="00BF666E" w:rsidRPr="00DC13D5">
        <w:rPr>
          <w:b/>
        </w:rPr>
        <w:t>B</w:t>
      </w:r>
      <w:r w:rsidR="00BF666E" w:rsidRPr="00BF666E">
        <w:t xml:space="preserve"> - phylogram based on the M1CR0B1AL1Z3R pipeline. </w:t>
      </w:r>
      <w:r w:rsidR="00BC7060" w:rsidRPr="00A15837">
        <w:rPr>
          <w:i/>
        </w:rPr>
        <w:t>Cardinium</w:t>
      </w:r>
      <w:r w:rsidR="00BC7060">
        <w:t xml:space="preserve"> from this study is labeled CZ, Chinese is </w:t>
      </w:r>
      <w:r w:rsidR="00412ABC" w:rsidRPr="00412ABC">
        <w:t>JANAVR01</w:t>
      </w:r>
      <w:r w:rsidR="00412ABC">
        <w:t xml:space="preserve"> </w:t>
      </w:r>
      <w:r w:rsidR="00412ABC" w:rsidRPr="00A15837">
        <w:rPr>
          <w:i/>
        </w:rPr>
        <w:t>Cardinium</w:t>
      </w:r>
      <w:r w:rsidR="00412ABC">
        <w:t xml:space="preserve"> from </w:t>
      </w:r>
      <w:r w:rsidR="00412ABC" w:rsidRPr="00A15837">
        <w:rPr>
          <w:i/>
        </w:rPr>
        <w:t>Tyrophagus putrescentiae</w:t>
      </w:r>
      <w:r w:rsidR="00412ABC">
        <w:t xml:space="preserve"> described previously</w:t>
      </w:r>
      <w:r>
        <w:t xml:space="preserve"> </w:t>
      </w:r>
      <w:r>
        <w:fldChar w:fldCharType="begin"/>
      </w:r>
      <w:r w:rsidR="00864CA8">
        <w:instrText xml:space="preserve"> ADDIN EN.CITE &lt;EndNote&gt;&lt;Cite&gt;&lt;Author&gt;Xiong&lt;/Author&gt;&lt;Year&gt;2023&lt;/Year&gt;&lt;RecNum&gt;726&lt;/RecNum&gt;&lt;DisplayText&gt;[80]&lt;/DisplayText&gt;&lt;record&gt;&lt;rec-number&gt;726&lt;/rec-number&gt;&lt;foreign-keys&gt;&lt;key app="EN" db-id="5sdxv5td55wps4eep0dvzdwlx0wz5wssa0p5" timestamp="1679500220"&gt;726&lt;/key&gt;&lt;/foreign-keys&gt;&lt;ref-type name="Journal Article"&gt;17&lt;/ref-type&gt;&lt;contributors&gt;&lt;authors&gt;&lt;author&gt;Xiong, Q. &lt;/author&gt;&lt;author&gt;Fung, C. S.-H.&lt;/author&gt;&lt;author&gt;Xiao, X. &lt;/author&gt;&lt;author&gt;Wan, A. T.-Y. &lt;/author&gt;&lt;author&gt;Wang, M. &lt;/author&gt;&lt;author&gt;Klimov, P. &lt;/author&gt;&lt;author&gt;Ren, Y. &lt;/author&gt;&lt;author&gt;Yang, K. Y. &lt;/author&gt;&lt;author&gt;Hubert, J. &lt;/author&gt;&lt;author&gt;Cui, Y. &lt;/author&gt;&lt;author&gt;Liu, X. &lt;/author&gt;&lt;author&gt;Tsui, S. K.-W. &lt;/author&gt;&lt;/authors&gt;&lt;/contributors&gt;&lt;titles&gt;&lt;title&gt;&lt;style face="normal" font="default" size="100%"&gt;Endogenous plasmids and chromosomal genome reduction in the &lt;/style&gt;&lt;style face="italic" font="default" size="100%"&gt;Cardinium&lt;/style&gt;&lt;style face="normal" font="default" size="100%"&gt; endosymbiont of &lt;/style&gt;&lt;style face="italic" font="default" size="100%"&gt;Dermatophagoides farinae&lt;/style&gt;&lt;/title&gt;&lt;secondary-title&gt;mSphere&lt;/secondary-title&gt;&lt;alt-title&gt;mSphere&lt;/alt-title&gt;&lt;/titles&gt;&lt;periodical&gt;&lt;full-title&gt;mSphere&lt;/full-title&gt;&lt;abbr-1&gt;mSphere&lt;/abbr-1&gt;&lt;/periodical&gt;&lt;alt-periodical&gt;&lt;full-title&gt;mSphere&lt;/full-title&gt;&lt;abbr-1&gt;mSphere&lt;/abbr-1&gt;&lt;/alt-periodical&gt;&lt;pages&gt;&lt;style face="normal" font="default" charset="238" size="100%"&gt;e0007423&lt;/style&gt;&lt;/pages&gt;&lt;volume&gt;&lt;style face="normal" font="default" charset="238" size="100%"&gt;8&lt;/style&gt;&lt;/volume&gt;&lt;number&gt;&lt;style face="normal" font="default" charset="238" size="100%"&gt;2&lt;/style&gt;&lt;/number&gt;&lt;dates&gt;&lt;year&gt;&lt;style face="normal" font="default" charset="238" size="100%"&gt;2023&lt;/style&gt;&lt;/year&gt;&lt;/dates&gt;&lt;urls&gt;&lt;/urls&gt;&lt;electronic-resource-num&gt;10.1128/msphere.00074-23&lt;/electronic-resource-num&gt;&lt;/record&gt;&lt;/Cite&gt;&lt;/EndNote&gt;</w:instrText>
      </w:r>
      <w:r>
        <w:fldChar w:fldCharType="separate"/>
      </w:r>
      <w:r w:rsidR="00864CA8">
        <w:rPr>
          <w:noProof/>
        </w:rPr>
        <w:t>[80]</w:t>
      </w:r>
      <w:r>
        <w:fldChar w:fldCharType="end"/>
      </w:r>
      <w:r w:rsidR="00A15837">
        <w:t>.</w:t>
      </w:r>
    </w:p>
    <w:bookmarkEnd w:id="1"/>
    <w:p w14:paraId="20D49150" w14:textId="2710C1AC" w:rsidR="00091489" w:rsidRDefault="0023258D">
      <w:r>
        <w:rPr>
          <w:noProof/>
          <w:lang w:val="cs-CZ" w:eastAsia="cs-CZ"/>
        </w:rPr>
        <w:drawing>
          <wp:inline distT="0" distB="0" distL="0" distR="0" wp14:anchorId="44AC5800" wp14:editId="3A109C22">
            <wp:extent cx="5074363" cy="7178040"/>
            <wp:effectExtent l="0" t="0" r="0" b="3810"/>
            <wp:docPr id="1771044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967" cy="719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B1E64" w14:textId="77777777" w:rsidR="00091489" w:rsidRDefault="00091489"/>
    <w:p w14:paraId="299B16DA" w14:textId="77777777" w:rsidR="00BF666E" w:rsidRDefault="00BF666E"/>
    <w:p w14:paraId="2597B0E2" w14:textId="77777777" w:rsidR="0078269A" w:rsidRDefault="0078269A">
      <w:pPr>
        <w:rPr>
          <w:b/>
          <w:bCs/>
        </w:rPr>
      </w:pPr>
      <w:r>
        <w:rPr>
          <w:b/>
          <w:bCs/>
        </w:rPr>
        <w:br w:type="page"/>
      </w:r>
    </w:p>
    <w:p w14:paraId="54F4690B" w14:textId="00283C12" w:rsidR="00A4648D" w:rsidRDefault="00DC13D5">
      <w:pPr>
        <w:rPr>
          <w:b/>
          <w:bCs/>
        </w:rPr>
      </w:pPr>
      <w:r>
        <w:rPr>
          <w:b/>
          <w:bCs/>
        </w:rPr>
        <w:lastRenderedPageBreak/>
        <w:t>F</w:t>
      </w:r>
      <w:r w:rsidRPr="00812407">
        <w:rPr>
          <w:b/>
          <w:bCs/>
        </w:rPr>
        <w:t>ig</w:t>
      </w:r>
      <w:r w:rsidR="0078269A">
        <w:rPr>
          <w:b/>
          <w:bCs/>
        </w:rPr>
        <w:t xml:space="preserve"> S3 </w:t>
      </w:r>
      <w:r w:rsidR="009B5FFA" w:rsidRPr="00A448E7">
        <w:t xml:space="preserve">Comparison of the </w:t>
      </w:r>
      <w:r w:rsidR="009B5FFA" w:rsidRPr="00A448E7">
        <w:rPr>
          <w:i/>
          <w:iCs/>
        </w:rPr>
        <w:t>Cardinium</w:t>
      </w:r>
      <w:r w:rsidR="009B5FFA" w:rsidRPr="00A448E7">
        <w:t xml:space="preserve"> genome </w:t>
      </w:r>
      <w:r w:rsidR="004B1275">
        <w:t xml:space="preserve">(red point) </w:t>
      </w:r>
      <w:r w:rsidR="00A448E7" w:rsidRPr="00A448E7">
        <w:t xml:space="preserve">to others </w:t>
      </w:r>
      <w:r w:rsidR="00A448E7" w:rsidRPr="00A448E7">
        <w:rPr>
          <w:i/>
          <w:iCs/>
        </w:rPr>
        <w:t>Cardinium</w:t>
      </w:r>
      <w:r w:rsidR="00A448E7" w:rsidRPr="00A448E7">
        <w:t xml:space="preserve"> available in </w:t>
      </w:r>
      <w:r w:rsidR="009B5FFA" w:rsidRPr="00A448E7">
        <w:t xml:space="preserve">using the M1CR0B1AL1Z3R pipeline </w:t>
      </w:r>
      <w:r>
        <w:fldChar w:fldCharType="begin"/>
      </w:r>
      <w:r w:rsidR="00864CA8">
        <w:instrText xml:space="preserve"> ADDIN EN.CITE &lt;EndNote&gt;&lt;Cite&gt;&lt;Author&gt;Avram&lt;/Author&gt;&lt;Year&gt;2019&lt;/Year&gt;&lt;RecNum&gt;551&lt;/RecNum&gt;&lt;DisplayText&gt;[65]&lt;/DisplayText&gt;&lt;record&gt;&lt;rec-number&gt;551&lt;/rec-number&gt;&lt;foreign-keys&gt;&lt;key app="EN" db-id="5sdxv5td55wps4eep0dvzdwlx0wz5wssa0p5" timestamp="1671221343"&gt;551&lt;/key&gt;&lt;/foreign-keys&gt;&lt;ref-type name="Journal Article"&gt;17&lt;/ref-type&gt;&lt;contributors&gt;&lt;authors&gt;&lt;author&gt;Avram, O.&lt;/author&gt;&lt;author&gt;Rapoport, D.&lt;/author&gt;&lt;author&gt;Portugez, S.&lt;/author&gt;&lt;author&gt;Pupko, T.&lt;/author&gt;&lt;/authors&gt;&lt;/contributors&gt;&lt;titles&gt;&lt;title&gt;M1CR0B1AL1Z3R—a user-friendly web server for the analysis of large-scale microbial genomics data&lt;/title&gt;&lt;secondary-title&gt;Nucleic Acids Research&lt;/secondary-title&gt;&lt;alt-title&gt;&lt;style face="normal" font="default" size="100%"&gt;Nucleic Acids Res&lt;/style&gt;&lt;style face="normal" font="default" charset="238" size="100%"&gt;.&lt;/style&gt;&lt;/alt-title&gt;&lt;/titles&gt;&lt;periodical&gt;&lt;full-title&gt;Nucleic Acids Research&lt;/full-title&gt;&lt;abbr-1&gt;Nucleic Acids Res.&lt;/abbr-1&gt;&lt;/periodical&gt;&lt;alt-periodical&gt;&lt;full-title&gt;Nucleic Acids Research&lt;/full-title&gt;&lt;abbr-1&gt;Nucleic Acids Res.&lt;/abbr-1&gt;&lt;/alt-periodical&gt;&lt;pages&gt;W88–W92&lt;/pages&gt;&lt;volume&gt;47&lt;/volume&gt;&lt;number&gt;W1&lt;/number&gt;&lt;dates&gt;&lt;year&gt;2019&lt;/year&gt;&lt;/dates&gt;&lt;urls&gt;&lt;/urls&gt;&lt;electronic-resource-num&gt;10.1093/nar/gkz423&lt;/electronic-resource-num&gt;&lt;/record&gt;&lt;/Cite&gt;&lt;/EndNote&gt;</w:instrText>
      </w:r>
      <w:r>
        <w:fldChar w:fldCharType="separate"/>
      </w:r>
      <w:r w:rsidR="00864CA8">
        <w:rPr>
          <w:noProof/>
        </w:rPr>
        <w:t>[65]</w:t>
      </w:r>
      <w:r>
        <w:fldChar w:fldCharType="end"/>
      </w:r>
      <w:r w:rsidR="009B5FFA" w:rsidRPr="00A448E7">
        <w:t>. GC content and open reading frame (ORF) comparisons are shown as violin and scatter plots.</w:t>
      </w:r>
    </w:p>
    <w:p w14:paraId="4BB31B35" w14:textId="4EBA8F94" w:rsidR="00D6124D" w:rsidRDefault="00A4648D">
      <w:pPr>
        <w:rPr>
          <w:b/>
          <w:bCs/>
        </w:rPr>
      </w:pPr>
      <w:r>
        <w:rPr>
          <w:b/>
          <w:bCs/>
          <w:noProof/>
          <w:lang w:val="cs-CZ" w:eastAsia="cs-CZ"/>
        </w:rPr>
        <w:drawing>
          <wp:inline distT="0" distB="0" distL="0" distR="0" wp14:anchorId="00360D1C" wp14:editId="57392E29">
            <wp:extent cx="5753100" cy="2788920"/>
            <wp:effectExtent l="0" t="0" r="0" b="0"/>
            <wp:docPr id="1056074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61"/>
                    <a:stretch/>
                  </pic:blipFill>
                  <pic:spPr bwMode="auto">
                    <a:xfrm>
                      <a:off x="0" y="0"/>
                      <a:ext cx="57531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2F475" w14:textId="6BF48800" w:rsidR="00F00E9D" w:rsidRDefault="00F00E9D">
      <w:pPr>
        <w:rPr>
          <w:b/>
          <w:bCs/>
        </w:rPr>
      </w:pPr>
      <w:r>
        <w:rPr>
          <w:b/>
          <w:bCs/>
        </w:rPr>
        <w:br w:type="page"/>
      </w:r>
    </w:p>
    <w:p w14:paraId="57AE381F" w14:textId="04BE198A" w:rsidR="00D6124D" w:rsidRPr="00D64BEB" w:rsidRDefault="0074310E">
      <w:bookmarkStart w:id="2" w:name="_Hlk143282350"/>
      <w:r>
        <w:rPr>
          <w:b/>
          <w:bCs/>
        </w:rPr>
        <w:lastRenderedPageBreak/>
        <w:t>F</w:t>
      </w:r>
      <w:r w:rsidRPr="00812407">
        <w:rPr>
          <w:b/>
          <w:bCs/>
        </w:rPr>
        <w:t>ig</w:t>
      </w:r>
      <w:r>
        <w:rPr>
          <w:b/>
          <w:bCs/>
        </w:rPr>
        <w:t xml:space="preserve"> S4</w:t>
      </w:r>
      <w:r w:rsidR="00D6124D">
        <w:rPr>
          <w:b/>
          <w:bCs/>
        </w:rPr>
        <w:t xml:space="preserve"> </w:t>
      </w:r>
      <w:r w:rsidR="00D6124D" w:rsidRPr="00165ED9">
        <w:t xml:space="preserve">Venn diagram comparing the KEGG assigned </w:t>
      </w:r>
      <w:r w:rsidR="00D46038">
        <w:t>proteins o</w:t>
      </w:r>
      <w:r w:rsidR="00D6124D" w:rsidRPr="00165ED9">
        <w:t xml:space="preserve">f </w:t>
      </w:r>
      <w:r w:rsidR="00D6124D" w:rsidRPr="00165ED9">
        <w:rPr>
          <w:i/>
          <w:iCs/>
        </w:rPr>
        <w:t>Cardinium</w:t>
      </w:r>
      <w:r w:rsidR="00D6124D" w:rsidRPr="00165ED9">
        <w:t xml:space="preserve"> </w:t>
      </w:r>
      <w:r w:rsidR="00DC3B46" w:rsidRPr="00165ED9">
        <w:t xml:space="preserve">from </w:t>
      </w:r>
      <w:r w:rsidR="00DC3B46" w:rsidRPr="00165ED9">
        <w:rPr>
          <w:i/>
          <w:iCs/>
        </w:rPr>
        <w:t>Tyrophagus putrescentiae</w:t>
      </w:r>
      <w:r w:rsidR="009A2338">
        <w:rPr>
          <w:i/>
          <w:iCs/>
        </w:rPr>
        <w:t xml:space="preserve"> </w:t>
      </w:r>
      <w:r w:rsidR="009A2338">
        <w:t>CZ and Chinese strain</w:t>
      </w:r>
      <w:r>
        <w:t xml:space="preserve"> </w:t>
      </w:r>
      <w:r>
        <w:fldChar w:fldCharType="begin"/>
      </w:r>
      <w:r w:rsidR="00864CA8">
        <w:instrText xml:space="preserve"> ADDIN EN.CITE &lt;EndNote&gt;&lt;Cite&gt;&lt;Author&gt;Xiong&lt;/Author&gt;&lt;Year&gt;2023&lt;/Year&gt;&lt;RecNum&gt;726&lt;/RecNum&gt;&lt;DisplayText&gt;[80]&lt;/DisplayText&gt;&lt;record&gt;&lt;rec-number&gt;726&lt;/rec-number&gt;&lt;foreign-keys&gt;&lt;key app="EN" db-id="5sdxv5td55wps4eep0dvzdwlx0wz5wssa0p5" timestamp="1679500220"&gt;726&lt;/key&gt;&lt;/foreign-keys&gt;&lt;ref-type name="Journal Article"&gt;17&lt;/ref-type&gt;&lt;contributors&gt;&lt;authors&gt;&lt;author&gt;Xiong, Q. &lt;/author&gt;&lt;author&gt;Fung, C. S.-H.&lt;/author&gt;&lt;author&gt;Xiao, X. &lt;/author&gt;&lt;author&gt;Wan, A. T.-Y. &lt;/author&gt;&lt;author&gt;Wang, M. &lt;/author&gt;&lt;author&gt;Klimov, P. &lt;/author&gt;&lt;author&gt;Ren, Y. &lt;/author&gt;&lt;author&gt;Yang, K. Y. &lt;/author&gt;&lt;author&gt;Hubert, J. &lt;/author&gt;&lt;author&gt;Cui, Y. &lt;/author&gt;&lt;author&gt;Liu, X. &lt;/author&gt;&lt;author&gt;Tsui, S. K.-W. &lt;/author&gt;&lt;/authors&gt;&lt;/contributors&gt;&lt;titles&gt;&lt;title&gt;&lt;style face="normal" font="default" size="100%"&gt;Endogenous plasmids and chromosomal genome reduction in the &lt;/style&gt;&lt;style face="italic" font="default" size="100%"&gt;Cardinium&lt;/style&gt;&lt;style face="normal" font="default" size="100%"&gt; endosymbiont of &lt;/style&gt;&lt;style face="italic" font="default" size="100%"&gt;Dermatophagoides farinae&lt;/style&gt;&lt;/title&gt;&lt;secondary-title&gt;mSphere&lt;/secondary-title&gt;&lt;alt-title&gt;mSphere&lt;/alt-title&gt;&lt;/titles&gt;&lt;periodical&gt;&lt;full-title&gt;mSphere&lt;/full-title&gt;&lt;abbr-1&gt;mSphere&lt;/abbr-1&gt;&lt;/periodical&gt;&lt;alt-periodical&gt;&lt;full-title&gt;mSphere&lt;/full-title&gt;&lt;abbr-1&gt;mSphere&lt;/abbr-1&gt;&lt;/alt-periodical&gt;&lt;pages&gt;&lt;style face="normal" font="default" charset="238" size="100%"&gt;e0007423&lt;/style&gt;&lt;/pages&gt;&lt;volume&gt;&lt;style face="normal" font="default" charset="238" size="100%"&gt;8&lt;/style&gt;&lt;/volume&gt;&lt;number&gt;&lt;style face="normal" font="default" charset="238" size="100%"&gt;2&lt;/style&gt;&lt;/number&gt;&lt;dates&gt;&lt;year&gt;&lt;style face="normal" font="default" charset="238" size="100%"&gt;2023&lt;/style&gt;&lt;/year&gt;&lt;/dates&gt;&lt;urls&gt;&lt;/urls&gt;&lt;electronic-resource-num&gt;10.1128/msphere.00074-23&lt;/electronic-resource-num&gt;&lt;/record&gt;&lt;/Cite&gt;&lt;/EndNote&gt;</w:instrText>
      </w:r>
      <w:r>
        <w:fldChar w:fldCharType="separate"/>
      </w:r>
      <w:r w:rsidR="00864CA8">
        <w:rPr>
          <w:noProof/>
        </w:rPr>
        <w:t>[80]</w:t>
      </w:r>
      <w:r>
        <w:fldChar w:fldCharType="end"/>
      </w:r>
      <w:r w:rsidR="00D64BEB">
        <w:rPr>
          <w:i/>
          <w:iCs/>
        </w:rPr>
        <w:t>,</w:t>
      </w:r>
      <w:r w:rsidR="00165ED9" w:rsidRPr="00165ED9">
        <w:t xml:space="preserve"> </w:t>
      </w:r>
      <w:r w:rsidR="00165ED9" w:rsidRPr="00165ED9">
        <w:rPr>
          <w:i/>
          <w:iCs/>
        </w:rPr>
        <w:t>Sogatella furcifera</w:t>
      </w:r>
      <w:r w:rsidR="00D64BEB" w:rsidRPr="0074310E">
        <w:rPr>
          <w:iCs/>
        </w:rPr>
        <w:t xml:space="preserve"> </w:t>
      </w:r>
      <w:r>
        <w:rPr>
          <w:iCs/>
        </w:rPr>
        <w:fldChar w:fldCharType="begin"/>
      </w:r>
      <w:r w:rsidR="00864CA8">
        <w:rPr>
          <w:iCs/>
        </w:rPr>
        <w:instrText xml:space="preserve"> ADDIN EN.CITE &lt;EndNote&gt;&lt;Cite&gt;&lt;Author&gt;Zeng&lt;/Author&gt;&lt;Year&gt;2018&lt;/Year&gt;&lt;RecNum&gt;840&lt;/RecNum&gt;&lt;DisplayText&gt;[79]&lt;/DisplayText&gt;&lt;record&gt;&lt;rec-number&gt;840&lt;/rec-number&gt;&lt;foreign-keys&gt;&lt;key app="EN" db-id="5sdxv5td55wps4eep0dvzdwlx0wz5wssa0p5" timestamp="1694788381"&gt;840&lt;/key&gt;&lt;/foreign-keys&gt;&lt;ref-type name="Journal Article"&gt;17&lt;/ref-type&gt;&lt;contributors&gt;&lt;authors&gt;&lt;author&gt;Zeng, Z.&lt;/author&gt;&lt;author&gt;Fu, Y.&lt;/author&gt;&lt;author&gt;Guo, D.&lt;/author&gt;&lt;author&gt;Wu, Y.&lt;/author&gt;&lt;author&gt;Ajayi, O. E.&lt;/author&gt;&lt;author&gt;Wu, Q.&lt;/author&gt;&lt;/authors&gt;&lt;/contributors&gt;&lt;titles&gt;&lt;title&gt;&lt;style face="normal" font="default" size="100%"&gt;Bacterial endosymbiont &lt;/style&gt;&lt;style face="italic" font="default" size="100%"&gt;Cardinium&lt;/style&gt;&lt;style face="normal" font="default" size="100%"&gt; cSfur genome sequence provides insights for understanding the symbiotic relationship in &lt;/style&gt;&lt;style face="italic" font="default" size="100%"&gt;Sogatella furcifera&lt;/style&gt;&lt;style face="normal" font="default" size="100%"&gt; host&lt;/style&gt;&lt;/title&gt;&lt;secondary-title&gt;BMC Genomics&lt;/secondary-title&gt;&lt;alt-title&gt;BMC Genomics&lt;/alt-title&gt;&lt;/titles&gt;&lt;periodical&gt;&lt;full-title&gt;BMC Genomics&lt;/full-title&gt;&lt;abbr-1&gt;BMC Genomics&lt;/abbr-1&gt;&lt;/periodical&gt;&lt;alt-periodical&gt;&lt;full-title&gt;BMC Genomics&lt;/full-title&gt;&lt;abbr-1&gt;BMC Genomics&lt;/abbr-1&gt;&lt;/alt-periodical&gt;&lt;pages&gt;688&lt;/pages&gt;&lt;volume&gt;19&lt;/volume&gt;&lt;number&gt;&lt;style face="normal" font="default" charset="238" size="100%"&gt;1&lt;/style&gt;&lt;/number&gt;&lt;dates&gt;&lt;year&gt;2018&lt;/year&gt;&lt;/dates&gt;&lt;urls&gt;&lt;/urls&gt;&lt;electronic-resource-num&gt;10.1186/s12864-018-5078-y&lt;/electronic-resource-num&gt;&lt;/record&gt;&lt;/Cite&gt;&lt;/EndNote&gt;</w:instrText>
      </w:r>
      <w:r>
        <w:rPr>
          <w:iCs/>
        </w:rPr>
        <w:fldChar w:fldCharType="separate"/>
      </w:r>
      <w:r w:rsidR="00864CA8">
        <w:rPr>
          <w:iCs/>
          <w:noProof/>
        </w:rPr>
        <w:t>[79]</w:t>
      </w:r>
      <w:r>
        <w:rPr>
          <w:iCs/>
        </w:rPr>
        <w:fldChar w:fldCharType="end"/>
      </w:r>
      <w:r>
        <w:t xml:space="preserve"> </w:t>
      </w:r>
      <w:r w:rsidR="00D64BEB">
        <w:t xml:space="preserve">and </w:t>
      </w:r>
      <w:r w:rsidR="00D64BEB" w:rsidRPr="00D64BEB">
        <w:rPr>
          <w:i/>
          <w:iCs/>
        </w:rPr>
        <w:t>Oedothorax gibbosus</w:t>
      </w:r>
      <w:r w:rsidRPr="0074310E">
        <w:rPr>
          <w:iCs/>
        </w:rPr>
        <w:t xml:space="preserve"> </w:t>
      </w:r>
      <w:r>
        <w:rPr>
          <w:iCs/>
        </w:rPr>
        <w:fldChar w:fldCharType="begin"/>
      </w:r>
      <w:r w:rsidR="00864CA8">
        <w:rPr>
          <w:iCs/>
        </w:rPr>
        <w:instrText xml:space="preserve"> ADDIN EN.CITE &lt;EndNote&gt;&lt;Cite&gt;&lt;Author&gt;Halter&lt;/Author&gt;&lt;Year&gt;2022&lt;/Year&gt;&lt;RecNum&gt;839&lt;/RecNum&gt;&lt;DisplayText&gt;[81]&lt;/DisplayText&gt;&lt;record&gt;&lt;rec-number&gt;839&lt;/rec-number&gt;&lt;foreign-keys&gt;&lt;key app="EN" db-id="5sdxv5td55wps4eep0dvzdwlx0wz5wssa0p5" timestamp="1694788208"&gt;839&lt;/key&gt;&lt;/foreign-keys&gt;&lt;ref-type name="Journal Article"&gt;17&lt;/ref-type&gt;&lt;contributors&gt;&lt;authors&gt;&lt;author&gt;Halter, T.&lt;/author&gt;&lt;author&gt;Hendrickx, F.&lt;/author&gt;&lt;author&gt;Horn, M.&lt;/author&gt;&lt;author&gt;Manzano-Marin, A.&lt;/author&gt;&lt;/authors&gt;&lt;/contributors&gt;&lt;titles&gt;&lt;title&gt;&lt;style face="normal" font="default" size="100%"&gt;A novel widespread MITE element in the repeat-rich genome of the &lt;/style&gt;&lt;style face="italic" font="default" size="100%"&gt;Cardinium&lt;/style&gt;&lt;style face="normal" font="default" size="100%"&gt; endosymbiont of the spider &lt;/style&gt;&lt;style face="italic" font="default" size="100%"&gt;Oedothorax gibbosus&lt;/style&gt;&lt;/title&gt;&lt;secondary-title&gt;Microbiology Spectrum&lt;/secondary-title&gt;&lt;alt-title&gt;Microbiol. Spectr.&lt;/alt-title&gt;&lt;/titles&gt;&lt;periodical&gt;&lt;full-title&gt;Microbiology Spectrum&lt;/full-title&gt;&lt;abbr-1&gt;Microbiol. Spectr.&lt;/abbr-1&gt;&lt;/periodical&gt;&lt;alt-periodical&gt;&lt;full-title&gt;Microbiology Spectrum&lt;/full-title&gt;&lt;abbr-1&gt;Microbiol. Spectr.&lt;/abbr-1&gt;&lt;/alt-periodical&gt;&lt;pages&gt;e0262722&lt;/pages&gt;&lt;volume&gt;10&lt;/volume&gt;&lt;number&gt;6&lt;/number&gt;&lt;dates&gt;&lt;year&gt;2022&lt;/year&gt;&lt;/dates&gt;&lt;urls&gt;&lt;/urls&gt;&lt;electronic-resource-num&gt;10.1128/spectrum.02627-22&lt;/electronic-resource-num&gt;&lt;/record&gt;&lt;/Cite&gt;&lt;/EndNote&gt;</w:instrText>
      </w:r>
      <w:r>
        <w:rPr>
          <w:iCs/>
        </w:rPr>
        <w:fldChar w:fldCharType="separate"/>
      </w:r>
      <w:r w:rsidR="00864CA8">
        <w:rPr>
          <w:iCs/>
          <w:noProof/>
        </w:rPr>
        <w:t>[81]</w:t>
      </w:r>
      <w:r>
        <w:rPr>
          <w:iCs/>
        </w:rPr>
        <w:fldChar w:fldCharType="end"/>
      </w:r>
      <w:r>
        <w:rPr>
          <w:iCs/>
        </w:rPr>
        <w:t>.</w:t>
      </w:r>
    </w:p>
    <w:bookmarkEnd w:id="2"/>
    <w:p w14:paraId="7B5CCE41" w14:textId="12CBCC6B" w:rsidR="0047641F" w:rsidRPr="00165ED9" w:rsidRDefault="000E5239">
      <w:r>
        <w:rPr>
          <w:noProof/>
          <w:lang w:val="cs-CZ" w:eastAsia="cs-CZ"/>
        </w:rPr>
        <w:drawing>
          <wp:inline distT="0" distB="0" distL="0" distR="0" wp14:anchorId="2F6DED41" wp14:editId="29DE65E9">
            <wp:extent cx="5760720" cy="4327525"/>
            <wp:effectExtent l="0" t="0" r="0" b="0"/>
            <wp:docPr id="423446557" name="Picture 1" descr="A yellow and red diagram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446557" name="Picture 1" descr="A yellow and red diagram with numbe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4EF1E" w14:textId="31279C91" w:rsidR="0078269A" w:rsidRDefault="0078269A">
      <w:pPr>
        <w:rPr>
          <w:b/>
          <w:bCs/>
        </w:rPr>
      </w:pPr>
      <w:r>
        <w:rPr>
          <w:b/>
          <w:bCs/>
        </w:rPr>
        <w:br w:type="page"/>
      </w:r>
    </w:p>
    <w:p w14:paraId="32674FBD" w14:textId="77777777" w:rsidR="00D61F84" w:rsidRDefault="00D61F84" w:rsidP="007A6D40">
      <w:pPr>
        <w:rPr>
          <w:b/>
          <w:bCs/>
        </w:rPr>
        <w:sectPr w:rsidR="00D61F84"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16E5C833" w14:textId="6EBA8563" w:rsidR="007A6D40" w:rsidRDefault="000F7DA5" w:rsidP="007A6D40">
      <w:r>
        <w:rPr>
          <w:b/>
          <w:bCs/>
        </w:rPr>
        <w:lastRenderedPageBreak/>
        <w:t>F</w:t>
      </w:r>
      <w:r w:rsidRPr="00812407">
        <w:rPr>
          <w:b/>
          <w:bCs/>
        </w:rPr>
        <w:t>ig</w:t>
      </w:r>
      <w:r w:rsidR="00300B22" w:rsidRPr="00091489">
        <w:rPr>
          <w:b/>
          <w:bCs/>
        </w:rPr>
        <w:t xml:space="preserve"> S</w:t>
      </w:r>
      <w:r w:rsidR="00E21382">
        <w:rPr>
          <w:b/>
          <w:bCs/>
        </w:rPr>
        <w:t>5</w:t>
      </w:r>
      <w:r w:rsidR="00300B22">
        <w:t xml:space="preserve"> </w:t>
      </w:r>
      <w:r w:rsidR="007A6D40" w:rsidRPr="00BF666E">
        <w:t xml:space="preserve">Phylogenetic analyses of </w:t>
      </w:r>
      <w:r w:rsidR="007A6D40">
        <w:rPr>
          <w:i/>
          <w:iCs/>
        </w:rPr>
        <w:t xml:space="preserve">Wolbachia </w:t>
      </w:r>
      <w:r w:rsidR="007A6D40" w:rsidRPr="00BF666E">
        <w:t xml:space="preserve">based on whole-genome similarity metrics </w:t>
      </w:r>
      <w:r w:rsidR="007A6D40">
        <w:t xml:space="preserve">using </w:t>
      </w:r>
      <w:r w:rsidR="005D4E91">
        <w:rPr>
          <w:i/>
          <w:iCs/>
        </w:rPr>
        <w:t>Wolbachia</w:t>
      </w:r>
      <w:r w:rsidR="007A6D40">
        <w:t xml:space="preserve"> genomes available in GenBank</w:t>
      </w:r>
      <w:r w:rsidR="007A6D40" w:rsidRPr="00BF666E">
        <w:t xml:space="preserve">; </w:t>
      </w:r>
      <w:r w:rsidR="00C77F13" w:rsidRPr="00A15837">
        <w:rPr>
          <w:b/>
        </w:rPr>
        <w:t>A</w:t>
      </w:r>
      <w:r w:rsidR="007A6D40" w:rsidRPr="00BF666E">
        <w:t xml:space="preserve"> - phylogram based on the M1CR0B1AL1Z3R pipeline</w:t>
      </w:r>
      <w:r w:rsidR="00974241">
        <w:t>.</w:t>
      </w:r>
      <w:r w:rsidR="00705BF9">
        <w:t xml:space="preserve"> The dendrogram is organized </w:t>
      </w:r>
      <w:r w:rsidR="004D1D5F">
        <w:t>according to</w:t>
      </w:r>
      <w:r w:rsidR="00705BF9">
        <w:t xml:space="preserve"> </w:t>
      </w:r>
      <w:r w:rsidR="00705BF9" w:rsidRPr="004D1D5F">
        <w:rPr>
          <w:i/>
          <w:iCs/>
        </w:rPr>
        <w:t>Wolbachia</w:t>
      </w:r>
      <w:r w:rsidR="00705BF9">
        <w:t xml:space="preserve"> host. </w:t>
      </w:r>
      <w:r w:rsidR="00C77F13" w:rsidRPr="00A15837">
        <w:rPr>
          <w:b/>
        </w:rPr>
        <w:t>B</w:t>
      </w:r>
      <w:r w:rsidR="00C77F13" w:rsidRPr="00BF666E">
        <w:t xml:space="preserve"> - FastANI analysis using average nucleotide identities (ANI); </w:t>
      </w:r>
      <w:r w:rsidR="00F54A4F" w:rsidRPr="000F7DA5">
        <w:rPr>
          <w:b/>
        </w:rPr>
        <w:t>Legend</w:t>
      </w:r>
      <w:r w:rsidRPr="000F7DA5">
        <w:rPr>
          <w:b/>
        </w:rPr>
        <w:t>:</w:t>
      </w:r>
      <w:r w:rsidR="00F54A4F">
        <w:t xml:space="preserve"> * </w:t>
      </w:r>
      <w:commentRangeStart w:id="3"/>
      <w:r w:rsidR="00F54A4F">
        <w:t>-</w:t>
      </w:r>
      <w:commentRangeEnd w:id="3"/>
      <w:r w:rsidR="00BF09E5">
        <w:rPr>
          <w:rStyle w:val="Odkaznakoment"/>
        </w:rPr>
        <w:commentReference w:id="3"/>
      </w:r>
      <w:r w:rsidR="00F54A4F" w:rsidRPr="00F54A4F">
        <w:rPr>
          <w:i/>
          <w:iCs/>
        </w:rPr>
        <w:t>Wolbachia</w:t>
      </w:r>
      <w:r w:rsidR="00F54A4F">
        <w:t xml:space="preserve"> of </w:t>
      </w:r>
      <w:r w:rsidR="00F54A4F" w:rsidRPr="00F54A4F">
        <w:rPr>
          <w:i/>
          <w:iCs/>
        </w:rPr>
        <w:t>Tyrophagus putrescentiae</w:t>
      </w:r>
      <w:r w:rsidR="00F54A4F" w:rsidRPr="00F54A4F">
        <w:t xml:space="preserve">, </w:t>
      </w:r>
      <w:r w:rsidR="00F54A4F">
        <w:t xml:space="preserve">** GIJY0000000 </w:t>
      </w:r>
      <w:r w:rsidR="004D1D5F">
        <w:t>annotation</w:t>
      </w:r>
      <w:r w:rsidR="00F54A4F">
        <w:t xml:space="preserve"> of </w:t>
      </w:r>
      <w:r w:rsidR="00F54A4F" w:rsidRPr="000F7DA5">
        <w:rPr>
          <w:i/>
        </w:rPr>
        <w:t>Wolbachia</w:t>
      </w:r>
      <w:r w:rsidR="00F54A4F">
        <w:t xml:space="preserve"> from </w:t>
      </w:r>
      <w:r w:rsidR="00F54A4F" w:rsidRPr="004D1D5F">
        <w:rPr>
          <w:i/>
          <w:iCs/>
        </w:rPr>
        <w:t>T</w:t>
      </w:r>
      <w:r w:rsidR="007A0DE3">
        <w:rPr>
          <w:i/>
          <w:iCs/>
        </w:rPr>
        <w:t>.</w:t>
      </w:r>
      <w:r w:rsidR="00F54A4F" w:rsidRPr="004D1D5F">
        <w:rPr>
          <w:i/>
          <w:iCs/>
        </w:rPr>
        <w:t xml:space="preserve"> putrescentiae</w:t>
      </w:r>
      <w:r w:rsidR="00A15837">
        <w:t xml:space="preserve">; </w:t>
      </w:r>
      <w:r w:rsidR="00F54A4F">
        <w:t>***</w:t>
      </w:r>
      <w:r w:rsidR="004D1D5F">
        <w:t xml:space="preserve"> identified </w:t>
      </w:r>
      <w:r w:rsidR="004D1D5F" w:rsidRPr="004D1D5F">
        <w:rPr>
          <w:i/>
          <w:iCs/>
        </w:rPr>
        <w:t xml:space="preserve">Wolbachia </w:t>
      </w:r>
      <w:r w:rsidR="00A15837">
        <w:t>species.</w:t>
      </w:r>
    </w:p>
    <w:p w14:paraId="0ED2EF2F" w14:textId="77777777" w:rsidR="00A749E4" w:rsidRDefault="00A749E4" w:rsidP="007A6D40"/>
    <w:p w14:paraId="406AE425" w14:textId="717512E1" w:rsidR="00D61F84" w:rsidRDefault="00902235" w:rsidP="007A6D40">
      <w:pPr>
        <w:sectPr w:rsidR="00D61F84" w:rsidSect="00D61F84">
          <w:pgSz w:w="16838" w:h="11906" w:orient="landscape"/>
          <w:pgMar w:top="1411" w:right="1411" w:bottom="1411" w:left="1411" w:header="720" w:footer="720" w:gutter="0"/>
          <w:cols w:space="720"/>
          <w:docGrid w:linePitch="360"/>
        </w:sectPr>
      </w:pPr>
      <w:r>
        <w:rPr>
          <w:noProof/>
          <w:lang w:val="cs-CZ" w:eastAsia="cs-CZ"/>
        </w:rPr>
        <w:drawing>
          <wp:inline distT="0" distB="0" distL="0" distR="0" wp14:anchorId="75CC1D7D" wp14:editId="42BADEC2">
            <wp:extent cx="8900160" cy="4634865"/>
            <wp:effectExtent l="0" t="0" r="0" b="0"/>
            <wp:docPr id="1830424338" name="Picture 5" descr="A black background with red and blue text with Marfa light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424338" name="Picture 5" descr="A black background with red and blue text with Marfa lights in the backgroun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0160" cy="463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0DB02" w14:textId="2C6D04A3" w:rsidR="007A6D40" w:rsidRDefault="00705BF9" w:rsidP="00300B22">
      <w:r>
        <w:rPr>
          <w:noProof/>
          <w:lang w:val="cs-CZ" w:eastAsia="cs-CZ"/>
        </w:rPr>
        <w:lastRenderedPageBreak/>
        <w:drawing>
          <wp:inline distT="0" distB="0" distL="0" distR="0" wp14:anchorId="6D57B668" wp14:editId="41E54FE2">
            <wp:extent cx="2759801" cy="8743950"/>
            <wp:effectExtent l="0" t="0" r="2540" b="0"/>
            <wp:docPr id="641983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83413" name="Picture 6419834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753" cy="875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62EF7" w14:textId="432AE45D" w:rsidR="00390BF9" w:rsidRDefault="007A167B" w:rsidP="00390BF9">
      <w:r>
        <w:rPr>
          <w:b/>
          <w:bCs/>
        </w:rPr>
        <w:lastRenderedPageBreak/>
        <w:t>F</w:t>
      </w:r>
      <w:r w:rsidRPr="00812407">
        <w:rPr>
          <w:b/>
          <w:bCs/>
        </w:rPr>
        <w:t>ig</w:t>
      </w:r>
      <w:r w:rsidR="00390BF9">
        <w:rPr>
          <w:b/>
          <w:bCs/>
        </w:rPr>
        <w:t xml:space="preserve"> S</w:t>
      </w:r>
      <w:r w:rsidR="00E21382">
        <w:rPr>
          <w:b/>
          <w:bCs/>
        </w:rPr>
        <w:t>6</w:t>
      </w:r>
      <w:r w:rsidR="00390BF9">
        <w:rPr>
          <w:b/>
          <w:bCs/>
        </w:rPr>
        <w:t xml:space="preserve"> </w:t>
      </w:r>
      <w:r w:rsidR="00390BF9" w:rsidRPr="00A448E7">
        <w:t xml:space="preserve">Comparison of the </w:t>
      </w:r>
      <w:r w:rsidR="00390BF9">
        <w:rPr>
          <w:i/>
          <w:iCs/>
        </w:rPr>
        <w:t>Wolbachia</w:t>
      </w:r>
      <w:r w:rsidR="00390BF9" w:rsidRPr="00A448E7">
        <w:t xml:space="preserve"> genome </w:t>
      </w:r>
      <w:r w:rsidR="003C0F6D">
        <w:t xml:space="preserve">of </w:t>
      </w:r>
      <w:r w:rsidR="003C0F6D" w:rsidRPr="007A167B">
        <w:rPr>
          <w:i/>
        </w:rPr>
        <w:t>T</w:t>
      </w:r>
      <w:r w:rsidR="004055F3" w:rsidRPr="00165ED9">
        <w:rPr>
          <w:i/>
          <w:iCs/>
        </w:rPr>
        <w:t>yrophagus</w:t>
      </w:r>
      <w:r w:rsidR="003C0F6D" w:rsidRPr="007A167B">
        <w:rPr>
          <w:i/>
        </w:rPr>
        <w:t xml:space="preserve"> putrescentiae</w:t>
      </w:r>
      <w:r w:rsidR="003C0F6D">
        <w:t xml:space="preserve"> </w:t>
      </w:r>
      <w:r w:rsidR="00390BF9">
        <w:t>(red point)</w:t>
      </w:r>
      <w:r w:rsidR="003C0F6D">
        <w:t xml:space="preserve"> </w:t>
      </w:r>
      <w:r w:rsidR="00390BF9" w:rsidRPr="00A448E7">
        <w:t xml:space="preserve">to others </w:t>
      </w:r>
      <w:r w:rsidR="00390BF9">
        <w:rPr>
          <w:i/>
          <w:iCs/>
        </w:rPr>
        <w:t>Wolbachia</w:t>
      </w:r>
      <w:r w:rsidR="00390BF9" w:rsidRPr="00A448E7">
        <w:t xml:space="preserve"> available in using the M1CR0B1AL1Z3R pipeline </w:t>
      </w:r>
      <w:r>
        <w:fldChar w:fldCharType="begin"/>
      </w:r>
      <w:r w:rsidR="00864CA8">
        <w:instrText xml:space="preserve"> ADDIN EN.CITE &lt;EndNote&gt;&lt;Cite&gt;&lt;Author&gt;Avram&lt;/Author&gt;&lt;Year&gt;2019&lt;/Year&gt;&lt;RecNum&gt;551&lt;/RecNum&gt;&lt;DisplayText&gt;[65]&lt;/DisplayText&gt;&lt;record&gt;&lt;rec-number&gt;551&lt;/rec-number&gt;&lt;foreign-keys&gt;&lt;key app="EN" db-id="5sdxv5td55wps4eep0dvzdwlx0wz5wssa0p5" timestamp="1671221343"&gt;551&lt;/key&gt;&lt;/foreign-keys&gt;&lt;ref-type name="Journal Article"&gt;17&lt;/ref-type&gt;&lt;contributors&gt;&lt;authors&gt;&lt;author&gt;Avram, O.&lt;/author&gt;&lt;author&gt;Rapoport, D.&lt;/author&gt;&lt;author&gt;Portugez, S.&lt;/author&gt;&lt;author&gt;Pupko, T.&lt;/author&gt;&lt;/authors&gt;&lt;/contributors&gt;&lt;titles&gt;&lt;title&gt;M1CR0B1AL1Z3R—a user-friendly web server for the analysis of large-scale microbial genomics data&lt;/title&gt;&lt;secondary-title&gt;Nucleic Acids Research&lt;/secondary-title&gt;&lt;alt-title&gt;&lt;style face="normal" font="default" size="100%"&gt;Nucleic Acids Res&lt;/style&gt;&lt;style face="normal" font="default" charset="238" size="100%"&gt;.&lt;/style&gt;&lt;/alt-title&gt;&lt;/titles&gt;&lt;periodical&gt;&lt;full-title&gt;Nucleic Acids Research&lt;/full-title&gt;&lt;abbr-1&gt;Nucleic Acids Res.&lt;/abbr-1&gt;&lt;/periodical&gt;&lt;alt-periodical&gt;&lt;full-title&gt;Nucleic Acids Research&lt;/full-title&gt;&lt;abbr-1&gt;Nucleic Acids Res.&lt;/abbr-1&gt;&lt;/alt-periodical&gt;&lt;pages&gt;W88–W92&lt;/pages&gt;&lt;volume&gt;47&lt;/volume&gt;&lt;number&gt;W1&lt;/number&gt;&lt;dates&gt;&lt;year&gt;2019&lt;/year&gt;&lt;/dates&gt;&lt;urls&gt;&lt;/urls&gt;&lt;electronic-resource-num&gt;10.1093/nar/gkz423&lt;/electronic-resource-num&gt;&lt;/record&gt;&lt;/Cite&gt;&lt;/EndNote&gt;</w:instrText>
      </w:r>
      <w:r>
        <w:fldChar w:fldCharType="separate"/>
      </w:r>
      <w:r w:rsidR="00864CA8">
        <w:rPr>
          <w:noProof/>
        </w:rPr>
        <w:t>[65]</w:t>
      </w:r>
      <w:r>
        <w:fldChar w:fldCharType="end"/>
      </w:r>
      <w:r w:rsidR="00390BF9" w:rsidRPr="00A448E7">
        <w:t>. GC content and open reading frame (ORF) comparisons are shown as violin and scatter plots.</w:t>
      </w:r>
      <w:r w:rsidR="003C0F6D">
        <w:t xml:space="preserve"> The blue point indicates previous incomplete version of </w:t>
      </w:r>
      <w:r w:rsidR="003C0F6D" w:rsidRPr="003C0F6D">
        <w:rPr>
          <w:i/>
          <w:iCs/>
        </w:rPr>
        <w:t>Wolbachia</w:t>
      </w:r>
      <w:r w:rsidR="003C0F6D">
        <w:t xml:space="preserve"> symbiont from </w:t>
      </w:r>
      <w:r w:rsidR="003C0F6D" w:rsidRPr="003C0F6D">
        <w:rPr>
          <w:i/>
          <w:iCs/>
        </w:rPr>
        <w:t>T</w:t>
      </w:r>
      <w:r>
        <w:rPr>
          <w:i/>
          <w:iCs/>
        </w:rPr>
        <w:t>.</w:t>
      </w:r>
      <w:r w:rsidR="003C0F6D" w:rsidRPr="003C0F6D">
        <w:rPr>
          <w:i/>
          <w:iCs/>
        </w:rPr>
        <w:t xml:space="preserve"> putrescentiae</w:t>
      </w:r>
      <w:r w:rsidR="003C0F6D">
        <w:t>.</w:t>
      </w:r>
    </w:p>
    <w:p w14:paraId="0B6E108F" w14:textId="4655BE15" w:rsidR="00081287" w:rsidRDefault="00081287" w:rsidP="00390BF9">
      <w:r>
        <w:rPr>
          <w:noProof/>
          <w:lang w:val="cs-CZ" w:eastAsia="cs-CZ"/>
        </w:rPr>
        <w:drawing>
          <wp:inline distT="0" distB="0" distL="0" distR="0" wp14:anchorId="6269F62F" wp14:editId="786E9CB6">
            <wp:extent cx="5760720" cy="4203850"/>
            <wp:effectExtent l="0" t="0" r="0" b="0"/>
            <wp:docPr id="1874564289" name="Picture 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564289" name="Picture 2" descr="A screenshot of a video game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36" b="30777"/>
                    <a:stretch/>
                  </pic:blipFill>
                  <pic:spPr bwMode="auto">
                    <a:xfrm>
                      <a:off x="0" y="0"/>
                      <a:ext cx="5760720" cy="420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B54F9" w14:textId="467EFA56" w:rsidR="00081287" w:rsidRDefault="00081287">
      <w:pPr>
        <w:rPr>
          <w:b/>
          <w:bCs/>
        </w:rPr>
      </w:pPr>
      <w:r>
        <w:rPr>
          <w:b/>
          <w:bCs/>
        </w:rPr>
        <w:br w:type="page"/>
      </w:r>
    </w:p>
    <w:p w14:paraId="109C7921" w14:textId="41928534" w:rsidR="00081287" w:rsidRPr="00854171" w:rsidRDefault="004055F3" w:rsidP="00081287">
      <w:r>
        <w:rPr>
          <w:b/>
          <w:bCs/>
        </w:rPr>
        <w:lastRenderedPageBreak/>
        <w:t>F</w:t>
      </w:r>
      <w:r w:rsidRPr="00812407">
        <w:rPr>
          <w:b/>
          <w:bCs/>
        </w:rPr>
        <w:t>ig</w:t>
      </w:r>
      <w:r w:rsidR="00081287">
        <w:rPr>
          <w:b/>
          <w:bCs/>
        </w:rPr>
        <w:t xml:space="preserve"> S</w:t>
      </w:r>
      <w:r w:rsidR="00E21382">
        <w:rPr>
          <w:b/>
          <w:bCs/>
        </w:rPr>
        <w:t>7</w:t>
      </w:r>
      <w:r w:rsidR="00081287">
        <w:rPr>
          <w:b/>
          <w:bCs/>
        </w:rPr>
        <w:t xml:space="preserve"> </w:t>
      </w:r>
      <w:r w:rsidR="00081287" w:rsidRPr="00165ED9">
        <w:t xml:space="preserve">Venn diagram comparing the KEGG assigned </w:t>
      </w:r>
      <w:r w:rsidR="00081287">
        <w:t>proteins o</w:t>
      </w:r>
      <w:r w:rsidR="00081287" w:rsidRPr="00165ED9">
        <w:t xml:space="preserve">f </w:t>
      </w:r>
      <w:r w:rsidR="00081287">
        <w:rPr>
          <w:i/>
          <w:iCs/>
        </w:rPr>
        <w:t>Wolbachia</w:t>
      </w:r>
      <w:r w:rsidR="00081287" w:rsidRPr="00165ED9">
        <w:t xml:space="preserve"> from </w:t>
      </w:r>
      <w:r w:rsidR="00081287" w:rsidRPr="00165ED9">
        <w:rPr>
          <w:i/>
          <w:iCs/>
        </w:rPr>
        <w:t>Tyrophagus putrescentiae</w:t>
      </w:r>
      <w:r w:rsidR="00081287" w:rsidRPr="00165ED9">
        <w:t xml:space="preserve"> and </w:t>
      </w:r>
      <w:r w:rsidR="00854171">
        <w:t xml:space="preserve">mite </w:t>
      </w:r>
      <w:r w:rsidR="00854171" w:rsidRPr="00854171">
        <w:rPr>
          <w:i/>
          <w:iCs/>
        </w:rPr>
        <w:t>Fragariocoptes setiger</w:t>
      </w:r>
      <w:r w:rsidR="00854171">
        <w:t xml:space="preserve"> </w:t>
      </w:r>
      <w:r>
        <w:fldChar w:fldCharType="begin"/>
      </w:r>
      <w:r w:rsidR="00864CA8">
        <w:instrText xml:space="preserve"> ADDIN EN.CITE &lt;EndNote&gt;&lt;Cite&gt;&lt;Author&gt;Klimov&lt;/Author&gt;&lt;Year&gt;2022&lt;/Year&gt;&lt;RecNum&gt;838&lt;/RecNum&gt;&lt;DisplayText&gt;[83]&lt;/DisplayText&gt;&lt;record&gt;&lt;rec-number&gt;838&lt;/rec-number&gt;&lt;foreign-keys&gt;&lt;key app="EN" db-id="5sdxv5td55wps4eep0dvzdwlx0wz5wssa0p5" timestamp="1694787979"&gt;838&lt;/key&gt;&lt;/foreign-keys&gt;&lt;ref-type name="Journal Article"&gt;17&lt;/ref-type&gt;&lt;contributors&gt;&lt;authors&gt;&lt;author&gt;Klimov, P. B.&lt;/author&gt;&lt;author&gt;Chetverikov, P. E.&lt;/author&gt;&lt;author&gt;Dodueva, I. E.&lt;/author&gt;&lt;author&gt;Vishnyakov, A. E.&lt;/author&gt;&lt;author&gt;Bolton, S. J.&lt;/author&gt;&lt;author&gt;Paponova, S. S.&lt;/author&gt;&lt;author&gt;Lutova, L. A.&lt;/author&gt;&lt;author&gt;Tolstikov, A. V.&lt;/author&gt;&lt;/authors&gt;&lt;/contributors&gt;&lt;titles&gt;&lt;title&gt;&lt;style face="normal" font="default" size="100%"&gt;Symbiotic bacteria of the gall-inducing mite &lt;/style&gt;&lt;style face="italic" font="default" size="100%"&gt;Fragariocoptes setiger&lt;/style&gt;&lt;style face="normal" font="default" size="100%"&gt; (Eriophyoidea) and phylogenomic resolution of the eriophyoid position among Acari&lt;/style&gt;&lt;/title&gt;&lt;secondary-title&gt;Scientific Reports&lt;/secondary-title&gt;&lt;alt-title&gt;Sci. Rep.&lt;/alt-title&gt;&lt;/titles&gt;&lt;periodical&gt;&lt;full-title&gt;Scientific Reports&lt;/full-title&gt;&lt;abbr-1&gt;Sci. Rep.&lt;/abbr-1&gt;&lt;/periodical&gt;&lt;alt-periodical&gt;&lt;full-title&gt;Scientific Reports&lt;/full-title&gt;&lt;abbr-1&gt;Sci. Rep.&lt;/abbr-1&gt;&lt;/alt-periodical&gt;&lt;pages&gt;3811&lt;/pages&gt;&lt;volume&gt;12&lt;/volume&gt;&lt;number&gt;1&lt;/number&gt;&lt;dates&gt;&lt;year&gt;2022&lt;/year&gt;&lt;/dates&gt;&lt;urls&gt;&lt;/urls&gt;&lt;electronic-resource-num&gt;10.1038/s41598-022-07535-3&lt;/electronic-resource-num&gt;&lt;/record&gt;&lt;/Cite&gt;&lt;/EndNote&gt;</w:instrText>
      </w:r>
      <w:r>
        <w:fldChar w:fldCharType="separate"/>
      </w:r>
      <w:r w:rsidR="00864CA8">
        <w:rPr>
          <w:noProof/>
        </w:rPr>
        <w:t>[83]</w:t>
      </w:r>
      <w:r>
        <w:fldChar w:fldCharType="end"/>
      </w:r>
      <w:r>
        <w:t xml:space="preserve"> </w:t>
      </w:r>
      <w:r w:rsidR="00854171">
        <w:t xml:space="preserve">and </w:t>
      </w:r>
      <w:r w:rsidR="00854171" w:rsidRPr="00854171">
        <w:rPr>
          <w:i/>
          <w:iCs/>
        </w:rPr>
        <w:t>Pentalonia nigronervosa</w:t>
      </w:r>
      <w:r>
        <w:rPr>
          <w:iCs/>
        </w:rPr>
        <w:t xml:space="preserve"> </w:t>
      </w:r>
      <w:r>
        <w:rPr>
          <w:iCs/>
        </w:rPr>
        <w:fldChar w:fldCharType="begin"/>
      </w:r>
      <w:r w:rsidR="00864CA8">
        <w:rPr>
          <w:iCs/>
        </w:rPr>
        <w:instrText xml:space="preserve"> ADDIN EN.CITE &lt;EndNote&gt;&lt;Cite&gt;&lt;Author&gt;Mathers&lt;/Author&gt;&lt;Year&gt;2020&lt;/Year&gt;&lt;RecNum&gt;837&lt;/RecNum&gt;&lt;DisplayText&gt;[82]&lt;/DisplayText&gt;&lt;record&gt;&lt;rec-number&gt;837&lt;/rec-number&gt;&lt;foreign-keys&gt;&lt;key app="EN" db-id="5sdxv5td55wps4eep0dvzdwlx0wz5wssa0p5" timestamp="1694787759"&gt;837&lt;/key&gt;&lt;/foreign-keys&gt;&lt;ref-type name="Journal Article"&gt;17&lt;/ref-type&gt;&lt;contributors&gt;&lt;authors&gt;&lt;author&gt;Mathers, T. C.&lt;/author&gt;&lt;author&gt;Mugford, S. T.&lt;/author&gt;&lt;author&gt;Hogenhout, S. A.&lt;/author&gt;&lt;author&gt;Tripathi, L.&lt;/author&gt;&lt;/authors&gt;&lt;/contributors&gt;&lt;titles&gt;&lt;title&gt;&lt;style face="normal" font="default" size="100%"&gt;Genome sequence of the banana aphid, &lt;/style&gt;&lt;style face="italic" font="default" size="100%"&gt;Pentalonia nigronervosa&lt;/style&gt;&lt;style face="normal" font="default" size="100%"&gt; Coquerel (Hemiptera: Aphididae) and its symbionts&lt;/style&gt;&lt;/title&gt;&lt;secondary-title&gt;G3&lt;/secondary-title&gt;&lt;alt-title&gt;G3 (Bethesda)&lt;/alt-title&gt;&lt;/titles&gt;&lt;periodical&gt;&lt;full-title&gt;G3&lt;/full-title&gt;&lt;abbr-1&gt;G3 (Bethesda)&lt;/abbr-1&gt;&lt;/periodical&gt;&lt;alt-periodical&gt;&lt;full-title&gt;G3&lt;/full-title&gt;&lt;abbr-1&gt;G3 (Bethesda)&lt;/abbr-1&gt;&lt;/alt-periodical&gt;&lt;pages&gt;4315–4321&lt;/pages&gt;&lt;volume&gt;10&lt;/volume&gt;&lt;number&gt;12&lt;/number&gt;&lt;dates&gt;&lt;year&gt;2020&lt;/year&gt;&lt;/dates&gt;&lt;urls&gt;&lt;/urls&gt;&lt;electronic-resource-num&gt;10.1534/g3.120.401358&lt;/electronic-resource-num&gt;&lt;/record&gt;&lt;/Cite&gt;&lt;/EndNote&gt;</w:instrText>
      </w:r>
      <w:r>
        <w:rPr>
          <w:iCs/>
        </w:rPr>
        <w:fldChar w:fldCharType="separate"/>
      </w:r>
      <w:r w:rsidR="00864CA8">
        <w:rPr>
          <w:iCs/>
          <w:noProof/>
        </w:rPr>
        <w:t>[82]</w:t>
      </w:r>
      <w:r>
        <w:rPr>
          <w:iCs/>
        </w:rPr>
        <w:fldChar w:fldCharType="end"/>
      </w:r>
      <w:r w:rsidRPr="004055F3">
        <w:rPr>
          <w:iCs/>
        </w:rPr>
        <w:t>.</w:t>
      </w:r>
      <w:r w:rsidR="00854171" w:rsidRPr="004055F3">
        <w:t xml:space="preserve"> </w:t>
      </w:r>
      <w:r w:rsidR="00854171">
        <w:t>G</w:t>
      </w:r>
      <w:r w:rsidR="00B72606">
        <w:t xml:space="preserve">IJY0000000 is </w:t>
      </w:r>
      <w:r w:rsidR="00B670EC">
        <w:t>previously</w:t>
      </w:r>
      <w:r w:rsidR="00B72606">
        <w:t xml:space="preserve"> </w:t>
      </w:r>
      <w:r w:rsidR="00B670EC">
        <w:t xml:space="preserve">deposited </w:t>
      </w:r>
      <w:r w:rsidR="00B72606">
        <w:t xml:space="preserve">incomplete </w:t>
      </w:r>
      <w:r w:rsidR="00B72606" w:rsidRPr="00B72606">
        <w:rPr>
          <w:i/>
          <w:iCs/>
        </w:rPr>
        <w:t>Wolbachia</w:t>
      </w:r>
      <w:r w:rsidR="00B72606">
        <w:t xml:space="preserve"> from </w:t>
      </w:r>
      <w:r w:rsidR="00B72606" w:rsidRPr="00B72606">
        <w:rPr>
          <w:i/>
          <w:iCs/>
        </w:rPr>
        <w:t>T</w:t>
      </w:r>
      <w:r>
        <w:rPr>
          <w:i/>
          <w:iCs/>
        </w:rPr>
        <w:t>.</w:t>
      </w:r>
      <w:r w:rsidR="00B72606" w:rsidRPr="00B72606">
        <w:rPr>
          <w:i/>
          <w:iCs/>
        </w:rPr>
        <w:t xml:space="preserve"> putrescentiae</w:t>
      </w:r>
      <w:r w:rsidR="00B72606">
        <w:rPr>
          <w:i/>
          <w:iCs/>
        </w:rPr>
        <w:t>.</w:t>
      </w:r>
    </w:p>
    <w:p w14:paraId="157E421C" w14:textId="4AAF9A58" w:rsidR="00300B22" w:rsidRDefault="00300B22"/>
    <w:p w14:paraId="499DF865" w14:textId="39DE02D2" w:rsidR="00300B22" w:rsidRDefault="00546FCF">
      <w:r>
        <w:rPr>
          <w:noProof/>
          <w:lang w:val="cs-CZ" w:eastAsia="cs-CZ"/>
        </w:rPr>
        <w:drawing>
          <wp:inline distT="0" distB="0" distL="0" distR="0" wp14:anchorId="151F0D08" wp14:editId="340902AE">
            <wp:extent cx="5714770" cy="3809847"/>
            <wp:effectExtent l="0" t="0" r="635" b="635"/>
            <wp:docPr id="867830645" name="Picture 3" descr="A yellow and red diagram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30645" name="Picture 3" descr="A yellow and red diagram with white 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770" cy="380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C6B54" w14:textId="5AFC6347" w:rsidR="00F52509" w:rsidRDefault="00F52509">
      <w:r>
        <w:br w:type="page"/>
      </w:r>
    </w:p>
    <w:p w14:paraId="1F797802" w14:textId="47EADCAF" w:rsidR="003C687D" w:rsidRDefault="00F52509" w:rsidP="00C77F13">
      <w:pPr>
        <w:jc w:val="both"/>
        <w:rPr>
          <w:b/>
          <w:bCs/>
        </w:rPr>
      </w:pPr>
      <w:r w:rsidRPr="00D70E06">
        <w:rPr>
          <w:b/>
          <w:bCs/>
        </w:rPr>
        <w:lastRenderedPageBreak/>
        <w:t>F</w:t>
      </w:r>
      <w:r w:rsidRPr="00812407">
        <w:rPr>
          <w:b/>
          <w:bCs/>
        </w:rPr>
        <w:t>ig</w:t>
      </w:r>
      <w:r w:rsidRPr="00D70E06">
        <w:rPr>
          <w:b/>
          <w:bCs/>
        </w:rPr>
        <w:t xml:space="preserve"> S</w:t>
      </w:r>
      <w:r w:rsidR="00186C36">
        <w:rPr>
          <w:b/>
          <w:bCs/>
        </w:rPr>
        <w:t>8</w:t>
      </w:r>
      <w:r w:rsidRPr="00D70E06">
        <w:t xml:space="preserve"> </w:t>
      </w:r>
      <w:r w:rsidR="00D70E06" w:rsidRPr="00D70E06">
        <w:t xml:space="preserve">The correlations matrix describes the correlations between </w:t>
      </w:r>
      <w:r w:rsidR="00D70E06" w:rsidRPr="00D70E06">
        <w:rPr>
          <w:i/>
          <w:iCs/>
        </w:rPr>
        <w:t>Cardinium</w:t>
      </w:r>
      <w:r w:rsidR="00D70E06" w:rsidRPr="00D70E06">
        <w:t xml:space="preserve"> and </w:t>
      </w:r>
      <w:r w:rsidR="00D70E06" w:rsidRPr="00D70E06">
        <w:rPr>
          <w:i/>
          <w:iCs/>
        </w:rPr>
        <w:t xml:space="preserve">Wolbachia </w:t>
      </w:r>
      <w:r w:rsidR="00BF1320" w:rsidRPr="00D70E06">
        <w:t>expressions</w:t>
      </w:r>
      <w:r w:rsidR="00D70E06">
        <w:rPr>
          <w:b/>
          <w:bCs/>
        </w:rPr>
        <w:t xml:space="preserve">. </w:t>
      </w:r>
      <w:r w:rsidR="00BF1320" w:rsidRPr="00BF1320">
        <w:t>The correlation matrix was based on Spearman correlations</w:t>
      </w:r>
      <w:r w:rsidR="00CF402D">
        <w:t>, only those significant (</w:t>
      </w:r>
      <w:r w:rsidR="0049293D">
        <w:t xml:space="preserve">Permutation test, </w:t>
      </w:r>
      <w:r w:rsidR="00CF402D">
        <w:t>P&lt;0.05)</w:t>
      </w:r>
      <w:r w:rsidR="0049293D">
        <w:t xml:space="preserve"> are showed. The </w:t>
      </w:r>
      <w:r w:rsidR="003C2765">
        <w:t>matrix was clustered by Ward met</w:t>
      </w:r>
      <w:r w:rsidR="00F46A26">
        <w:t>hods.</w:t>
      </w:r>
    </w:p>
    <w:p w14:paraId="0D41D145" w14:textId="47D8F5D0" w:rsidR="00BF1320" w:rsidRPr="00D70E06" w:rsidRDefault="00CD456B">
      <w:pPr>
        <w:rPr>
          <w:b/>
          <w:bCs/>
        </w:rPr>
      </w:pPr>
      <w:r>
        <w:rPr>
          <w:b/>
          <w:bCs/>
          <w:noProof/>
          <w:lang w:val="cs-CZ" w:eastAsia="cs-CZ"/>
        </w:rPr>
        <w:drawing>
          <wp:inline distT="0" distB="0" distL="0" distR="0" wp14:anchorId="57A1E8B1" wp14:editId="57D57905">
            <wp:extent cx="5753100" cy="6103620"/>
            <wp:effectExtent l="0" t="0" r="0" b="0"/>
            <wp:docPr id="6238316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00"/>
                    <a:stretch/>
                  </pic:blipFill>
                  <pic:spPr bwMode="auto">
                    <a:xfrm>
                      <a:off x="0" y="0"/>
                      <a:ext cx="5753100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6E597" w14:textId="77777777" w:rsidR="003C687D" w:rsidRDefault="003C687D"/>
    <w:p w14:paraId="0D0FA00F" w14:textId="77777777" w:rsidR="004D70E1" w:rsidRDefault="004D70E1">
      <w:r>
        <w:br w:type="page"/>
      </w:r>
    </w:p>
    <w:p w14:paraId="1CC8652F" w14:textId="7E3F1A77" w:rsidR="003C0896" w:rsidRDefault="00CD2B25">
      <w:r w:rsidRPr="007874AA">
        <w:rPr>
          <w:b/>
          <w:bCs/>
        </w:rPr>
        <w:lastRenderedPageBreak/>
        <w:t>F</w:t>
      </w:r>
      <w:r w:rsidRPr="00812407">
        <w:rPr>
          <w:b/>
          <w:bCs/>
        </w:rPr>
        <w:t>ig</w:t>
      </w:r>
      <w:r w:rsidR="003C0896" w:rsidRPr="007874AA">
        <w:rPr>
          <w:b/>
          <w:bCs/>
        </w:rPr>
        <w:t xml:space="preserve"> S</w:t>
      </w:r>
      <w:r w:rsidR="00C74A5B">
        <w:rPr>
          <w:b/>
          <w:bCs/>
        </w:rPr>
        <w:t>9</w:t>
      </w:r>
      <w:r w:rsidR="007874AA">
        <w:t xml:space="preserve"> </w:t>
      </w:r>
      <w:r w:rsidR="007874AA" w:rsidRPr="007874AA">
        <w:t xml:space="preserve">The correlation triplot of distance base redundancy analyses (dbRDA) model showed interaction among </w:t>
      </w:r>
      <w:r w:rsidR="00F50A89" w:rsidRPr="00E42A20">
        <w:rPr>
          <w:i/>
          <w:iCs/>
        </w:rPr>
        <w:t>Tyrophagus putrescentiae</w:t>
      </w:r>
      <w:r w:rsidR="00F50A89">
        <w:t xml:space="preserve"> KEGG gene expression and symbionts </w:t>
      </w:r>
      <w:r w:rsidR="007874AA" w:rsidRPr="00BF09E5">
        <w:rPr>
          <w:i/>
        </w:rPr>
        <w:t>Cardinium</w:t>
      </w:r>
      <w:r w:rsidR="007874AA" w:rsidRPr="007874AA">
        <w:t xml:space="preserve"> and </w:t>
      </w:r>
      <w:r w:rsidR="007874AA" w:rsidRPr="00BF09E5">
        <w:rPr>
          <w:i/>
        </w:rPr>
        <w:t>Wolbachia</w:t>
      </w:r>
      <w:r w:rsidR="007874AA" w:rsidRPr="007874AA">
        <w:t xml:space="preserve"> in the host </w:t>
      </w:r>
      <w:r w:rsidR="00F50A89">
        <w:t>c</w:t>
      </w:r>
      <w:r w:rsidR="007874AA" w:rsidRPr="007874AA">
        <w:t xml:space="preserve">ultures. The mite cultures were infested with the bacterium, i.e. </w:t>
      </w:r>
      <w:r w:rsidR="007874AA" w:rsidRPr="000E0892">
        <w:rPr>
          <w:i/>
          <w:iCs/>
        </w:rPr>
        <w:t>Cardinium</w:t>
      </w:r>
      <w:r w:rsidR="007874AA" w:rsidRPr="007874AA">
        <w:t xml:space="preserve"> in 5L,5S; </w:t>
      </w:r>
      <w:r w:rsidR="007874AA" w:rsidRPr="000E0892">
        <w:rPr>
          <w:i/>
          <w:iCs/>
        </w:rPr>
        <w:t>Wolbachia</w:t>
      </w:r>
      <w:r w:rsidR="007874AA" w:rsidRPr="007874AA">
        <w:t xml:space="preserve"> in 5P and 5N and </w:t>
      </w:r>
      <w:r w:rsidR="000E0892">
        <w:t>double</w:t>
      </w:r>
      <w:r w:rsidR="007874AA" w:rsidRPr="007874AA">
        <w:t>-infe</w:t>
      </w:r>
      <w:r w:rsidR="000E0892">
        <w:t>c</w:t>
      </w:r>
      <w:r w:rsidR="007874AA" w:rsidRPr="007874AA">
        <w:t xml:space="preserve">ted by both </w:t>
      </w:r>
      <w:r w:rsidR="007874AA" w:rsidRPr="000E0892">
        <w:rPr>
          <w:i/>
          <w:iCs/>
        </w:rPr>
        <w:t>Cardin</w:t>
      </w:r>
      <w:r w:rsidR="009C2CF5">
        <w:rPr>
          <w:i/>
          <w:iCs/>
        </w:rPr>
        <w:t>i</w:t>
      </w:r>
      <w:r w:rsidR="007874AA" w:rsidRPr="000E0892">
        <w:rPr>
          <w:i/>
          <w:iCs/>
        </w:rPr>
        <w:t>um</w:t>
      </w:r>
      <w:r w:rsidR="007874AA" w:rsidRPr="007874AA">
        <w:t xml:space="preserve"> and </w:t>
      </w:r>
      <w:r w:rsidR="007874AA" w:rsidRPr="000E0892">
        <w:rPr>
          <w:i/>
          <w:iCs/>
        </w:rPr>
        <w:t>Wolbachia</w:t>
      </w:r>
      <w:r w:rsidR="007874AA" w:rsidRPr="007874AA">
        <w:t xml:space="preserve"> (5LN, 5LP, 5SN, 5SP). The showed environmental variables included bacterial strain and the presence of other symbiont in multi-infested samples. The variable participation for every dbRDA model is shown in Venn diagram</w:t>
      </w:r>
      <w:r w:rsidR="00E42A20">
        <w:t>.</w:t>
      </w:r>
      <w:r w:rsidR="00F30930">
        <w:rPr>
          <w:noProof/>
          <w:lang w:val="cs-CZ" w:eastAsia="cs-CZ"/>
        </w:rPr>
        <w:drawing>
          <wp:inline distT="0" distB="0" distL="0" distR="0" wp14:anchorId="4D932ABB" wp14:editId="5967FFCC">
            <wp:extent cx="5753100" cy="4067175"/>
            <wp:effectExtent l="0" t="0" r="0" b="9525"/>
            <wp:docPr id="2008643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439EA" w14:textId="7C9EBFD6" w:rsidR="003C0896" w:rsidRDefault="003C0896">
      <w:r>
        <w:br w:type="page"/>
      </w:r>
    </w:p>
    <w:p w14:paraId="6B24B1D5" w14:textId="77777777" w:rsidR="00DC13D5" w:rsidRDefault="00936A04" w:rsidP="003C43B8">
      <w:pPr>
        <w:jc w:val="both"/>
      </w:pPr>
      <w:r>
        <w:rPr>
          <w:noProof/>
          <w:lang w:val="cs-CZ" w:eastAsia="cs-CZ"/>
        </w:rPr>
        <w:lastRenderedPageBreak/>
        <w:drawing>
          <wp:anchor distT="0" distB="0" distL="114300" distR="114300" simplePos="0" relativeHeight="251658240" behindDoc="0" locked="0" layoutInCell="1" allowOverlap="1" wp14:anchorId="7CBBFF75" wp14:editId="09615BDA">
            <wp:simplePos x="0" y="0"/>
            <wp:positionH relativeFrom="column">
              <wp:posOffset>45085</wp:posOffset>
            </wp:positionH>
            <wp:positionV relativeFrom="paragraph">
              <wp:posOffset>1043305</wp:posOffset>
            </wp:positionV>
            <wp:extent cx="5585460" cy="7809230"/>
            <wp:effectExtent l="0" t="0" r="0" b="1270"/>
            <wp:wrapTopAndBottom/>
            <wp:docPr id="1673773494" name="Picture 1" descr="A screen 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773494" name="Picture 1" descr="A screen shot of a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48" b="8549"/>
                    <a:stretch/>
                  </pic:blipFill>
                  <pic:spPr bwMode="auto">
                    <a:xfrm>
                      <a:off x="0" y="0"/>
                      <a:ext cx="5585460" cy="780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896" w:rsidRPr="003C43B8">
        <w:rPr>
          <w:b/>
          <w:bCs/>
        </w:rPr>
        <w:t>F</w:t>
      </w:r>
      <w:r w:rsidR="003C0896" w:rsidRPr="00812407">
        <w:rPr>
          <w:b/>
          <w:bCs/>
        </w:rPr>
        <w:t>ig</w:t>
      </w:r>
      <w:r w:rsidR="003C0896" w:rsidRPr="003C43B8">
        <w:rPr>
          <w:b/>
          <w:bCs/>
        </w:rPr>
        <w:t xml:space="preserve"> S</w:t>
      </w:r>
      <w:r w:rsidR="00C74A5B">
        <w:rPr>
          <w:b/>
          <w:bCs/>
        </w:rPr>
        <w:t>10</w:t>
      </w:r>
      <w:r w:rsidR="00F652D1">
        <w:t xml:space="preserve"> The heatmap showed the </w:t>
      </w:r>
      <w:r w:rsidR="00F652D1" w:rsidRPr="003C43B8">
        <w:rPr>
          <w:i/>
          <w:iCs/>
        </w:rPr>
        <w:t>Tyrophagus putrescentiae</w:t>
      </w:r>
      <w:r w:rsidR="00F652D1">
        <w:t xml:space="preserve"> KEGG proteins expression in the cultures with single infe</w:t>
      </w:r>
      <w:r w:rsidR="00B32183">
        <w:t>c</w:t>
      </w:r>
      <w:r w:rsidR="00F652D1">
        <w:t>ted s</w:t>
      </w:r>
      <w:r w:rsidR="003C43B8">
        <w:t>ymbiont (</w:t>
      </w:r>
      <w:r w:rsidR="003C43B8" w:rsidRPr="003C43B8">
        <w:rPr>
          <w:i/>
          <w:iCs/>
        </w:rPr>
        <w:t>Cardinium</w:t>
      </w:r>
      <w:r w:rsidR="003C43B8">
        <w:t xml:space="preserve"> or </w:t>
      </w:r>
      <w:r w:rsidR="003C43B8" w:rsidRPr="003C43B8">
        <w:rPr>
          <w:i/>
          <w:iCs/>
        </w:rPr>
        <w:t>Wolbachia</w:t>
      </w:r>
      <w:r w:rsidR="003C43B8">
        <w:t xml:space="preserve">) and </w:t>
      </w:r>
      <w:r w:rsidR="00B32183">
        <w:t>double</w:t>
      </w:r>
      <w:r w:rsidR="003C43B8">
        <w:t>-infe</w:t>
      </w:r>
      <w:r w:rsidR="00B32183">
        <w:t>c</w:t>
      </w:r>
      <w:r w:rsidR="003C43B8">
        <w:t>ted cultures (</w:t>
      </w:r>
      <w:r w:rsidR="003C43B8" w:rsidRPr="003C43B8">
        <w:rPr>
          <w:i/>
          <w:iCs/>
        </w:rPr>
        <w:t>Cardinium</w:t>
      </w:r>
      <w:r w:rsidR="003C43B8">
        <w:t>/</w:t>
      </w:r>
      <w:r w:rsidR="003C43B8" w:rsidRPr="003C43B8">
        <w:rPr>
          <w:i/>
          <w:iCs/>
        </w:rPr>
        <w:t>Wolbachia</w:t>
      </w:r>
      <w:r w:rsidR="003C43B8">
        <w:t xml:space="preserve">). There were differences between two cultures L and S infested by </w:t>
      </w:r>
      <w:r w:rsidR="003C43B8" w:rsidRPr="003C43B8">
        <w:rPr>
          <w:i/>
          <w:iCs/>
        </w:rPr>
        <w:t>Cardinium</w:t>
      </w:r>
      <w:r w:rsidR="00A15837">
        <w:t xml:space="preserve">. </w:t>
      </w:r>
      <w:r w:rsidR="003C43B8">
        <w:t xml:space="preserve">The </w:t>
      </w:r>
      <w:r w:rsidR="00BA2B3B">
        <w:t>mite protein with highest contribution to differences were selected (</w:t>
      </w:r>
      <w:r>
        <w:t>all significantly differed in METSTATS , P&lt;0.05) are showed</w:t>
      </w:r>
      <w:r w:rsidR="00BA2B3B">
        <w:t xml:space="preserve">. </w:t>
      </w:r>
      <w:r w:rsidR="003C43B8">
        <w:t>The data were log2 transforme</w:t>
      </w:r>
      <w:r w:rsidR="00A15837">
        <w:t>d and clustered by Ward method.</w:t>
      </w:r>
    </w:p>
    <w:p w14:paraId="69798D65" w14:textId="7BA65069" w:rsidR="00DC13D5" w:rsidRPr="00812407" w:rsidRDefault="009C2CF5" w:rsidP="003C43B8">
      <w:pPr>
        <w:jc w:val="both"/>
        <w:rPr>
          <w:b/>
        </w:rPr>
      </w:pPr>
      <w:r w:rsidRPr="00AC38E5">
        <w:rPr>
          <w:b/>
          <w:caps/>
        </w:rPr>
        <w:lastRenderedPageBreak/>
        <w:t>S</w:t>
      </w:r>
      <w:r w:rsidRPr="00812407">
        <w:rPr>
          <w:b/>
        </w:rPr>
        <w:t xml:space="preserve">upplementary </w:t>
      </w:r>
      <w:r w:rsidR="00812407" w:rsidRPr="00812407">
        <w:rPr>
          <w:b/>
        </w:rPr>
        <w:t>references</w:t>
      </w:r>
    </w:p>
    <w:p w14:paraId="34B82592" w14:textId="579451A5" w:rsidR="0080262D" w:rsidRPr="00AC38E5" w:rsidRDefault="00AC38E5" w:rsidP="00AC38E5">
      <w:pPr>
        <w:ind w:left="567" w:hanging="567"/>
        <w:jc w:val="both"/>
      </w:pPr>
      <w:r w:rsidRPr="00AC38E5">
        <w:t>52. Grant JR, Enns E, Marinier E, Mandal A, Herman EK, Chen C-y, Graham M, Van Domselaar G, Stothard P. Proksee: in-depth characterization and visualization of bacterial genomes. Nucleic Acids Res</w:t>
      </w:r>
      <w:r w:rsidR="00740F78">
        <w:t>.</w:t>
      </w:r>
      <w:r w:rsidRPr="00AC38E5">
        <w:t xml:space="preserve"> </w:t>
      </w:r>
      <w:r w:rsidR="00740F78" w:rsidRPr="00AC38E5">
        <w:t>2023</w:t>
      </w:r>
      <w:r w:rsidR="00740F78">
        <w:t>;</w:t>
      </w:r>
      <w:r w:rsidRPr="00AC38E5">
        <w:t xml:space="preserve">51(W1):W484–92. </w:t>
      </w:r>
      <w:hyperlink r:id="rId18" w:history="1">
        <w:r w:rsidRPr="00AC38E5">
          <w:rPr>
            <w:rStyle w:val="Hypertextovodkaz"/>
            <w:u w:val="none"/>
          </w:rPr>
          <w:t>https://doi.org/10.1093/nar/gkad326</w:t>
        </w:r>
      </w:hyperlink>
      <w:r w:rsidRPr="00AC38E5">
        <w:t>.</w:t>
      </w:r>
    </w:p>
    <w:p w14:paraId="284CEB71" w14:textId="512F2FA8" w:rsidR="00AC38E5" w:rsidRPr="00AC38E5" w:rsidRDefault="00AC38E5" w:rsidP="00AC38E5">
      <w:pPr>
        <w:ind w:left="567" w:hanging="567"/>
        <w:jc w:val="both"/>
      </w:pPr>
      <w:r w:rsidRPr="00AC38E5">
        <w:t>6</w:t>
      </w:r>
      <w:r w:rsidR="00376D31">
        <w:t>5</w:t>
      </w:r>
      <w:r w:rsidRPr="00AC38E5">
        <w:t>. Avram O, Rapoport D, Portugez S, Pupko T. M1CR0B1AL1Z3R—a user-friendly web server for the analysis of large-scale microbial genomics data. Nucleic Acids Res</w:t>
      </w:r>
      <w:r w:rsidR="00740F78">
        <w:t>.</w:t>
      </w:r>
      <w:r w:rsidRPr="00AC38E5">
        <w:t xml:space="preserve"> </w:t>
      </w:r>
      <w:r w:rsidR="00740F78" w:rsidRPr="00AC38E5">
        <w:t>2019</w:t>
      </w:r>
      <w:r w:rsidR="00740F78">
        <w:t>;</w:t>
      </w:r>
      <w:r w:rsidRPr="00AC38E5">
        <w:t xml:space="preserve">47(W1):W88–92. </w:t>
      </w:r>
      <w:hyperlink r:id="rId19" w:history="1">
        <w:r w:rsidRPr="00AC38E5">
          <w:rPr>
            <w:rStyle w:val="Hypertextovodkaz"/>
            <w:u w:val="none"/>
          </w:rPr>
          <w:t>https://doi.org/10.1093/nar/gkz423</w:t>
        </w:r>
      </w:hyperlink>
      <w:r w:rsidRPr="00AC38E5">
        <w:t>.</w:t>
      </w:r>
    </w:p>
    <w:p w14:paraId="22249176" w14:textId="057EAC7D" w:rsidR="00AC38E5" w:rsidRPr="00AC38E5" w:rsidRDefault="00AC38E5" w:rsidP="00AC38E5">
      <w:pPr>
        <w:ind w:left="567" w:hanging="567"/>
        <w:jc w:val="both"/>
      </w:pPr>
      <w:r w:rsidRPr="005C0D1F">
        <w:rPr>
          <w:lang w:val="de-DE"/>
        </w:rPr>
        <w:t xml:space="preserve">79. Zeng Z, Fu Y, Guo D, Wu Y, Ajayi OE, Wu Q. </w:t>
      </w:r>
      <w:r w:rsidRPr="00AC38E5">
        <w:t xml:space="preserve">Bacterial endosymbiont </w:t>
      </w:r>
      <w:r w:rsidRPr="00333FFC">
        <w:rPr>
          <w:i/>
        </w:rPr>
        <w:t>Cardinium</w:t>
      </w:r>
      <w:r w:rsidRPr="00AC38E5">
        <w:t xml:space="preserve"> cSfur genome sequence provides insights for understanding the symbiotic relationship in </w:t>
      </w:r>
      <w:r w:rsidRPr="00333FFC">
        <w:rPr>
          <w:i/>
        </w:rPr>
        <w:t>Sogatella furcifera</w:t>
      </w:r>
      <w:r w:rsidRPr="00AC38E5">
        <w:t xml:space="preserve"> host. BMC Genomics</w:t>
      </w:r>
      <w:r w:rsidR="00740F78">
        <w:t>.</w:t>
      </w:r>
      <w:r w:rsidRPr="00AC38E5">
        <w:t xml:space="preserve"> </w:t>
      </w:r>
      <w:r w:rsidR="00740F78" w:rsidRPr="005C0D1F">
        <w:rPr>
          <w:lang w:val="de-DE"/>
        </w:rPr>
        <w:t>2018</w:t>
      </w:r>
      <w:r w:rsidR="00740F78">
        <w:t>;</w:t>
      </w:r>
      <w:r w:rsidRPr="00AC38E5">
        <w:t xml:space="preserve">19(1):688. </w:t>
      </w:r>
      <w:hyperlink r:id="rId20" w:history="1">
        <w:r w:rsidRPr="00AC38E5">
          <w:rPr>
            <w:rStyle w:val="Hypertextovodkaz"/>
            <w:u w:val="none"/>
          </w:rPr>
          <w:t>https://doi.org/10.1186/s12864-018-5078-y</w:t>
        </w:r>
      </w:hyperlink>
      <w:r w:rsidRPr="00AC38E5">
        <w:t>.</w:t>
      </w:r>
    </w:p>
    <w:p w14:paraId="5E720DC8" w14:textId="3004D8ED" w:rsidR="00AC38E5" w:rsidRPr="005C0D1F" w:rsidRDefault="00AC38E5" w:rsidP="00AC38E5">
      <w:pPr>
        <w:ind w:left="567" w:hanging="567"/>
        <w:jc w:val="both"/>
        <w:rPr>
          <w:lang w:val="de-DE"/>
        </w:rPr>
      </w:pPr>
      <w:r w:rsidRPr="00AC38E5">
        <w:t xml:space="preserve">80. Xiong Q, Fung CS-H, Xiao X, Wan AT-Y, Wang M, Klimov P, Ren Y, Yang KY, Hubert J, Cui Y, Liu X, Tsui SK-W. Endogenous plasmids and chromosomal genome reduction in the </w:t>
      </w:r>
      <w:r w:rsidRPr="00333FFC">
        <w:rPr>
          <w:i/>
        </w:rPr>
        <w:t>Cardinium</w:t>
      </w:r>
      <w:r w:rsidRPr="00AC38E5">
        <w:t xml:space="preserve"> endosymbiont of </w:t>
      </w:r>
      <w:r w:rsidRPr="00333FFC">
        <w:rPr>
          <w:i/>
        </w:rPr>
        <w:t>Dermatophagoides farinae</w:t>
      </w:r>
      <w:r w:rsidRPr="00AC38E5">
        <w:t>. mSphere</w:t>
      </w:r>
      <w:r w:rsidR="00740F78">
        <w:t>.</w:t>
      </w:r>
      <w:r w:rsidRPr="00AC38E5">
        <w:t xml:space="preserve"> </w:t>
      </w:r>
      <w:r w:rsidR="00740F78" w:rsidRPr="00AC38E5">
        <w:t>2023</w:t>
      </w:r>
      <w:r w:rsidR="00740F78">
        <w:t>;</w:t>
      </w:r>
      <w:r w:rsidRPr="00AC38E5">
        <w:t xml:space="preserve">8(2):e0007423. </w:t>
      </w:r>
      <w:hyperlink r:id="rId21" w:history="1">
        <w:r w:rsidRPr="005C0D1F">
          <w:rPr>
            <w:rStyle w:val="Hypertextovodkaz"/>
            <w:u w:val="none"/>
            <w:lang w:val="de-DE"/>
          </w:rPr>
          <w:t>https://doi.org/10.1128/msphere.00074-23</w:t>
        </w:r>
      </w:hyperlink>
      <w:r w:rsidRPr="005C0D1F">
        <w:rPr>
          <w:lang w:val="de-DE"/>
        </w:rPr>
        <w:t>.</w:t>
      </w:r>
    </w:p>
    <w:p w14:paraId="615D7AC2" w14:textId="6A594611" w:rsidR="00AC38E5" w:rsidRPr="00AC38E5" w:rsidRDefault="00AC38E5" w:rsidP="00AC38E5">
      <w:pPr>
        <w:ind w:left="567" w:hanging="567"/>
        <w:jc w:val="both"/>
      </w:pPr>
      <w:r w:rsidRPr="005C0D1F">
        <w:rPr>
          <w:lang w:val="de-DE"/>
        </w:rPr>
        <w:t xml:space="preserve">81. Halter T, Hendrickx F, Horn M, Manzano-Marin A. </w:t>
      </w:r>
      <w:r w:rsidRPr="00AC38E5">
        <w:t xml:space="preserve">A novel widespread MITE element in the repeat-rich genome of the </w:t>
      </w:r>
      <w:r w:rsidRPr="00333FFC">
        <w:rPr>
          <w:i/>
        </w:rPr>
        <w:t>Cardinium</w:t>
      </w:r>
      <w:r w:rsidRPr="00AC38E5">
        <w:t xml:space="preserve"> endosymbiont of the spider </w:t>
      </w:r>
      <w:r w:rsidRPr="00333FFC">
        <w:rPr>
          <w:i/>
        </w:rPr>
        <w:t>Oedothorax gibbosus</w:t>
      </w:r>
      <w:r w:rsidRPr="00AC38E5">
        <w:t>. Microbiol Spectr</w:t>
      </w:r>
      <w:r w:rsidR="00740F78">
        <w:t>.</w:t>
      </w:r>
      <w:r w:rsidRPr="00AC38E5">
        <w:t xml:space="preserve"> </w:t>
      </w:r>
      <w:r w:rsidR="00740F78" w:rsidRPr="005C0D1F">
        <w:rPr>
          <w:lang w:val="de-DE"/>
        </w:rPr>
        <w:t>2022</w:t>
      </w:r>
      <w:r w:rsidR="00740F78">
        <w:t>;</w:t>
      </w:r>
      <w:r w:rsidRPr="00AC38E5">
        <w:t xml:space="preserve">10(6):e0262722. </w:t>
      </w:r>
      <w:hyperlink r:id="rId22" w:history="1">
        <w:r w:rsidRPr="00AC38E5">
          <w:rPr>
            <w:rStyle w:val="Hypertextovodkaz"/>
            <w:u w:val="none"/>
          </w:rPr>
          <w:t>https://doi.org/10.1128/spectrum.02627-22</w:t>
        </w:r>
      </w:hyperlink>
      <w:r w:rsidRPr="00AC38E5">
        <w:t>.</w:t>
      </w:r>
    </w:p>
    <w:p w14:paraId="74B91BB0" w14:textId="7CBA0C2B" w:rsidR="00AC38E5" w:rsidRPr="00AC38E5" w:rsidRDefault="00AC38E5" w:rsidP="00AC38E5">
      <w:pPr>
        <w:ind w:left="567" w:hanging="567"/>
        <w:jc w:val="both"/>
      </w:pPr>
      <w:r w:rsidRPr="00AC38E5">
        <w:t xml:space="preserve">82. Mathers TC, Mugford ST, Hogenhout SA, Tripathi L. Genome sequence of the banana aphid, </w:t>
      </w:r>
      <w:r w:rsidRPr="00333FFC">
        <w:rPr>
          <w:i/>
        </w:rPr>
        <w:t>Pentalonia nigronervosa</w:t>
      </w:r>
      <w:r w:rsidRPr="00AC38E5">
        <w:t xml:space="preserve"> Coquerel (Hemiptera: Aphididae) and its symbionts. G3 (Bethesda)</w:t>
      </w:r>
      <w:r w:rsidR="00740F78">
        <w:t>.</w:t>
      </w:r>
      <w:r w:rsidRPr="00AC38E5">
        <w:t xml:space="preserve"> </w:t>
      </w:r>
      <w:r w:rsidR="00740F78" w:rsidRPr="00AC38E5">
        <w:t>2020</w:t>
      </w:r>
      <w:r w:rsidR="00740F78">
        <w:t>;</w:t>
      </w:r>
      <w:r w:rsidRPr="00AC38E5">
        <w:t xml:space="preserve">10(12):4315–21. </w:t>
      </w:r>
      <w:hyperlink r:id="rId23" w:history="1">
        <w:r w:rsidRPr="00AC38E5">
          <w:rPr>
            <w:rStyle w:val="Hypertextovodkaz"/>
            <w:u w:val="none"/>
          </w:rPr>
          <w:t>https://doi.org/10.1534/g3.120.401358</w:t>
        </w:r>
      </w:hyperlink>
      <w:r w:rsidRPr="00AC38E5">
        <w:t>.</w:t>
      </w:r>
    </w:p>
    <w:p w14:paraId="247D0723" w14:textId="796C1801" w:rsidR="00AC38E5" w:rsidRDefault="00AC38E5" w:rsidP="00E822FC">
      <w:pPr>
        <w:ind w:left="567" w:hanging="567"/>
        <w:jc w:val="both"/>
      </w:pPr>
      <w:r w:rsidRPr="00AC38E5">
        <w:t xml:space="preserve">83. Klimov PB, Chetverikov PE, Dodueva IE, Vishnyakov AE, Bolton SJ, Paponova SS, Lutova LA, Tolstikov AV. Symbiotic bacteria of the gall-inducing mite </w:t>
      </w:r>
      <w:r w:rsidRPr="00333FFC">
        <w:rPr>
          <w:i/>
        </w:rPr>
        <w:t>Fragariocoptes setiger</w:t>
      </w:r>
      <w:r w:rsidRPr="00AC38E5">
        <w:t xml:space="preserve"> (Eriophyoidea) and phylogenomic resolution of the eriophyoid position among Acari. Sci Rep</w:t>
      </w:r>
      <w:r w:rsidR="00740F78">
        <w:t>.</w:t>
      </w:r>
      <w:r w:rsidRPr="00AC38E5">
        <w:t xml:space="preserve"> </w:t>
      </w:r>
      <w:r w:rsidR="00740F78" w:rsidRPr="00AC38E5">
        <w:t>2022</w:t>
      </w:r>
      <w:r w:rsidR="00740F78">
        <w:t>;</w:t>
      </w:r>
      <w:r w:rsidRPr="00AC38E5">
        <w:t xml:space="preserve">12(1):3811. </w:t>
      </w:r>
      <w:hyperlink r:id="rId24" w:history="1">
        <w:r w:rsidRPr="00AC38E5">
          <w:rPr>
            <w:rStyle w:val="Hypertextovodkaz"/>
            <w:u w:val="none"/>
          </w:rPr>
          <w:t>https://doi.org/10.1038/s41598-022-07535-3</w:t>
        </w:r>
      </w:hyperlink>
      <w:r w:rsidRPr="00AC38E5">
        <w:t>.</w:t>
      </w:r>
    </w:p>
    <w:sectPr w:rsidR="00AC38E5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Markovic" w:date="2023-11-03T17:43:00Z" w:initials="M">
    <w:p w14:paraId="58431D43" w14:textId="64110B94" w:rsidR="00BF09E5" w:rsidRDefault="00BF09E5">
      <w:pPr>
        <w:pStyle w:val="Textkomente"/>
      </w:pPr>
      <w:r>
        <w:rPr>
          <w:rStyle w:val="Odkaznakoment"/>
        </w:rPr>
        <w:annotationRef/>
      </w:r>
      <w:r>
        <w:t>čárka?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8431D4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431D43" w16cid:durableId="7370E9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36237"/>
    <w:multiLevelType w:val="hybridMultilevel"/>
    <w:tmpl w:val="309E87E0"/>
    <w:lvl w:ilvl="0" w:tplc="16786A0C">
      <w:start w:val="1"/>
      <w:numFmt w:val="decimal"/>
      <w:lvlText w:val="%1)"/>
      <w:lvlJc w:val="left"/>
      <w:pPr>
        <w:ind w:left="1080" w:hanging="360"/>
      </w:pPr>
    </w:lvl>
    <w:lvl w:ilvl="1" w:tplc="EB189500">
      <w:start w:val="1"/>
      <w:numFmt w:val="decimal"/>
      <w:lvlText w:val="%2)"/>
      <w:lvlJc w:val="left"/>
      <w:pPr>
        <w:ind w:left="1080" w:hanging="360"/>
      </w:pPr>
    </w:lvl>
    <w:lvl w:ilvl="2" w:tplc="A510D120">
      <w:start w:val="1"/>
      <w:numFmt w:val="decimal"/>
      <w:lvlText w:val="%3)"/>
      <w:lvlJc w:val="left"/>
      <w:pPr>
        <w:ind w:left="1080" w:hanging="360"/>
      </w:pPr>
    </w:lvl>
    <w:lvl w:ilvl="3" w:tplc="44BC3428">
      <w:start w:val="1"/>
      <w:numFmt w:val="decimal"/>
      <w:lvlText w:val="%4)"/>
      <w:lvlJc w:val="left"/>
      <w:pPr>
        <w:ind w:left="1080" w:hanging="360"/>
      </w:pPr>
    </w:lvl>
    <w:lvl w:ilvl="4" w:tplc="625A875A">
      <w:start w:val="1"/>
      <w:numFmt w:val="decimal"/>
      <w:lvlText w:val="%5)"/>
      <w:lvlJc w:val="left"/>
      <w:pPr>
        <w:ind w:left="1080" w:hanging="360"/>
      </w:pPr>
    </w:lvl>
    <w:lvl w:ilvl="5" w:tplc="0EA4F952">
      <w:start w:val="1"/>
      <w:numFmt w:val="decimal"/>
      <w:lvlText w:val="%6)"/>
      <w:lvlJc w:val="left"/>
      <w:pPr>
        <w:ind w:left="1080" w:hanging="360"/>
      </w:pPr>
    </w:lvl>
    <w:lvl w:ilvl="6" w:tplc="6316C90C">
      <w:start w:val="1"/>
      <w:numFmt w:val="decimal"/>
      <w:lvlText w:val="%7)"/>
      <w:lvlJc w:val="left"/>
      <w:pPr>
        <w:ind w:left="1080" w:hanging="360"/>
      </w:pPr>
    </w:lvl>
    <w:lvl w:ilvl="7" w:tplc="72E89328">
      <w:start w:val="1"/>
      <w:numFmt w:val="decimal"/>
      <w:lvlText w:val="%8)"/>
      <w:lvlJc w:val="left"/>
      <w:pPr>
        <w:ind w:left="1080" w:hanging="360"/>
      </w:pPr>
    </w:lvl>
    <w:lvl w:ilvl="8" w:tplc="DAB0476A">
      <w:start w:val="1"/>
      <w:numFmt w:val="decimal"/>
      <w:lvlText w:val="%9)"/>
      <w:lvlJc w:val="left"/>
      <w:pPr>
        <w:ind w:left="1080" w:hanging="360"/>
      </w:pPr>
    </w:lvl>
  </w:abstractNum>
  <w:abstractNum w:abstractNumId="1" w15:restartNumberingAfterBreak="0">
    <w:nsid w:val="357B5E03"/>
    <w:multiLevelType w:val="hybridMultilevel"/>
    <w:tmpl w:val="C3320A4A"/>
    <w:lvl w:ilvl="0" w:tplc="09AC75B8">
      <w:start w:val="1"/>
      <w:numFmt w:val="decimal"/>
      <w:lvlText w:val="%1)"/>
      <w:lvlJc w:val="left"/>
      <w:pPr>
        <w:ind w:left="1080" w:hanging="360"/>
      </w:pPr>
    </w:lvl>
    <w:lvl w:ilvl="1" w:tplc="A53C8DCC">
      <w:start w:val="1"/>
      <w:numFmt w:val="decimal"/>
      <w:lvlText w:val="%2)"/>
      <w:lvlJc w:val="left"/>
      <w:pPr>
        <w:ind w:left="1080" w:hanging="360"/>
      </w:pPr>
    </w:lvl>
    <w:lvl w:ilvl="2" w:tplc="741CE966">
      <w:start w:val="1"/>
      <w:numFmt w:val="decimal"/>
      <w:lvlText w:val="%3)"/>
      <w:lvlJc w:val="left"/>
      <w:pPr>
        <w:ind w:left="1080" w:hanging="360"/>
      </w:pPr>
    </w:lvl>
    <w:lvl w:ilvl="3" w:tplc="9B6E4936">
      <w:start w:val="1"/>
      <w:numFmt w:val="decimal"/>
      <w:lvlText w:val="%4)"/>
      <w:lvlJc w:val="left"/>
      <w:pPr>
        <w:ind w:left="1080" w:hanging="360"/>
      </w:pPr>
    </w:lvl>
    <w:lvl w:ilvl="4" w:tplc="3048921C">
      <w:start w:val="1"/>
      <w:numFmt w:val="decimal"/>
      <w:lvlText w:val="%5)"/>
      <w:lvlJc w:val="left"/>
      <w:pPr>
        <w:ind w:left="1080" w:hanging="360"/>
      </w:pPr>
    </w:lvl>
    <w:lvl w:ilvl="5" w:tplc="E1FE7F08">
      <w:start w:val="1"/>
      <w:numFmt w:val="decimal"/>
      <w:lvlText w:val="%6)"/>
      <w:lvlJc w:val="left"/>
      <w:pPr>
        <w:ind w:left="1080" w:hanging="360"/>
      </w:pPr>
    </w:lvl>
    <w:lvl w:ilvl="6" w:tplc="D6A864A4">
      <w:start w:val="1"/>
      <w:numFmt w:val="decimal"/>
      <w:lvlText w:val="%7)"/>
      <w:lvlJc w:val="left"/>
      <w:pPr>
        <w:ind w:left="1080" w:hanging="360"/>
      </w:pPr>
    </w:lvl>
    <w:lvl w:ilvl="7" w:tplc="54107B2A">
      <w:start w:val="1"/>
      <w:numFmt w:val="decimal"/>
      <w:lvlText w:val="%8)"/>
      <w:lvlJc w:val="left"/>
      <w:pPr>
        <w:ind w:left="1080" w:hanging="360"/>
      </w:pPr>
    </w:lvl>
    <w:lvl w:ilvl="8" w:tplc="75EA187E">
      <w:start w:val="1"/>
      <w:numFmt w:val="decimal"/>
      <w:lvlText w:val="%9)"/>
      <w:lvlJc w:val="left"/>
      <w:pPr>
        <w:ind w:left="1080" w:hanging="360"/>
      </w:pPr>
    </w:lvl>
  </w:abstractNum>
  <w:abstractNum w:abstractNumId="2" w15:restartNumberingAfterBreak="0">
    <w:nsid w:val="3B171885"/>
    <w:multiLevelType w:val="hybridMultilevel"/>
    <w:tmpl w:val="95F209AA"/>
    <w:lvl w:ilvl="0" w:tplc="306888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B98D4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B527B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5EAB6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D5A88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79C90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D40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93879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D2404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458F2FE4"/>
    <w:multiLevelType w:val="hybridMultilevel"/>
    <w:tmpl w:val="9B8E34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4248F"/>
    <w:multiLevelType w:val="hybridMultilevel"/>
    <w:tmpl w:val="939C3A76"/>
    <w:lvl w:ilvl="0" w:tplc="36BE9B7E">
      <w:start w:val="1"/>
      <w:numFmt w:val="decimal"/>
      <w:lvlText w:val="%1)"/>
      <w:lvlJc w:val="left"/>
      <w:pPr>
        <w:ind w:left="1080" w:hanging="360"/>
      </w:pPr>
    </w:lvl>
    <w:lvl w:ilvl="1" w:tplc="B76E9D92">
      <w:start w:val="1"/>
      <w:numFmt w:val="decimal"/>
      <w:lvlText w:val="%2)"/>
      <w:lvlJc w:val="left"/>
      <w:pPr>
        <w:ind w:left="1080" w:hanging="360"/>
      </w:pPr>
    </w:lvl>
    <w:lvl w:ilvl="2" w:tplc="9A7024D0">
      <w:start w:val="1"/>
      <w:numFmt w:val="decimal"/>
      <w:lvlText w:val="%3)"/>
      <w:lvlJc w:val="left"/>
      <w:pPr>
        <w:ind w:left="1080" w:hanging="360"/>
      </w:pPr>
    </w:lvl>
    <w:lvl w:ilvl="3" w:tplc="AC445E10">
      <w:start w:val="1"/>
      <w:numFmt w:val="decimal"/>
      <w:lvlText w:val="%4)"/>
      <w:lvlJc w:val="left"/>
      <w:pPr>
        <w:ind w:left="1080" w:hanging="360"/>
      </w:pPr>
    </w:lvl>
    <w:lvl w:ilvl="4" w:tplc="F09C593E">
      <w:start w:val="1"/>
      <w:numFmt w:val="decimal"/>
      <w:lvlText w:val="%5)"/>
      <w:lvlJc w:val="left"/>
      <w:pPr>
        <w:ind w:left="1080" w:hanging="360"/>
      </w:pPr>
    </w:lvl>
    <w:lvl w:ilvl="5" w:tplc="FF589634">
      <w:start w:val="1"/>
      <w:numFmt w:val="decimal"/>
      <w:lvlText w:val="%6)"/>
      <w:lvlJc w:val="left"/>
      <w:pPr>
        <w:ind w:left="1080" w:hanging="360"/>
      </w:pPr>
    </w:lvl>
    <w:lvl w:ilvl="6" w:tplc="AEC8B5EA">
      <w:start w:val="1"/>
      <w:numFmt w:val="decimal"/>
      <w:lvlText w:val="%7)"/>
      <w:lvlJc w:val="left"/>
      <w:pPr>
        <w:ind w:left="1080" w:hanging="360"/>
      </w:pPr>
    </w:lvl>
    <w:lvl w:ilvl="7" w:tplc="7180A96C">
      <w:start w:val="1"/>
      <w:numFmt w:val="decimal"/>
      <w:lvlText w:val="%8)"/>
      <w:lvlJc w:val="left"/>
      <w:pPr>
        <w:ind w:left="1080" w:hanging="360"/>
      </w:pPr>
    </w:lvl>
    <w:lvl w:ilvl="8" w:tplc="11B48E08">
      <w:start w:val="1"/>
      <w:numFmt w:val="decimal"/>
      <w:lvlText w:val="%9)"/>
      <w:lvlJc w:val="left"/>
      <w:pPr>
        <w:ind w:left="1080" w:hanging="360"/>
      </w:pPr>
    </w:lvl>
  </w:abstractNum>
  <w:abstractNum w:abstractNumId="5" w15:restartNumberingAfterBreak="0">
    <w:nsid w:val="5CE4611C"/>
    <w:multiLevelType w:val="hybridMultilevel"/>
    <w:tmpl w:val="57A6150C"/>
    <w:lvl w:ilvl="0" w:tplc="BEFA3178">
      <w:start w:val="1"/>
      <w:numFmt w:val="decimal"/>
      <w:lvlText w:val="%1)"/>
      <w:lvlJc w:val="left"/>
      <w:pPr>
        <w:ind w:left="1080" w:hanging="360"/>
      </w:pPr>
    </w:lvl>
    <w:lvl w:ilvl="1" w:tplc="201C504E">
      <w:start w:val="1"/>
      <w:numFmt w:val="decimal"/>
      <w:lvlText w:val="%2)"/>
      <w:lvlJc w:val="left"/>
      <w:pPr>
        <w:ind w:left="1080" w:hanging="360"/>
      </w:pPr>
    </w:lvl>
    <w:lvl w:ilvl="2" w:tplc="590CB4E0">
      <w:start w:val="1"/>
      <w:numFmt w:val="decimal"/>
      <w:lvlText w:val="%3)"/>
      <w:lvlJc w:val="left"/>
      <w:pPr>
        <w:ind w:left="1080" w:hanging="360"/>
      </w:pPr>
    </w:lvl>
    <w:lvl w:ilvl="3" w:tplc="81AAE8C2">
      <w:start w:val="1"/>
      <w:numFmt w:val="decimal"/>
      <w:lvlText w:val="%4)"/>
      <w:lvlJc w:val="left"/>
      <w:pPr>
        <w:ind w:left="1080" w:hanging="360"/>
      </w:pPr>
    </w:lvl>
    <w:lvl w:ilvl="4" w:tplc="EFB6C92E">
      <w:start w:val="1"/>
      <w:numFmt w:val="decimal"/>
      <w:lvlText w:val="%5)"/>
      <w:lvlJc w:val="left"/>
      <w:pPr>
        <w:ind w:left="1080" w:hanging="360"/>
      </w:pPr>
    </w:lvl>
    <w:lvl w:ilvl="5" w:tplc="705A9F48">
      <w:start w:val="1"/>
      <w:numFmt w:val="decimal"/>
      <w:lvlText w:val="%6)"/>
      <w:lvlJc w:val="left"/>
      <w:pPr>
        <w:ind w:left="1080" w:hanging="360"/>
      </w:pPr>
    </w:lvl>
    <w:lvl w:ilvl="6" w:tplc="0D667E4A">
      <w:start w:val="1"/>
      <w:numFmt w:val="decimal"/>
      <w:lvlText w:val="%7)"/>
      <w:lvlJc w:val="left"/>
      <w:pPr>
        <w:ind w:left="1080" w:hanging="360"/>
      </w:pPr>
    </w:lvl>
    <w:lvl w:ilvl="7" w:tplc="66926628">
      <w:start w:val="1"/>
      <w:numFmt w:val="decimal"/>
      <w:lvlText w:val="%8)"/>
      <w:lvlJc w:val="left"/>
      <w:pPr>
        <w:ind w:left="1080" w:hanging="360"/>
      </w:pPr>
    </w:lvl>
    <w:lvl w:ilvl="8" w:tplc="A0B6E060">
      <w:start w:val="1"/>
      <w:numFmt w:val="decimal"/>
      <w:lvlText w:val="%9)"/>
      <w:lvlJc w:val="left"/>
      <w:pPr>
        <w:ind w:left="1080" w:hanging="360"/>
      </w:pPr>
    </w:lvl>
  </w:abstractNum>
  <w:abstractNum w:abstractNumId="6" w15:restartNumberingAfterBreak="0">
    <w:nsid w:val="6CFC5D91"/>
    <w:multiLevelType w:val="hybridMultilevel"/>
    <w:tmpl w:val="B2A85138"/>
    <w:lvl w:ilvl="0" w:tplc="63760B6E">
      <w:start w:val="1"/>
      <w:numFmt w:val="decimal"/>
      <w:lvlText w:val="%1)"/>
      <w:lvlJc w:val="left"/>
      <w:pPr>
        <w:ind w:left="720" w:hanging="360"/>
      </w:pPr>
    </w:lvl>
    <w:lvl w:ilvl="1" w:tplc="FF7CD20A">
      <w:start w:val="1"/>
      <w:numFmt w:val="decimal"/>
      <w:lvlText w:val="%2)"/>
      <w:lvlJc w:val="left"/>
      <w:pPr>
        <w:ind w:left="720" w:hanging="360"/>
      </w:pPr>
    </w:lvl>
    <w:lvl w:ilvl="2" w:tplc="3F007828">
      <w:start w:val="1"/>
      <w:numFmt w:val="decimal"/>
      <w:lvlText w:val="%3)"/>
      <w:lvlJc w:val="left"/>
      <w:pPr>
        <w:ind w:left="720" w:hanging="360"/>
      </w:pPr>
    </w:lvl>
    <w:lvl w:ilvl="3" w:tplc="0EF4E168">
      <w:start w:val="1"/>
      <w:numFmt w:val="decimal"/>
      <w:lvlText w:val="%4)"/>
      <w:lvlJc w:val="left"/>
      <w:pPr>
        <w:ind w:left="720" w:hanging="360"/>
      </w:pPr>
    </w:lvl>
    <w:lvl w:ilvl="4" w:tplc="11B6F534">
      <w:start w:val="1"/>
      <w:numFmt w:val="decimal"/>
      <w:lvlText w:val="%5)"/>
      <w:lvlJc w:val="left"/>
      <w:pPr>
        <w:ind w:left="720" w:hanging="360"/>
      </w:pPr>
    </w:lvl>
    <w:lvl w:ilvl="5" w:tplc="8DC07CD8">
      <w:start w:val="1"/>
      <w:numFmt w:val="decimal"/>
      <w:lvlText w:val="%6)"/>
      <w:lvlJc w:val="left"/>
      <w:pPr>
        <w:ind w:left="720" w:hanging="360"/>
      </w:pPr>
    </w:lvl>
    <w:lvl w:ilvl="6" w:tplc="DD128E14">
      <w:start w:val="1"/>
      <w:numFmt w:val="decimal"/>
      <w:lvlText w:val="%7)"/>
      <w:lvlJc w:val="left"/>
      <w:pPr>
        <w:ind w:left="720" w:hanging="360"/>
      </w:pPr>
    </w:lvl>
    <w:lvl w:ilvl="7" w:tplc="1BF85B2E">
      <w:start w:val="1"/>
      <w:numFmt w:val="decimal"/>
      <w:lvlText w:val="%8)"/>
      <w:lvlJc w:val="left"/>
      <w:pPr>
        <w:ind w:left="720" w:hanging="360"/>
      </w:pPr>
    </w:lvl>
    <w:lvl w:ilvl="8" w:tplc="65A01DBA">
      <w:start w:val="1"/>
      <w:numFmt w:val="decimal"/>
      <w:lvlText w:val="%9)"/>
      <w:lvlJc w:val="left"/>
      <w:pPr>
        <w:ind w:left="720" w:hanging="360"/>
      </w:pPr>
    </w:lvl>
  </w:abstractNum>
  <w:abstractNum w:abstractNumId="7" w15:restartNumberingAfterBreak="0">
    <w:nsid w:val="701067A2"/>
    <w:multiLevelType w:val="hybridMultilevel"/>
    <w:tmpl w:val="FD0C648A"/>
    <w:lvl w:ilvl="0" w:tplc="4E9E6F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A75BC"/>
    <w:multiLevelType w:val="hybridMultilevel"/>
    <w:tmpl w:val="F948035C"/>
    <w:lvl w:ilvl="0" w:tplc="2B06D03C">
      <w:start w:val="1"/>
      <w:numFmt w:val="decimal"/>
      <w:lvlText w:val="%1)"/>
      <w:lvlJc w:val="left"/>
      <w:pPr>
        <w:ind w:left="1080" w:hanging="360"/>
      </w:pPr>
    </w:lvl>
    <w:lvl w:ilvl="1" w:tplc="0764DF2E">
      <w:start w:val="1"/>
      <w:numFmt w:val="decimal"/>
      <w:lvlText w:val="%2)"/>
      <w:lvlJc w:val="left"/>
      <w:pPr>
        <w:ind w:left="1080" w:hanging="360"/>
      </w:pPr>
    </w:lvl>
    <w:lvl w:ilvl="2" w:tplc="72964CEC">
      <w:start w:val="1"/>
      <w:numFmt w:val="decimal"/>
      <w:lvlText w:val="%3)"/>
      <w:lvlJc w:val="left"/>
      <w:pPr>
        <w:ind w:left="1080" w:hanging="360"/>
      </w:pPr>
    </w:lvl>
    <w:lvl w:ilvl="3" w:tplc="5C5EF1B8">
      <w:start w:val="1"/>
      <w:numFmt w:val="decimal"/>
      <w:lvlText w:val="%4)"/>
      <w:lvlJc w:val="left"/>
      <w:pPr>
        <w:ind w:left="1080" w:hanging="360"/>
      </w:pPr>
    </w:lvl>
    <w:lvl w:ilvl="4" w:tplc="DDDCBAD2">
      <w:start w:val="1"/>
      <w:numFmt w:val="decimal"/>
      <w:lvlText w:val="%5)"/>
      <w:lvlJc w:val="left"/>
      <w:pPr>
        <w:ind w:left="1080" w:hanging="360"/>
      </w:pPr>
    </w:lvl>
    <w:lvl w:ilvl="5" w:tplc="A5D0D0CC">
      <w:start w:val="1"/>
      <w:numFmt w:val="decimal"/>
      <w:lvlText w:val="%6)"/>
      <w:lvlJc w:val="left"/>
      <w:pPr>
        <w:ind w:left="1080" w:hanging="360"/>
      </w:pPr>
    </w:lvl>
    <w:lvl w:ilvl="6" w:tplc="9D9291EA">
      <w:start w:val="1"/>
      <w:numFmt w:val="decimal"/>
      <w:lvlText w:val="%7)"/>
      <w:lvlJc w:val="left"/>
      <w:pPr>
        <w:ind w:left="1080" w:hanging="360"/>
      </w:pPr>
    </w:lvl>
    <w:lvl w:ilvl="7" w:tplc="60D0849C">
      <w:start w:val="1"/>
      <w:numFmt w:val="decimal"/>
      <w:lvlText w:val="%8)"/>
      <w:lvlJc w:val="left"/>
      <w:pPr>
        <w:ind w:left="1080" w:hanging="360"/>
      </w:pPr>
    </w:lvl>
    <w:lvl w:ilvl="8" w:tplc="DFC4203E">
      <w:start w:val="1"/>
      <w:numFmt w:val="decimal"/>
      <w:lvlText w:val="%9)"/>
      <w:lvlJc w:val="left"/>
      <w:pPr>
        <w:ind w:left="1080" w:hanging="360"/>
      </w:pPr>
    </w:lvl>
  </w:abstractNum>
  <w:abstractNum w:abstractNumId="9" w15:restartNumberingAfterBreak="0">
    <w:nsid w:val="78E946AE"/>
    <w:multiLevelType w:val="hybridMultilevel"/>
    <w:tmpl w:val="80C8DC62"/>
    <w:lvl w:ilvl="0" w:tplc="2688A056">
      <w:start w:val="1"/>
      <w:numFmt w:val="decimal"/>
      <w:lvlText w:val="%1)"/>
      <w:lvlJc w:val="left"/>
      <w:pPr>
        <w:ind w:left="1080" w:hanging="360"/>
      </w:pPr>
    </w:lvl>
    <w:lvl w:ilvl="1" w:tplc="A73E705A">
      <w:start w:val="1"/>
      <w:numFmt w:val="decimal"/>
      <w:lvlText w:val="%2)"/>
      <w:lvlJc w:val="left"/>
      <w:pPr>
        <w:ind w:left="1080" w:hanging="360"/>
      </w:pPr>
    </w:lvl>
    <w:lvl w:ilvl="2" w:tplc="920683D8">
      <w:start w:val="1"/>
      <w:numFmt w:val="decimal"/>
      <w:lvlText w:val="%3)"/>
      <w:lvlJc w:val="left"/>
      <w:pPr>
        <w:ind w:left="1080" w:hanging="360"/>
      </w:pPr>
    </w:lvl>
    <w:lvl w:ilvl="3" w:tplc="6472DDEA">
      <w:start w:val="1"/>
      <w:numFmt w:val="decimal"/>
      <w:lvlText w:val="%4)"/>
      <w:lvlJc w:val="left"/>
      <w:pPr>
        <w:ind w:left="1080" w:hanging="360"/>
      </w:pPr>
    </w:lvl>
    <w:lvl w:ilvl="4" w:tplc="09F41336">
      <w:start w:val="1"/>
      <w:numFmt w:val="decimal"/>
      <w:lvlText w:val="%5)"/>
      <w:lvlJc w:val="left"/>
      <w:pPr>
        <w:ind w:left="1080" w:hanging="360"/>
      </w:pPr>
    </w:lvl>
    <w:lvl w:ilvl="5" w:tplc="43D23CBE">
      <w:start w:val="1"/>
      <w:numFmt w:val="decimal"/>
      <w:lvlText w:val="%6)"/>
      <w:lvlJc w:val="left"/>
      <w:pPr>
        <w:ind w:left="1080" w:hanging="360"/>
      </w:pPr>
    </w:lvl>
    <w:lvl w:ilvl="6" w:tplc="D2DCD506">
      <w:start w:val="1"/>
      <w:numFmt w:val="decimal"/>
      <w:lvlText w:val="%7)"/>
      <w:lvlJc w:val="left"/>
      <w:pPr>
        <w:ind w:left="1080" w:hanging="360"/>
      </w:pPr>
    </w:lvl>
    <w:lvl w:ilvl="7" w:tplc="EDEAEC8E">
      <w:start w:val="1"/>
      <w:numFmt w:val="decimal"/>
      <w:lvlText w:val="%8)"/>
      <w:lvlJc w:val="left"/>
      <w:pPr>
        <w:ind w:left="1080" w:hanging="360"/>
      </w:pPr>
    </w:lvl>
    <w:lvl w:ilvl="8" w:tplc="A5645ADA">
      <w:start w:val="1"/>
      <w:numFmt w:val="decimal"/>
      <w:lvlText w:val="%9)"/>
      <w:lvlJc w:val="left"/>
      <w:pPr>
        <w:ind w:left="10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kovic">
    <w15:presenceInfo w15:providerId="AD" w15:userId="S-1-5-21-201209773-1563190614-931750244-95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icrobial Ec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dxv5td55wps4eep0dvzdwlx0wz5wssa0p5&quot;&gt;Lower fitness Tyro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23&lt;/item&gt;&lt;item&gt;24&lt;/item&gt;&lt;item&gt;25&lt;/item&gt;&lt;item&gt;31&lt;/item&gt;&lt;item&gt;32&lt;/item&gt;&lt;item&gt;33&lt;/item&gt;&lt;item&gt;37&lt;/item&gt;&lt;item&gt;38&lt;/item&gt;&lt;item&gt;39&lt;/item&gt;&lt;item&gt;40&lt;/item&gt;&lt;item&gt;46&lt;/item&gt;&lt;item&gt;47&lt;/item&gt;&lt;item&gt;72&lt;/item&gt;&lt;item&gt;79&lt;/item&gt;&lt;item&gt;81&lt;/item&gt;&lt;item&gt;87&lt;/item&gt;&lt;item&gt;88&lt;/item&gt;&lt;item&gt;95&lt;/item&gt;&lt;item&gt;97&lt;/item&gt;&lt;item&gt;98&lt;/item&gt;&lt;item&gt;104&lt;/item&gt;&lt;item&gt;105&lt;/item&gt;&lt;item&gt;106&lt;/item&gt;&lt;item&gt;107&lt;/item&gt;&lt;item&gt;113&lt;/item&gt;&lt;item&gt;119&lt;/item&gt;&lt;item&gt;121&lt;/item&gt;&lt;item&gt;123&lt;/item&gt;&lt;item&gt;164&lt;/item&gt;&lt;item&gt;171&lt;/item&gt;&lt;item&gt;319&lt;/item&gt;&lt;item&gt;326&lt;/item&gt;&lt;item&gt;328&lt;/item&gt;&lt;item&gt;366&lt;/item&gt;&lt;item&gt;380&lt;/item&gt;&lt;item&gt;453&lt;/item&gt;&lt;item&gt;551&lt;/item&gt;&lt;item&gt;552&lt;/item&gt;&lt;item&gt;553&lt;/item&gt;&lt;item&gt;556&lt;/item&gt;&lt;item&gt;557&lt;/item&gt;&lt;item&gt;558&lt;/item&gt;&lt;item&gt;561&lt;/item&gt;&lt;item&gt;568&lt;/item&gt;&lt;item&gt;602&lt;/item&gt;&lt;item&gt;624&lt;/item&gt;&lt;item&gt;625&lt;/item&gt;&lt;item&gt;627&lt;/item&gt;&lt;item&gt;725&lt;/item&gt;&lt;item&gt;726&lt;/item&gt;&lt;item&gt;746&lt;/item&gt;&lt;item&gt;748&lt;/item&gt;&lt;item&gt;751&lt;/item&gt;&lt;item&gt;755&lt;/item&gt;&lt;item&gt;756&lt;/item&gt;&lt;item&gt;757&lt;/item&gt;&lt;item&gt;763&lt;/item&gt;&lt;item&gt;835&lt;/item&gt;&lt;item&gt;836&lt;/item&gt;&lt;item&gt;837&lt;/item&gt;&lt;item&gt;838&lt;/item&gt;&lt;item&gt;839&lt;/item&gt;&lt;item&gt;840&lt;/item&gt;&lt;item&gt;841&lt;/item&gt;&lt;item&gt;842&lt;/item&gt;&lt;item&gt;843&lt;/item&gt;&lt;item&gt;844&lt;/item&gt;&lt;item&gt;846&lt;/item&gt;&lt;item&gt;847&lt;/item&gt;&lt;item&gt;848&lt;/item&gt;&lt;item&gt;849&lt;/item&gt;&lt;item&gt;850&lt;/item&gt;&lt;item&gt;851&lt;/item&gt;&lt;item&gt;852&lt;/item&gt;&lt;item&gt;853&lt;/item&gt;&lt;item&gt;854&lt;/item&gt;&lt;item&gt;855&lt;/item&gt;&lt;item&gt;856&lt;/item&gt;&lt;item&gt;857&lt;/item&gt;&lt;item&gt;858&lt;/item&gt;&lt;item&gt;859&lt;/item&gt;&lt;item&gt;860&lt;/item&gt;&lt;item&gt;861&lt;/item&gt;&lt;item&gt;862&lt;/item&gt;&lt;item&gt;863&lt;/item&gt;&lt;item&gt;864&lt;/item&gt;&lt;item&gt;865&lt;/item&gt;&lt;item&gt;866&lt;/item&gt;&lt;item&gt;867&lt;/item&gt;&lt;item&gt;868&lt;/item&gt;&lt;item&gt;869&lt;/item&gt;&lt;item&gt;870&lt;/item&gt;&lt;item&gt;871&lt;/item&gt;&lt;item&gt;919&lt;/item&gt;&lt;/record-ids&gt;&lt;/item&gt;&lt;/Libraries&gt;"/>
  </w:docVars>
  <w:rsids>
    <w:rsidRoot w:val="007A729D"/>
    <w:rsid w:val="00081287"/>
    <w:rsid w:val="00091489"/>
    <w:rsid w:val="000D2F6F"/>
    <w:rsid w:val="000E0892"/>
    <w:rsid w:val="000E5239"/>
    <w:rsid w:val="000F7DA5"/>
    <w:rsid w:val="001221C1"/>
    <w:rsid w:val="00153BF2"/>
    <w:rsid w:val="0015711F"/>
    <w:rsid w:val="00165ED9"/>
    <w:rsid w:val="00186C36"/>
    <w:rsid w:val="00197204"/>
    <w:rsid w:val="0023258D"/>
    <w:rsid w:val="00236F4A"/>
    <w:rsid w:val="0028085E"/>
    <w:rsid w:val="002830C0"/>
    <w:rsid w:val="002A0357"/>
    <w:rsid w:val="00300B22"/>
    <w:rsid w:val="00333FFC"/>
    <w:rsid w:val="00376D31"/>
    <w:rsid w:val="00390BF9"/>
    <w:rsid w:val="003C0896"/>
    <w:rsid w:val="003C0F6D"/>
    <w:rsid w:val="003C2765"/>
    <w:rsid w:val="003C43B8"/>
    <w:rsid w:val="003C687D"/>
    <w:rsid w:val="004055F3"/>
    <w:rsid w:val="00412ABC"/>
    <w:rsid w:val="0047641F"/>
    <w:rsid w:val="0049293D"/>
    <w:rsid w:val="004A51F5"/>
    <w:rsid w:val="004B1275"/>
    <w:rsid w:val="004C6077"/>
    <w:rsid w:val="004D1D5F"/>
    <w:rsid w:val="004D70E1"/>
    <w:rsid w:val="005031BE"/>
    <w:rsid w:val="00503247"/>
    <w:rsid w:val="0052388F"/>
    <w:rsid w:val="00546FCF"/>
    <w:rsid w:val="00556BC1"/>
    <w:rsid w:val="005C0D1F"/>
    <w:rsid w:val="005D4E91"/>
    <w:rsid w:val="0061608A"/>
    <w:rsid w:val="006456AD"/>
    <w:rsid w:val="00653847"/>
    <w:rsid w:val="006E67F2"/>
    <w:rsid w:val="00705BF9"/>
    <w:rsid w:val="00712A5C"/>
    <w:rsid w:val="00740F78"/>
    <w:rsid w:val="0074310E"/>
    <w:rsid w:val="007720C3"/>
    <w:rsid w:val="0078269A"/>
    <w:rsid w:val="007874AA"/>
    <w:rsid w:val="007A0DE3"/>
    <w:rsid w:val="007A167B"/>
    <w:rsid w:val="007A6D40"/>
    <w:rsid w:val="007A729D"/>
    <w:rsid w:val="007C734B"/>
    <w:rsid w:val="0080262D"/>
    <w:rsid w:val="00812407"/>
    <w:rsid w:val="00854171"/>
    <w:rsid w:val="00864CA8"/>
    <w:rsid w:val="008A6C89"/>
    <w:rsid w:val="00902235"/>
    <w:rsid w:val="00936A04"/>
    <w:rsid w:val="00965C0A"/>
    <w:rsid w:val="009701D8"/>
    <w:rsid w:val="00974241"/>
    <w:rsid w:val="009A2338"/>
    <w:rsid w:val="009B1EE7"/>
    <w:rsid w:val="009B344D"/>
    <w:rsid w:val="009B5FFA"/>
    <w:rsid w:val="009C2CF5"/>
    <w:rsid w:val="00A15837"/>
    <w:rsid w:val="00A448E7"/>
    <w:rsid w:val="00A4648D"/>
    <w:rsid w:val="00A749E4"/>
    <w:rsid w:val="00AC38E5"/>
    <w:rsid w:val="00AD3366"/>
    <w:rsid w:val="00AD612A"/>
    <w:rsid w:val="00AF4A52"/>
    <w:rsid w:val="00AF729A"/>
    <w:rsid w:val="00B32183"/>
    <w:rsid w:val="00B5034E"/>
    <w:rsid w:val="00B60185"/>
    <w:rsid w:val="00B670EC"/>
    <w:rsid w:val="00B72606"/>
    <w:rsid w:val="00BA2B3B"/>
    <w:rsid w:val="00BC7060"/>
    <w:rsid w:val="00BF09E5"/>
    <w:rsid w:val="00BF1320"/>
    <w:rsid w:val="00BF666E"/>
    <w:rsid w:val="00C33D93"/>
    <w:rsid w:val="00C40BFA"/>
    <w:rsid w:val="00C74A5B"/>
    <w:rsid w:val="00C77F13"/>
    <w:rsid w:val="00CD2B25"/>
    <w:rsid w:val="00CD456B"/>
    <w:rsid w:val="00CF402D"/>
    <w:rsid w:val="00D46038"/>
    <w:rsid w:val="00D6124D"/>
    <w:rsid w:val="00D61F84"/>
    <w:rsid w:val="00D64BEB"/>
    <w:rsid w:val="00D70E06"/>
    <w:rsid w:val="00D731D2"/>
    <w:rsid w:val="00D83132"/>
    <w:rsid w:val="00DC13D5"/>
    <w:rsid w:val="00DC3B46"/>
    <w:rsid w:val="00DF3B88"/>
    <w:rsid w:val="00E124F6"/>
    <w:rsid w:val="00E21382"/>
    <w:rsid w:val="00E42A20"/>
    <w:rsid w:val="00E735E8"/>
    <w:rsid w:val="00E80610"/>
    <w:rsid w:val="00E822FC"/>
    <w:rsid w:val="00E82AC0"/>
    <w:rsid w:val="00ED49B0"/>
    <w:rsid w:val="00F00E9D"/>
    <w:rsid w:val="00F30930"/>
    <w:rsid w:val="00F46A26"/>
    <w:rsid w:val="00F50A89"/>
    <w:rsid w:val="00F52509"/>
    <w:rsid w:val="00F54A4F"/>
    <w:rsid w:val="00F6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33E4"/>
  <w15:chartTrackingRefBased/>
  <w15:docId w15:val="{CA64F385-5ED3-43BA-88CC-4F26A667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61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53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3BF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53BF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3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3BF2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153BF2"/>
    <w:rPr>
      <w:color w:val="0563C1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153BF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5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837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ln"/>
    <w:link w:val="EndNoteBibliographyTitleChar"/>
    <w:rsid w:val="00DC13D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Standardnpsmoodstavce"/>
    <w:link w:val="EndNoteBibliographyTitle"/>
    <w:rsid w:val="00DC13D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ln"/>
    <w:link w:val="EndNoteBibliographyChar"/>
    <w:rsid w:val="00DC13D5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Standardnpsmoodstavce"/>
    <w:link w:val="EndNoteBibliography"/>
    <w:rsid w:val="00DC13D5"/>
    <w:rPr>
      <w:rFonts w:ascii="Calibri" w:hAnsi="Calibri" w:cs="Calibri"/>
      <w:noProof/>
    </w:rPr>
  </w:style>
  <w:style w:type="character" w:customStyle="1" w:styleId="UnresolvedMention10">
    <w:name w:val="Unresolved Mention1"/>
    <w:basedOn w:val="Standardnpsmoodstavce"/>
    <w:uiPriority w:val="99"/>
    <w:semiHidden/>
    <w:unhideWhenUsed/>
    <w:rsid w:val="00AC38E5"/>
    <w:rPr>
      <w:color w:val="605E5C"/>
      <w:shd w:val="clear" w:color="auto" w:fill="E1DFDD"/>
    </w:rPr>
  </w:style>
  <w:style w:type="paragraph" w:customStyle="1" w:styleId="DefaultStyle">
    <w:name w:val="Default Style"/>
    <w:rsid w:val="00AC38E5"/>
    <w:pPr>
      <w:suppressAutoHyphens/>
      <w:spacing w:after="200" w:line="276" w:lineRule="auto"/>
    </w:pPr>
    <w:rPr>
      <w:rFonts w:ascii="Calibri" w:eastAsia="SimSun" w:hAnsi="Calibri" w:cs="Calibri"/>
      <w:color w:val="00000A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AC38E5"/>
    <w:pPr>
      <w:ind w:left="720"/>
      <w:contextualSpacing/>
    </w:pPr>
    <w:rPr>
      <w:kern w:val="0"/>
      <w:lang w:val="cs-CZ"/>
      <w14:ligatures w14:val="none"/>
    </w:rPr>
  </w:style>
  <w:style w:type="character" w:styleId="Zdraznn">
    <w:name w:val="Emphasis"/>
    <w:basedOn w:val="Standardnpsmoodstavce"/>
    <w:uiPriority w:val="20"/>
    <w:qFormat/>
    <w:rsid w:val="00AC38E5"/>
    <w:rPr>
      <w:i/>
      <w:iCs/>
    </w:rPr>
  </w:style>
  <w:style w:type="character" w:styleId="Siln">
    <w:name w:val="Strong"/>
    <w:basedOn w:val="Standardnpsmoodstavce"/>
    <w:uiPriority w:val="22"/>
    <w:qFormat/>
    <w:rsid w:val="00AC38E5"/>
    <w:rPr>
      <w:b/>
      <w:bCs/>
    </w:r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AC38E5"/>
    <w:rPr>
      <w:color w:val="605E5C"/>
      <w:shd w:val="clear" w:color="auto" w:fill="E1DFDD"/>
    </w:rPr>
  </w:style>
  <w:style w:type="character" w:customStyle="1" w:styleId="nowrap">
    <w:name w:val="nowrap"/>
    <w:basedOn w:val="Standardnpsmoodstavce"/>
    <w:rsid w:val="00AC38E5"/>
  </w:style>
  <w:style w:type="paragraph" w:styleId="Revize">
    <w:name w:val="Revision"/>
    <w:hidden/>
    <w:uiPriority w:val="99"/>
    <w:semiHidden/>
    <w:rsid w:val="00AC38E5"/>
    <w:pPr>
      <w:spacing w:after="0" w:line="240" w:lineRule="auto"/>
    </w:pPr>
    <w:rPr>
      <w:kern w:val="0"/>
      <w:lang w:val="cs-CZ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AC38E5"/>
    <w:rPr>
      <w:color w:val="666666"/>
    </w:rPr>
  </w:style>
  <w:style w:type="character" w:customStyle="1" w:styleId="UnresolvedMention3">
    <w:name w:val="Unresolved Mention3"/>
    <w:basedOn w:val="Standardnpsmoodstavce"/>
    <w:uiPriority w:val="99"/>
    <w:semiHidden/>
    <w:unhideWhenUsed/>
    <w:rsid w:val="00376D31"/>
    <w:rPr>
      <w:color w:val="605E5C"/>
      <w:shd w:val="clear" w:color="auto" w:fill="E1DFDD"/>
    </w:rPr>
  </w:style>
  <w:style w:type="character" w:customStyle="1" w:styleId="cf01">
    <w:name w:val="cf01"/>
    <w:basedOn w:val="Standardnpsmoodstavce"/>
    <w:rsid w:val="00376D31"/>
    <w:rPr>
      <w:rFonts w:ascii="Segoe UI" w:hAnsi="Segoe UI" w:cs="Segoe UI" w:hint="default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64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hyperlink" Target="https://doi.org/10.1093/nar/gkad326" TargetMode="External"/><Relationship Id="rId26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hyperlink" Target="https://doi.org/10.1128/msphere.00074-23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doi.org/10.1186/s12864-018-5078-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hyperlink" Target="https://doi.org/10.1038/s41598-022-07535-3" TargetMode="External"/><Relationship Id="rId37" Type="http://schemas.microsoft.com/office/2016/09/relationships/commentsIds" Target="commentsIds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hyperlink" Target="https://doi.org/10.1534/g3.120.401358" TargetMode="External"/><Relationship Id="rId10" Type="http://schemas.microsoft.com/office/2011/relationships/commentsExtended" Target="commentsExtended.xml"/><Relationship Id="rId19" Type="http://schemas.openxmlformats.org/officeDocument/2006/relationships/hyperlink" Target="https://doi.org/10.1093/nar/gkz423" TargetMode="Externa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image" Target="media/image8.png"/><Relationship Id="rId22" Type="http://schemas.openxmlformats.org/officeDocument/2006/relationships/hyperlink" Target="https://doi.org/10.1128/spectrum.02627-2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13</Pages>
  <Words>2757</Words>
  <Characters>16269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HUBERT</dc:creator>
  <cp:keywords/>
  <dc:description/>
  <cp:lastModifiedBy>Markovic</cp:lastModifiedBy>
  <cp:revision>123</cp:revision>
  <dcterms:created xsi:type="dcterms:W3CDTF">2023-07-05T06:54:00Z</dcterms:created>
  <dcterms:modified xsi:type="dcterms:W3CDTF">2024-01-09T16:40:00Z</dcterms:modified>
</cp:coreProperties>
</file>