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4BA" w:rsidRPr="00F727C1" w:rsidRDefault="00AC34BA" w:rsidP="00AC34BA">
      <w:pPr>
        <w:spacing w:line="480" w:lineRule="auto"/>
        <w:jc w:val="both"/>
        <w:rPr>
          <w:b/>
          <w:sz w:val="24"/>
          <w:szCs w:val="24"/>
          <w:lang w:val="en-US" w:bidi="en-US"/>
        </w:rPr>
      </w:pPr>
      <w:r>
        <w:rPr>
          <w:b/>
          <w:sz w:val="24"/>
          <w:szCs w:val="24"/>
          <w:lang w:val="en-US" w:bidi="en-US"/>
        </w:rPr>
        <w:t>SUPPLEMENTARY FIGURE LEGENDS</w:t>
      </w:r>
    </w:p>
    <w:p w:rsidR="00AC34BA" w:rsidRDefault="00AC34BA" w:rsidP="00AC34BA">
      <w:pPr>
        <w:spacing w:line="480" w:lineRule="auto"/>
        <w:jc w:val="both"/>
        <w:rPr>
          <w:sz w:val="24"/>
          <w:szCs w:val="24"/>
          <w:lang w:val="en-US" w:bidi="en-US"/>
        </w:rPr>
      </w:pPr>
      <w:r>
        <w:rPr>
          <w:b/>
          <w:sz w:val="24"/>
          <w:szCs w:val="24"/>
          <w:lang w:val="en-US" w:bidi="en-US"/>
        </w:rPr>
        <w:t xml:space="preserve">Suppl. </w:t>
      </w:r>
      <w:r w:rsidRPr="00F727C1">
        <w:rPr>
          <w:b/>
          <w:sz w:val="24"/>
          <w:szCs w:val="24"/>
          <w:lang w:val="en-US" w:bidi="en-US"/>
        </w:rPr>
        <w:t>Figure 1. Analysis of</w:t>
      </w:r>
      <w:r>
        <w:rPr>
          <w:b/>
          <w:sz w:val="24"/>
          <w:szCs w:val="24"/>
          <w:lang w:val="en-US" w:bidi="en-US"/>
        </w:rPr>
        <w:t xml:space="preserve"> AAV9 mutant capsid proteins presence in AAV preparations</w:t>
      </w:r>
      <w:r w:rsidRPr="000E371D">
        <w:rPr>
          <w:sz w:val="24"/>
          <w:szCs w:val="24"/>
          <w:lang w:val="en-US" w:bidi="en-US"/>
        </w:rPr>
        <w:t xml:space="preserve">. </w:t>
      </w:r>
      <w:r w:rsidRPr="0011608B">
        <w:rPr>
          <w:sz w:val="24"/>
          <w:szCs w:val="24"/>
          <w:lang w:val="en-US" w:bidi="en-US"/>
        </w:rPr>
        <w:t xml:space="preserve">AAV9 mutants, including K449, G455, Q579, and A589, </w:t>
      </w:r>
      <w:proofErr w:type="gramStart"/>
      <w:r w:rsidRPr="0011608B">
        <w:rPr>
          <w:sz w:val="24"/>
          <w:szCs w:val="24"/>
          <w:lang w:val="en-US" w:bidi="en-US"/>
        </w:rPr>
        <w:t>were produced</w:t>
      </w:r>
      <w:proofErr w:type="gramEnd"/>
      <w:r w:rsidRPr="0011608B">
        <w:rPr>
          <w:sz w:val="24"/>
          <w:szCs w:val="24"/>
          <w:lang w:val="en-US" w:bidi="en-US"/>
        </w:rPr>
        <w:t xml:space="preserve"> and purified using an </w:t>
      </w:r>
      <w:proofErr w:type="spellStart"/>
      <w:r w:rsidRPr="0011608B">
        <w:rPr>
          <w:sz w:val="24"/>
          <w:szCs w:val="24"/>
          <w:lang w:val="en-US" w:bidi="en-US"/>
        </w:rPr>
        <w:t>iodixanol</w:t>
      </w:r>
      <w:proofErr w:type="spellEnd"/>
      <w:r w:rsidRPr="0011608B">
        <w:rPr>
          <w:sz w:val="24"/>
          <w:szCs w:val="24"/>
          <w:lang w:val="en-US" w:bidi="en-US"/>
        </w:rPr>
        <w:t xml:space="preserve"> gradient. Subsequently, SDS-PAGE analysis </w:t>
      </w:r>
      <w:proofErr w:type="gramStart"/>
      <w:r w:rsidRPr="0011608B">
        <w:rPr>
          <w:sz w:val="24"/>
          <w:szCs w:val="24"/>
          <w:lang w:val="en-US" w:bidi="en-US"/>
        </w:rPr>
        <w:t>was performed</w:t>
      </w:r>
      <w:proofErr w:type="gramEnd"/>
      <w:r w:rsidRPr="0011608B">
        <w:rPr>
          <w:sz w:val="24"/>
          <w:szCs w:val="24"/>
          <w:lang w:val="en-US" w:bidi="en-US"/>
        </w:rPr>
        <w:t xml:space="preserve">, and proteins were visualized after </w:t>
      </w:r>
      <w:proofErr w:type="spellStart"/>
      <w:r w:rsidRPr="0011608B">
        <w:rPr>
          <w:sz w:val="24"/>
          <w:szCs w:val="24"/>
          <w:lang w:val="en-US" w:bidi="en-US"/>
        </w:rPr>
        <w:t>SyPro</w:t>
      </w:r>
      <w:proofErr w:type="spellEnd"/>
      <w:r w:rsidRPr="0011608B">
        <w:rPr>
          <w:sz w:val="24"/>
          <w:szCs w:val="24"/>
          <w:lang w:val="en-US" w:bidi="en-US"/>
        </w:rPr>
        <w:t xml:space="preserve"> staining.</w:t>
      </w:r>
    </w:p>
    <w:p w:rsidR="00AC34BA" w:rsidRDefault="00AC34BA" w:rsidP="00AC34BA">
      <w:pPr>
        <w:spacing w:line="480" w:lineRule="auto"/>
        <w:jc w:val="both"/>
        <w:rPr>
          <w:sz w:val="24"/>
          <w:szCs w:val="24"/>
          <w:lang w:val="en-US" w:bidi="en-US"/>
        </w:rPr>
      </w:pPr>
      <w:r>
        <w:rPr>
          <w:b/>
          <w:sz w:val="24"/>
          <w:szCs w:val="24"/>
          <w:lang w:val="en-US" w:bidi="en-US"/>
        </w:rPr>
        <w:t>Suppl. Figure 2</w:t>
      </w:r>
      <w:r w:rsidRPr="00F727C1">
        <w:rPr>
          <w:b/>
          <w:sz w:val="24"/>
          <w:szCs w:val="24"/>
          <w:lang w:val="en-US" w:bidi="en-US"/>
        </w:rPr>
        <w:t>. Analysis of</w:t>
      </w:r>
      <w:r>
        <w:rPr>
          <w:b/>
          <w:sz w:val="24"/>
          <w:szCs w:val="24"/>
          <w:lang w:val="en-US" w:bidi="en-US"/>
        </w:rPr>
        <w:t xml:space="preserve"> AAV9 WT and mutant capsid proteins presence in AAV purified preparations</w:t>
      </w:r>
      <w:r w:rsidRPr="000E371D">
        <w:rPr>
          <w:sz w:val="24"/>
          <w:szCs w:val="24"/>
          <w:lang w:val="en-US" w:bidi="en-US"/>
        </w:rPr>
        <w:t xml:space="preserve">. </w:t>
      </w:r>
      <w:r w:rsidRPr="0011608B">
        <w:rPr>
          <w:sz w:val="24"/>
          <w:szCs w:val="24"/>
          <w:lang w:val="en-US" w:bidi="en-US"/>
        </w:rPr>
        <w:t xml:space="preserve">AAV9 </w:t>
      </w:r>
      <w:proofErr w:type="gramStart"/>
      <w:r w:rsidRPr="0011608B">
        <w:rPr>
          <w:sz w:val="24"/>
          <w:szCs w:val="24"/>
          <w:lang w:val="en-US" w:bidi="en-US"/>
        </w:rPr>
        <w:t>wild-type</w:t>
      </w:r>
      <w:proofErr w:type="gramEnd"/>
      <w:r w:rsidRPr="0011608B">
        <w:rPr>
          <w:sz w:val="24"/>
          <w:szCs w:val="24"/>
          <w:lang w:val="en-US" w:bidi="en-US"/>
        </w:rPr>
        <w:t xml:space="preserve"> (WT) and mutants (N470, M471, A591, and T593) productions underwent purification through </w:t>
      </w:r>
      <w:proofErr w:type="spellStart"/>
      <w:r w:rsidRPr="0011608B">
        <w:rPr>
          <w:sz w:val="24"/>
          <w:szCs w:val="24"/>
          <w:lang w:val="en-US" w:bidi="en-US"/>
        </w:rPr>
        <w:t>iodixanol</w:t>
      </w:r>
      <w:proofErr w:type="spellEnd"/>
      <w:r w:rsidRPr="0011608B">
        <w:rPr>
          <w:sz w:val="24"/>
          <w:szCs w:val="24"/>
          <w:lang w:val="en-US" w:bidi="en-US"/>
        </w:rPr>
        <w:t xml:space="preserve"> gradient and affinity chromatography. Subsequently, SDS-PAGE analysis </w:t>
      </w:r>
      <w:proofErr w:type="gramStart"/>
      <w:r w:rsidRPr="0011608B">
        <w:rPr>
          <w:sz w:val="24"/>
          <w:szCs w:val="24"/>
          <w:lang w:val="en-US" w:bidi="en-US"/>
        </w:rPr>
        <w:t>was conducted</w:t>
      </w:r>
      <w:proofErr w:type="gramEnd"/>
      <w:r w:rsidRPr="0011608B">
        <w:rPr>
          <w:sz w:val="24"/>
          <w:szCs w:val="24"/>
          <w:lang w:val="en-US" w:bidi="en-US"/>
        </w:rPr>
        <w:t xml:space="preserve">, and proteins were visualized after </w:t>
      </w:r>
      <w:proofErr w:type="spellStart"/>
      <w:r w:rsidRPr="0011608B">
        <w:rPr>
          <w:sz w:val="24"/>
          <w:szCs w:val="24"/>
          <w:lang w:val="en-US" w:bidi="en-US"/>
        </w:rPr>
        <w:t>SyPro</w:t>
      </w:r>
      <w:proofErr w:type="spellEnd"/>
      <w:r w:rsidRPr="0011608B">
        <w:rPr>
          <w:sz w:val="24"/>
          <w:szCs w:val="24"/>
          <w:lang w:val="en-US" w:bidi="en-US"/>
        </w:rPr>
        <w:t xml:space="preserve"> staining.</w:t>
      </w:r>
    </w:p>
    <w:p w:rsidR="00AC34BA" w:rsidRDefault="00AC34BA" w:rsidP="00AC34BA">
      <w:pPr>
        <w:spacing w:line="480" w:lineRule="auto"/>
        <w:jc w:val="both"/>
        <w:rPr>
          <w:sz w:val="24"/>
          <w:szCs w:val="24"/>
          <w:lang w:val="en-US" w:bidi="en-US"/>
        </w:rPr>
      </w:pPr>
      <w:r>
        <w:rPr>
          <w:b/>
          <w:sz w:val="24"/>
          <w:szCs w:val="24"/>
          <w:lang w:val="en-US" w:bidi="en-US"/>
        </w:rPr>
        <w:t>Suppl. Figure 3</w:t>
      </w:r>
      <w:r w:rsidRPr="00297459">
        <w:rPr>
          <w:b/>
          <w:sz w:val="24"/>
          <w:szCs w:val="24"/>
          <w:lang w:val="en-US" w:bidi="en-US"/>
        </w:rPr>
        <w:t>. AAV Transduction Visualization.</w:t>
      </w:r>
      <w:r>
        <w:rPr>
          <w:sz w:val="24"/>
          <w:szCs w:val="24"/>
          <w:lang w:val="en-US" w:bidi="en-US"/>
        </w:rPr>
        <w:t xml:space="preserve"> </w:t>
      </w:r>
      <w:r w:rsidRPr="0011608B">
        <w:rPr>
          <w:sz w:val="24"/>
          <w:szCs w:val="24"/>
          <w:lang w:val="en-US" w:bidi="en-US"/>
        </w:rPr>
        <w:t xml:space="preserve">Hela cells </w:t>
      </w:r>
      <w:proofErr w:type="gramStart"/>
      <w:r w:rsidRPr="0011608B">
        <w:rPr>
          <w:sz w:val="24"/>
          <w:szCs w:val="24"/>
          <w:lang w:val="en-US" w:bidi="en-US"/>
        </w:rPr>
        <w:t>were infected</w:t>
      </w:r>
      <w:proofErr w:type="gramEnd"/>
      <w:r w:rsidRPr="0011608B">
        <w:rPr>
          <w:sz w:val="24"/>
          <w:szCs w:val="24"/>
          <w:lang w:val="en-US" w:bidi="en-US"/>
        </w:rPr>
        <w:t xml:space="preserve"> with all mutants, modified with either 30 or 90 equivalents of Cy5.5</w:t>
      </w:r>
      <w:r w:rsidR="00F842A6">
        <w:rPr>
          <w:sz w:val="24"/>
          <w:szCs w:val="24"/>
          <w:lang w:val="en-US" w:bidi="en-US"/>
        </w:rPr>
        <w:t xml:space="preserve"> </w:t>
      </w:r>
      <w:r w:rsidR="00F842A6" w:rsidRPr="00F842A6">
        <w:rPr>
          <w:sz w:val="24"/>
          <w:szCs w:val="24"/>
          <w:lang w:val="en-US" w:bidi="en-US"/>
        </w:rPr>
        <w:t xml:space="preserve">except for the Q592 mutant, which underwent modification with </w:t>
      </w:r>
      <w:r w:rsidR="00F842A6">
        <w:rPr>
          <w:sz w:val="24"/>
          <w:szCs w:val="24"/>
          <w:lang w:val="en-US" w:bidi="en-US"/>
        </w:rPr>
        <w:t xml:space="preserve">10 or </w:t>
      </w:r>
      <w:bookmarkStart w:id="0" w:name="_GoBack"/>
      <w:bookmarkEnd w:id="0"/>
      <w:r w:rsidR="00F842A6" w:rsidRPr="00F842A6">
        <w:rPr>
          <w:sz w:val="24"/>
          <w:szCs w:val="24"/>
          <w:lang w:val="en-US" w:bidi="en-US"/>
        </w:rPr>
        <w:t>30 equivalents</w:t>
      </w:r>
      <w:r w:rsidRPr="0011608B">
        <w:rPr>
          <w:sz w:val="24"/>
          <w:szCs w:val="24"/>
          <w:lang w:val="en-US" w:bidi="en-US"/>
        </w:rPr>
        <w:t>, at a multiplicity of infection (</w:t>
      </w:r>
      <w:proofErr w:type="spellStart"/>
      <w:r w:rsidRPr="0011608B">
        <w:rPr>
          <w:sz w:val="24"/>
          <w:szCs w:val="24"/>
          <w:lang w:val="en-US" w:bidi="en-US"/>
        </w:rPr>
        <w:t>m.o.i</w:t>
      </w:r>
      <w:proofErr w:type="spellEnd"/>
      <w:r w:rsidRPr="0011608B">
        <w:rPr>
          <w:sz w:val="24"/>
          <w:szCs w:val="24"/>
          <w:lang w:val="en-US" w:bidi="en-US"/>
        </w:rPr>
        <w:t xml:space="preserve">.) of 2E5 vg/cell. Eight hours post-infection, cells </w:t>
      </w:r>
      <w:proofErr w:type="gramStart"/>
      <w:r w:rsidRPr="0011608B">
        <w:rPr>
          <w:sz w:val="24"/>
          <w:szCs w:val="24"/>
          <w:lang w:val="en-US" w:bidi="en-US"/>
        </w:rPr>
        <w:t>were fixed and prepared for visualization under a confocal microscope</w:t>
      </w:r>
      <w:proofErr w:type="gramEnd"/>
      <w:r w:rsidRPr="0011608B">
        <w:rPr>
          <w:sz w:val="24"/>
          <w:szCs w:val="24"/>
          <w:lang w:val="en-US" w:bidi="en-US"/>
        </w:rPr>
        <w:t>. Each image corresponds to one mutant, with the actin cytoskeleton labeled in green, the nucleus in blue, and the CY5.5 in the capsids of the AAV mutants visualized in red.</w:t>
      </w:r>
      <w:r>
        <w:rPr>
          <w:sz w:val="24"/>
          <w:szCs w:val="24"/>
          <w:lang w:val="en-US" w:bidi="en-US"/>
        </w:rPr>
        <w:t xml:space="preserve"> White bars correspond to 20 </w:t>
      </w:r>
      <w:proofErr w:type="spellStart"/>
      <w:r>
        <w:rPr>
          <w:rFonts w:cstheme="minorHAnsi"/>
          <w:sz w:val="24"/>
          <w:szCs w:val="24"/>
          <w:lang w:val="en-US" w:bidi="en-US"/>
        </w:rPr>
        <w:t>μ</w:t>
      </w:r>
      <w:r>
        <w:rPr>
          <w:sz w:val="24"/>
          <w:szCs w:val="24"/>
          <w:lang w:val="en-US" w:bidi="en-US"/>
        </w:rPr>
        <w:t>m</w:t>
      </w:r>
      <w:proofErr w:type="spellEnd"/>
      <w:r>
        <w:rPr>
          <w:sz w:val="24"/>
          <w:szCs w:val="24"/>
          <w:lang w:val="en-US" w:bidi="en-US"/>
        </w:rPr>
        <w:t>.</w:t>
      </w:r>
    </w:p>
    <w:p w:rsidR="008248C2" w:rsidRDefault="008248C2"/>
    <w:sectPr w:rsidR="008248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4BA"/>
    <w:rsid w:val="008248C2"/>
    <w:rsid w:val="00AC34BA"/>
    <w:rsid w:val="00F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FAF16"/>
  <w15:chartTrackingRefBased/>
  <w15:docId w15:val="{74741799-9453-4AF8-B4B3-8D13DCA2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4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 Aldabe</dc:creator>
  <cp:keywords/>
  <dc:description/>
  <cp:lastModifiedBy>Rafa Aldabe</cp:lastModifiedBy>
  <cp:revision>2</cp:revision>
  <dcterms:created xsi:type="dcterms:W3CDTF">2023-12-22T13:00:00Z</dcterms:created>
  <dcterms:modified xsi:type="dcterms:W3CDTF">2024-01-09T09:11:00Z</dcterms:modified>
</cp:coreProperties>
</file>