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B3BB8" w14:textId="07E1F42E" w:rsidR="000C19B7" w:rsidRPr="000C19B7" w:rsidRDefault="000C19B7" w:rsidP="000C19B7">
      <w:pPr>
        <w:rPr>
          <w:rFonts w:ascii="Arial" w:hAnsi="Arial" w:cs="Arial"/>
          <w:b/>
          <w:bCs/>
          <w:sz w:val="22"/>
          <w:szCs w:val="22"/>
        </w:rPr>
      </w:pPr>
      <w:r w:rsidRPr="000C19B7">
        <w:rPr>
          <w:rFonts w:ascii="Arial" w:hAnsi="Arial" w:cs="Arial"/>
          <w:b/>
          <w:bCs/>
        </w:rPr>
        <w:t xml:space="preserve">Supplementary Table 1.  </w:t>
      </w:r>
      <w:r w:rsidRPr="000C19B7">
        <w:rPr>
          <w:rFonts w:ascii="Arial" w:hAnsi="Arial" w:cs="Arial"/>
          <w:b/>
          <w:bCs/>
          <w:sz w:val="22"/>
          <w:szCs w:val="22"/>
        </w:rPr>
        <w:t xml:space="preserve">Association of barrier loci with mate sorting in females of the </w:t>
      </w:r>
      <w:r w:rsidRPr="000C19B7">
        <w:rPr>
          <w:rFonts w:ascii="Arial" w:hAnsi="Arial" w:cs="Arial"/>
          <w:b/>
          <w:bCs/>
          <w:i/>
          <w:iCs/>
          <w:sz w:val="22"/>
          <w:szCs w:val="22"/>
        </w:rPr>
        <w:t xml:space="preserve">D. </w:t>
      </w:r>
      <w:proofErr w:type="spellStart"/>
      <w:r w:rsidRPr="000C19B7">
        <w:rPr>
          <w:rFonts w:ascii="Arial" w:hAnsi="Arial" w:cs="Arial"/>
          <w:b/>
          <w:bCs/>
          <w:i/>
          <w:iCs/>
          <w:sz w:val="22"/>
          <w:szCs w:val="22"/>
        </w:rPr>
        <w:t>simulans</w:t>
      </w:r>
      <w:proofErr w:type="spellEnd"/>
      <w:r w:rsidRPr="000C19B7">
        <w:rPr>
          <w:rFonts w:ascii="Arial" w:hAnsi="Arial" w:cs="Arial"/>
          <w:b/>
          <w:bCs/>
          <w:sz w:val="22"/>
          <w:szCs w:val="22"/>
        </w:rPr>
        <w:t xml:space="preserve"> backcross</w:t>
      </w:r>
    </w:p>
    <w:p w14:paraId="12A6C467" w14:textId="724EBBE9" w:rsidR="00E82A81" w:rsidRDefault="00E82A81"/>
    <w:tbl>
      <w:tblPr>
        <w:tblStyle w:val="TableGrid"/>
        <w:tblpPr w:leftFromText="180" w:rightFromText="180" w:vertAnchor="page" w:horzAnchor="margin" w:tblpY="2248"/>
        <w:tblW w:w="9174" w:type="dxa"/>
        <w:tblLook w:val="04A0" w:firstRow="1" w:lastRow="0" w:firstColumn="1" w:lastColumn="0" w:noHBand="0" w:noVBand="1"/>
      </w:tblPr>
      <w:tblGrid>
        <w:gridCol w:w="972"/>
        <w:gridCol w:w="1402"/>
        <w:gridCol w:w="1888"/>
        <w:gridCol w:w="1322"/>
        <w:gridCol w:w="1648"/>
        <w:gridCol w:w="1942"/>
      </w:tblGrid>
      <w:tr w:rsidR="000C19B7" w14:paraId="3A2C6E92" w14:textId="77777777" w:rsidTr="000C19B7">
        <w:trPr>
          <w:trHeight w:val="311"/>
        </w:trPr>
        <w:tc>
          <w:tcPr>
            <w:tcW w:w="972" w:type="dxa"/>
          </w:tcPr>
          <w:p w14:paraId="37BC298E" w14:textId="77777777" w:rsidR="000C19B7" w:rsidRDefault="000C19B7" w:rsidP="000C19B7">
            <w:r>
              <w:t>Locus</w:t>
            </w:r>
          </w:p>
        </w:tc>
        <w:tc>
          <w:tcPr>
            <w:tcW w:w="1402" w:type="dxa"/>
          </w:tcPr>
          <w:p w14:paraId="4892F916" w14:textId="77777777" w:rsidR="000C19B7" w:rsidRDefault="000C19B7" w:rsidP="000C19B7">
            <w:pPr>
              <w:jc w:val="center"/>
            </w:pPr>
            <w:r>
              <w:t xml:space="preserve">Location </w:t>
            </w:r>
          </w:p>
        </w:tc>
        <w:tc>
          <w:tcPr>
            <w:tcW w:w="1888" w:type="dxa"/>
          </w:tcPr>
          <w:p w14:paraId="496AAC4A" w14:textId="77777777" w:rsidR="000C19B7" w:rsidRDefault="000C19B7" w:rsidP="000C19B7">
            <w:pPr>
              <w:jc w:val="center"/>
            </w:pPr>
            <w:r>
              <w:t>Function</w:t>
            </w:r>
          </w:p>
        </w:tc>
        <w:tc>
          <w:tcPr>
            <w:tcW w:w="1322" w:type="dxa"/>
          </w:tcPr>
          <w:p w14:paraId="1C6070EC" w14:textId="77777777" w:rsidR="000C19B7" w:rsidRDefault="000C19B7" w:rsidP="000C19B7">
            <w:pPr>
              <w:jc w:val="center"/>
            </w:pPr>
            <w:r>
              <w:t xml:space="preserve">Effect Size </w:t>
            </w:r>
          </w:p>
        </w:tc>
        <w:tc>
          <w:tcPr>
            <w:tcW w:w="1648" w:type="dxa"/>
          </w:tcPr>
          <w:p w14:paraId="3AD8BFA3" w14:textId="77777777" w:rsidR="000C19B7" w:rsidRDefault="000C19B7" w:rsidP="000C19B7">
            <w:pPr>
              <w:jc w:val="center"/>
            </w:pPr>
            <w:r>
              <w:t xml:space="preserve">Reference </w:t>
            </w:r>
          </w:p>
        </w:tc>
        <w:tc>
          <w:tcPr>
            <w:tcW w:w="1942" w:type="dxa"/>
          </w:tcPr>
          <w:p w14:paraId="283CA902" w14:textId="77777777" w:rsidR="000C19B7" w:rsidRDefault="000C19B7" w:rsidP="000C19B7">
            <w:pPr>
              <w:jc w:val="center"/>
            </w:pPr>
            <w:r>
              <w:t>Significance</w:t>
            </w:r>
            <w:r w:rsidRPr="00DE3B7F">
              <w:t>†</w:t>
            </w:r>
            <w:r>
              <w:t xml:space="preserve"> </w:t>
            </w:r>
          </w:p>
        </w:tc>
      </w:tr>
      <w:tr w:rsidR="000C19B7" w14:paraId="6776F60F" w14:textId="77777777" w:rsidTr="000C19B7">
        <w:trPr>
          <w:trHeight w:val="882"/>
        </w:trPr>
        <w:tc>
          <w:tcPr>
            <w:tcW w:w="972" w:type="dxa"/>
            <w:vAlign w:val="center"/>
          </w:tcPr>
          <w:p w14:paraId="559A9D65" w14:textId="77777777" w:rsidR="000C19B7" w:rsidRPr="000C19B7" w:rsidRDefault="000C19B7" w:rsidP="000C19B7">
            <w:pPr>
              <w:jc w:val="center"/>
              <w:rPr>
                <w:rFonts w:ascii="Cambria" w:hAnsi="Cambria"/>
                <w:i/>
                <w:iCs/>
                <w:sz w:val="22"/>
                <w:szCs w:val="22"/>
              </w:rPr>
            </w:pPr>
            <w:proofErr w:type="spellStart"/>
            <w:r w:rsidRPr="000C19B7">
              <w:rPr>
                <w:rFonts w:ascii="Cambria" w:hAnsi="Cambria"/>
                <w:i/>
                <w:iCs/>
                <w:sz w:val="22"/>
                <w:szCs w:val="22"/>
              </w:rPr>
              <w:t>gce</w:t>
            </w:r>
            <w:proofErr w:type="spellEnd"/>
          </w:p>
        </w:tc>
        <w:tc>
          <w:tcPr>
            <w:tcW w:w="1402" w:type="dxa"/>
            <w:vAlign w:val="center"/>
          </w:tcPr>
          <w:p w14:paraId="27951B09" w14:textId="77777777" w:rsidR="000C19B7" w:rsidRPr="000C19B7" w:rsidRDefault="000C19B7" w:rsidP="000C19B7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0C19B7">
              <w:rPr>
                <w:rFonts w:ascii="Cambria" w:hAnsi="Cambria" w:cs="Arial"/>
                <w:sz w:val="22"/>
                <w:szCs w:val="22"/>
              </w:rPr>
              <w:t>~X:14.26</w:t>
            </w:r>
          </w:p>
        </w:tc>
        <w:tc>
          <w:tcPr>
            <w:tcW w:w="1888" w:type="dxa"/>
            <w:vAlign w:val="center"/>
          </w:tcPr>
          <w:p w14:paraId="1E3AFEF7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/>
              </w:rPr>
              <w:t>Larval resistance</w:t>
            </w:r>
          </w:p>
        </w:tc>
        <w:tc>
          <w:tcPr>
            <w:tcW w:w="1322" w:type="dxa"/>
            <w:vAlign w:val="center"/>
          </w:tcPr>
          <w:p w14:paraId="58540346" w14:textId="2F78D6A8" w:rsidR="000C19B7" w:rsidRPr="000C19B7" w:rsidRDefault="003936AA" w:rsidP="000C19B7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~25%</w:t>
            </w:r>
          </w:p>
        </w:tc>
        <w:tc>
          <w:tcPr>
            <w:tcW w:w="1648" w:type="dxa"/>
            <w:vAlign w:val="center"/>
          </w:tcPr>
          <w:p w14:paraId="2A0E8174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/>
              </w:rPr>
              <w:t>Huang and Erezyilmaz, 2015</w:t>
            </w:r>
          </w:p>
        </w:tc>
        <w:tc>
          <w:tcPr>
            <w:tcW w:w="1942" w:type="dxa"/>
            <w:vAlign w:val="center"/>
          </w:tcPr>
          <w:p w14:paraId="0988FDA2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/>
                <w:i/>
                <w:iCs/>
              </w:rPr>
              <w:t>p</w:t>
            </w:r>
            <w:r w:rsidRPr="000C19B7">
              <w:rPr>
                <w:rFonts w:ascii="Cambria" w:hAnsi="Cambria"/>
              </w:rPr>
              <w:t xml:space="preserve"> = 0.22</w:t>
            </w:r>
          </w:p>
        </w:tc>
      </w:tr>
      <w:tr w:rsidR="000C19B7" w14:paraId="72269E12" w14:textId="77777777" w:rsidTr="000C19B7">
        <w:trPr>
          <w:trHeight w:val="285"/>
        </w:trPr>
        <w:tc>
          <w:tcPr>
            <w:tcW w:w="972" w:type="dxa"/>
            <w:vAlign w:val="center"/>
          </w:tcPr>
          <w:p w14:paraId="59CA7EDB" w14:textId="77777777" w:rsidR="000C19B7" w:rsidRPr="000C19B7" w:rsidRDefault="000C19B7" w:rsidP="000C19B7">
            <w:pPr>
              <w:jc w:val="center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0C19B7">
              <w:rPr>
                <w:rFonts w:ascii="Cambria" w:hAnsi="Cambria"/>
                <w:i/>
                <w:iCs/>
                <w:sz w:val="22"/>
                <w:szCs w:val="22"/>
              </w:rPr>
              <w:t>Obp57</w:t>
            </w:r>
          </w:p>
        </w:tc>
        <w:tc>
          <w:tcPr>
            <w:tcW w:w="1402" w:type="dxa"/>
            <w:vAlign w:val="center"/>
          </w:tcPr>
          <w:p w14:paraId="4871767E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 w:cs="Arial"/>
                <w:sz w:val="22"/>
                <w:szCs w:val="22"/>
              </w:rPr>
              <w:t>~2R:16.92</w:t>
            </w:r>
          </w:p>
        </w:tc>
        <w:tc>
          <w:tcPr>
            <w:tcW w:w="1888" w:type="dxa"/>
            <w:vAlign w:val="center"/>
          </w:tcPr>
          <w:p w14:paraId="43DB9EEF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/>
              </w:rPr>
              <w:t>Attraction to Hexanoic Acid</w:t>
            </w:r>
          </w:p>
        </w:tc>
        <w:tc>
          <w:tcPr>
            <w:tcW w:w="1322" w:type="dxa"/>
            <w:vAlign w:val="center"/>
          </w:tcPr>
          <w:p w14:paraId="5B6D0486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/>
              </w:rPr>
              <w:t>~42.5%</w:t>
            </w:r>
          </w:p>
        </w:tc>
        <w:tc>
          <w:tcPr>
            <w:tcW w:w="1648" w:type="dxa"/>
            <w:vAlign w:val="center"/>
          </w:tcPr>
          <w:p w14:paraId="00537062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/>
              </w:rPr>
              <w:t>Matsuo et al, 2007</w:t>
            </w:r>
          </w:p>
        </w:tc>
        <w:tc>
          <w:tcPr>
            <w:tcW w:w="1942" w:type="dxa"/>
            <w:vAlign w:val="center"/>
          </w:tcPr>
          <w:p w14:paraId="1C0B2211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/>
                <w:i/>
                <w:iCs/>
              </w:rPr>
              <w:t>p</w:t>
            </w:r>
            <w:r w:rsidRPr="000C19B7">
              <w:rPr>
                <w:rFonts w:ascii="Cambria" w:hAnsi="Cambria"/>
              </w:rPr>
              <w:t xml:space="preserve"> =0.017</w:t>
            </w:r>
          </w:p>
        </w:tc>
      </w:tr>
      <w:tr w:rsidR="000C19B7" w14:paraId="2ED189B2" w14:textId="77777777" w:rsidTr="000C19B7">
        <w:trPr>
          <w:trHeight w:val="882"/>
        </w:trPr>
        <w:tc>
          <w:tcPr>
            <w:tcW w:w="972" w:type="dxa"/>
            <w:vAlign w:val="center"/>
          </w:tcPr>
          <w:p w14:paraId="4E8B1418" w14:textId="77777777" w:rsidR="000C19B7" w:rsidRPr="000C19B7" w:rsidRDefault="000C19B7" w:rsidP="000C19B7">
            <w:pPr>
              <w:jc w:val="center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0C19B7">
              <w:rPr>
                <w:rFonts w:ascii="Cambria" w:hAnsi="Cambria"/>
                <w:i/>
                <w:iCs/>
                <w:sz w:val="22"/>
                <w:szCs w:val="22"/>
              </w:rPr>
              <w:t>Osiris</w:t>
            </w:r>
          </w:p>
        </w:tc>
        <w:tc>
          <w:tcPr>
            <w:tcW w:w="1402" w:type="dxa"/>
            <w:vAlign w:val="center"/>
          </w:tcPr>
          <w:p w14:paraId="488ECACA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 w:cs="Arial"/>
                <w:sz w:val="22"/>
                <w:szCs w:val="22"/>
              </w:rPr>
              <w:t>~3R:</w:t>
            </w:r>
            <w:r w:rsidRPr="000C19B7">
              <w:rPr>
                <w:rFonts w:ascii="Cambria" w:eastAsia="Times New Roman" w:hAnsi="Cambria" w:cs="Arial"/>
                <w:color w:val="000000"/>
                <w:sz w:val="22"/>
                <w:szCs w:val="22"/>
              </w:rPr>
              <w:t>1.92</w:t>
            </w:r>
          </w:p>
        </w:tc>
        <w:tc>
          <w:tcPr>
            <w:tcW w:w="1888" w:type="dxa"/>
            <w:vAlign w:val="center"/>
          </w:tcPr>
          <w:p w14:paraId="29067AB4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/>
              </w:rPr>
              <w:t>Adult resistance</w:t>
            </w:r>
          </w:p>
        </w:tc>
        <w:tc>
          <w:tcPr>
            <w:tcW w:w="1322" w:type="dxa"/>
            <w:vAlign w:val="center"/>
          </w:tcPr>
          <w:p w14:paraId="789E24A1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/>
              </w:rPr>
              <w:t>~39.5 %</w:t>
            </w:r>
          </w:p>
          <w:p w14:paraId="65F01B23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/>
              </w:rPr>
              <w:t>(estimated from data)</w:t>
            </w:r>
          </w:p>
        </w:tc>
        <w:tc>
          <w:tcPr>
            <w:tcW w:w="1648" w:type="dxa"/>
            <w:vAlign w:val="center"/>
          </w:tcPr>
          <w:p w14:paraId="474E0839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proofErr w:type="spellStart"/>
            <w:r w:rsidRPr="000C19B7">
              <w:rPr>
                <w:rFonts w:ascii="Cambria" w:hAnsi="Cambria"/>
              </w:rPr>
              <w:t>Hungate</w:t>
            </w:r>
            <w:proofErr w:type="spellEnd"/>
            <w:r w:rsidRPr="000C19B7">
              <w:rPr>
                <w:rFonts w:ascii="Cambria" w:hAnsi="Cambria"/>
              </w:rPr>
              <w:t xml:space="preserve"> et al, 2013</w:t>
            </w:r>
          </w:p>
        </w:tc>
        <w:tc>
          <w:tcPr>
            <w:tcW w:w="1942" w:type="dxa"/>
            <w:vAlign w:val="center"/>
          </w:tcPr>
          <w:p w14:paraId="179E4BE0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/>
                <w:i/>
                <w:iCs/>
              </w:rPr>
              <w:t>p</w:t>
            </w:r>
            <w:r w:rsidRPr="000C19B7">
              <w:rPr>
                <w:rFonts w:ascii="Cambria" w:hAnsi="Cambria"/>
              </w:rPr>
              <w:t xml:space="preserve"> = 9.06 x10</w:t>
            </w:r>
            <w:r w:rsidRPr="000C19B7">
              <w:rPr>
                <w:rFonts w:ascii="Cambria" w:hAnsi="Cambria"/>
                <w:vertAlign w:val="superscript"/>
              </w:rPr>
              <w:t>-18</w:t>
            </w:r>
          </w:p>
        </w:tc>
      </w:tr>
      <w:tr w:rsidR="000C19B7" w14:paraId="4D0807BA" w14:textId="77777777" w:rsidTr="000C19B7">
        <w:trPr>
          <w:trHeight w:val="882"/>
        </w:trPr>
        <w:tc>
          <w:tcPr>
            <w:tcW w:w="972" w:type="dxa"/>
            <w:vAlign w:val="center"/>
          </w:tcPr>
          <w:p w14:paraId="379C49C8" w14:textId="77777777" w:rsidR="000C19B7" w:rsidRPr="000C19B7" w:rsidRDefault="000C19B7" w:rsidP="000C19B7">
            <w:pPr>
              <w:jc w:val="center"/>
              <w:rPr>
                <w:rFonts w:ascii="Cambria" w:hAnsi="Cambria"/>
                <w:i/>
                <w:iCs/>
                <w:sz w:val="22"/>
                <w:szCs w:val="22"/>
              </w:rPr>
            </w:pPr>
            <w:proofErr w:type="spellStart"/>
            <w:r w:rsidRPr="000C19B7">
              <w:rPr>
                <w:rFonts w:ascii="Cambria" w:hAnsi="Cambria"/>
                <w:i/>
                <w:iCs/>
                <w:sz w:val="22"/>
                <w:szCs w:val="22"/>
              </w:rPr>
              <w:t>Twdl</w:t>
            </w:r>
            <w:proofErr w:type="spellEnd"/>
          </w:p>
        </w:tc>
        <w:tc>
          <w:tcPr>
            <w:tcW w:w="1402" w:type="dxa"/>
            <w:vAlign w:val="center"/>
          </w:tcPr>
          <w:p w14:paraId="01C74884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 w:cs="Arial"/>
                <w:sz w:val="22"/>
                <w:szCs w:val="22"/>
              </w:rPr>
              <w:t>~3R:22.08</w:t>
            </w:r>
          </w:p>
        </w:tc>
        <w:tc>
          <w:tcPr>
            <w:tcW w:w="1888" w:type="dxa"/>
            <w:vAlign w:val="center"/>
          </w:tcPr>
          <w:p w14:paraId="55358EAC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/>
              </w:rPr>
              <w:t>Larval resistance</w:t>
            </w:r>
          </w:p>
        </w:tc>
        <w:tc>
          <w:tcPr>
            <w:tcW w:w="1322" w:type="dxa"/>
            <w:vAlign w:val="center"/>
          </w:tcPr>
          <w:p w14:paraId="02AF4876" w14:textId="7A75A33F" w:rsidR="000C19B7" w:rsidRPr="000C19B7" w:rsidRDefault="003936AA" w:rsidP="000C19B7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~42%</w:t>
            </w:r>
          </w:p>
        </w:tc>
        <w:tc>
          <w:tcPr>
            <w:tcW w:w="1648" w:type="dxa"/>
            <w:vAlign w:val="center"/>
          </w:tcPr>
          <w:p w14:paraId="197B9788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/>
              </w:rPr>
              <w:t>Huang and Erezyilmaz, 2015</w:t>
            </w:r>
          </w:p>
        </w:tc>
        <w:tc>
          <w:tcPr>
            <w:tcW w:w="1942" w:type="dxa"/>
            <w:vAlign w:val="center"/>
          </w:tcPr>
          <w:p w14:paraId="35710CE2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/>
                <w:i/>
                <w:iCs/>
              </w:rPr>
              <w:t>p</w:t>
            </w:r>
            <w:r w:rsidRPr="000C19B7">
              <w:rPr>
                <w:rFonts w:ascii="Cambria" w:hAnsi="Cambria"/>
              </w:rPr>
              <w:t xml:space="preserve"> = 2.15 x 10</w:t>
            </w:r>
            <w:r w:rsidRPr="000C19B7">
              <w:rPr>
                <w:rFonts w:ascii="Cambria" w:hAnsi="Cambria"/>
                <w:vertAlign w:val="superscript"/>
              </w:rPr>
              <w:t>-14</w:t>
            </w:r>
          </w:p>
        </w:tc>
      </w:tr>
      <w:tr w:rsidR="000C19B7" w14:paraId="704614B5" w14:textId="77777777" w:rsidTr="000C19B7">
        <w:trPr>
          <w:trHeight w:val="882"/>
        </w:trPr>
        <w:tc>
          <w:tcPr>
            <w:tcW w:w="972" w:type="dxa"/>
            <w:vAlign w:val="center"/>
          </w:tcPr>
          <w:p w14:paraId="481D4B4D" w14:textId="77777777" w:rsidR="000C19B7" w:rsidRPr="000C19B7" w:rsidRDefault="000C19B7" w:rsidP="000C19B7">
            <w:pPr>
              <w:jc w:val="center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0C19B7">
              <w:rPr>
                <w:rFonts w:ascii="Cambria" w:hAnsi="Cambria"/>
                <w:i/>
                <w:iCs/>
                <w:sz w:val="22"/>
                <w:szCs w:val="22"/>
              </w:rPr>
              <w:t>3L-sec</w:t>
            </w:r>
          </w:p>
        </w:tc>
        <w:tc>
          <w:tcPr>
            <w:tcW w:w="1402" w:type="dxa"/>
            <w:vAlign w:val="center"/>
          </w:tcPr>
          <w:p w14:paraId="26DEB5EC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 w:cs="Arial"/>
                <w:sz w:val="22"/>
                <w:szCs w:val="22"/>
              </w:rPr>
              <w:t>~3L:15.68</w:t>
            </w:r>
          </w:p>
        </w:tc>
        <w:tc>
          <w:tcPr>
            <w:tcW w:w="1888" w:type="dxa"/>
            <w:vAlign w:val="center"/>
          </w:tcPr>
          <w:p w14:paraId="48F5D642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/>
              </w:rPr>
              <w:t>Larval resistance</w:t>
            </w:r>
          </w:p>
        </w:tc>
        <w:tc>
          <w:tcPr>
            <w:tcW w:w="1322" w:type="dxa"/>
            <w:vAlign w:val="center"/>
          </w:tcPr>
          <w:p w14:paraId="1A296C4F" w14:textId="0E048FD1" w:rsidR="000C19B7" w:rsidRPr="000C19B7" w:rsidRDefault="003936AA" w:rsidP="000C19B7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~48%</w:t>
            </w:r>
          </w:p>
        </w:tc>
        <w:tc>
          <w:tcPr>
            <w:tcW w:w="1648" w:type="dxa"/>
            <w:vAlign w:val="center"/>
          </w:tcPr>
          <w:p w14:paraId="422CCD5E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/>
              </w:rPr>
              <w:t>Huang and Erezyilmaz, 2015</w:t>
            </w:r>
          </w:p>
        </w:tc>
        <w:tc>
          <w:tcPr>
            <w:tcW w:w="1942" w:type="dxa"/>
            <w:vAlign w:val="center"/>
          </w:tcPr>
          <w:p w14:paraId="4BCF719B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/>
                <w:i/>
                <w:iCs/>
              </w:rPr>
              <w:t>p</w:t>
            </w:r>
            <w:r w:rsidRPr="000C19B7">
              <w:rPr>
                <w:rFonts w:ascii="Cambria" w:hAnsi="Cambria"/>
              </w:rPr>
              <w:t xml:space="preserve"> = </w:t>
            </w:r>
            <w:r w:rsidRPr="000C19B7">
              <w:rPr>
                <w:rFonts w:ascii="Cambria" w:hAnsi="Cambria" w:cs="Arial"/>
                <w:sz w:val="22"/>
                <w:szCs w:val="22"/>
              </w:rPr>
              <w:t>2.28 x 10</w:t>
            </w:r>
            <w:r w:rsidRPr="000C19B7">
              <w:rPr>
                <w:rFonts w:ascii="Cambria" w:hAnsi="Cambria" w:cs="Arial"/>
                <w:sz w:val="22"/>
                <w:szCs w:val="22"/>
                <w:vertAlign w:val="superscript"/>
              </w:rPr>
              <w:t>-12</w:t>
            </w:r>
          </w:p>
        </w:tc>
      </w:tr>
      <w:tr w:rsidR="000C19B7" w14:paraId="30C17E4A" w14:textId="77777777" w:rsidTr="000C19B7">
        <w:trPr>
          <w:trHeight w:val="882"/>
        </w:trPr>
        <w:tc>
          <w:tcPr>
            <w:tcW w:w="972" w:type="dxa"/>
            <w:vAlign w:val="center"/>
          </w:tcPr>
          <w:p w14:paraId="4B9555F2" w14:textId="77777777" w:rsidR="000C19B7" w:rsidRPr="000C19B7" w:rsidRDefault="000C19B7" w:rsidP="000C19B7">
            <w:pPr>
              <w:jc w:val="center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0C19B7">
              <w:rPr>
                <w:rFonts w:ascii="Cambria" w:hAnsi="Cambria"/>
                <w:i/>
                <w:iCs/>
                <w:sz w:val="22"/>
                <w:szCs w:val="22"/>
              </w:rPr>
              <w:t>3R-sec</w:t>
            </w:r>
          </w:p>
        </w:tc>
        <w:tc>
          <w:tcPr>
            <w:tcW w:w="1402" w:type="dxa"/>
            <w:vAlign w:val="center"/>
          </w:tcPr>
          <w:p w14:paraId="3B0EF7DC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 w:cs="Arial"/>
                <w:sz w:val="22"/>
                <w:szCs w:val="22"/>
              </w:rPr>
              <w:t>~3R:15.12</w:t>
            </w:r>
          </w:p>
        </w:tc>
        <w:tc>
          <w:tcPr>
            <w:tcW w:w="1888" w:type="dxa"/>
            <w:vAlign w:val="center"/>
          </w:tcPr>
          <w:p w14:paraId="48478FAF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/>
              </w:rPr>
              <w:t>Larval resistance</w:t>
            </w:r>
          </w:p>
        </w:tc>
        <w:tc>
          <w:tcPr>
            <w:tcW w:w="1322" w:type="dxa"/>
            <w:vAlign w:val="center"/>
          </w:tcPr>
          <w:p w14:paraId="7C600177" w14:textId="203C643F" w:rsidR="000C19B7" w:rsidRPr="000C19B7" w:rsidRDefault="003936AA" w:rsidP="000C19B7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~42%</w:t>
            </w:r>
          </w:p>
        </w:tc>
        <w:tc>
          <w:tcPr>
            <w:tcW w:w="1648" w:type="dxa"/>
            <w:vAlign w:val="center"/>
          </w:tcPr>
          <w:p w14:paraId="0A252AB8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/>
              </w:rPr>
              <w:t>Huang and Erezyilmaz, 2015</w:t>
            </w:r>
          </w:p>
        </w:tc>
        <w:tc>
          <w:tcPr>
            <w:tcW w:w="1942" w:type="dxa"/>
            <w:vAlign w:val="center"/>
          </w:tcPr>
          <w:p w14:paraId="4EE48B51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/>
                <w:i/>
                <w:iCs/>
              </w:rPr>
              <w:t>p</w:t>
            </w:r>
            <w:r w:rsidRPr="000C19B7">
              <w:rPr>
                <w:rFonts w:ascii="Cambria" w:hAnsi="Cambria"/>
              </w:rPr>
              <w:t xml:space="preserve"> = </w:t>
            </w:r>
            <w:r w:rsidRPr="000C19B7">
              <w:rPr>
                <w:rFonts w:ascii="Cambria" w:hAnsi="Cambria" w:cs="Arial"/>
                <w:sz w:val="22"/>
                <w:szCs w:val="22"/>
              </w:rPr>
              <w:t>9.39 x10</w:t>
            </w:r>
            <w:r w:rsidRPr="000C19B7">
              <w:rPr>
                <w:rFonts w:ascii="Cambria" w:hAnsi="Cambria" w:cs="Arial"/>
                <w:sz w:val="22"/>
                <w:szCs w:val="22"/>
                <w:vertAlign w:val="superscript"/>
              </w:rPr>
              <w:t>-14</w:t>
            </w:r>
          </w:p>
        </w:tc>
      </w:tr>
      <w:tr w:rsidR="000C19B7" w14:paraId="5A0387BB" w14:textId="77777777" w:rsidTr="000C19B7">
        <w:trPr>
          <w:trHeight w:val="519"/>
        </w:trPr>
        <w:tc>
          <w:tcPr>
            <w:tcW w:w="972" w:type="dxa"/>
            <w:vAlign w:val="center"/>
          </w:tcPr>
          <w:p w14:paraId="0A16AAE3" w14:textId="77777777" w:rsidR="000C19B7" w:rsidRPr="000C19B7" w:rsidRDefault="000C19B7" w:rsidP="000C19B7">
            <w:pPr>
              <w:jc w:val="center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0C19B7">
              <w:rPr>
                <w:rFonts w:ascii="Cambria" w:hAnsi="Cambria"/>
                <w:i/>
                <w:iCs/>
                <w:sz w:val="22"/>
                <w:szCs w:val="22"/>
              </w:rPr>
              <w:t>Male 3r-1</w:t>
            </w:r>
          </w:p>
        </w:tc>
        <w:tc>
          <w:tcPr>
            <w:tcW w:w="1402" w:type="dxa"/>
            <w:vAlign w:val="center"/>
          </w:tcPr>
          <w:p w14:paraId="22A67D51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 w:cs="Arial"/>
                <w:sz w:val="22"/>
                <w:szCs w:val="22"/>
              </w:rPr>
              <w:t>~ 3R: 9.2-10.1</w:t>
            </w:r>
          </w:p>
        </w:tc>
        <w:tc>
          <w:tcPr>
            <w:tcW w:w="1888" w:type="dxa"/>
            <w:vAlign w:val="center"/>
          </w:tcPr>
          <w:p w14:paraId="68223E67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/>
              </w:rPr>
              <w:t>Courtship vigor</w:t>
            </w:r>
          </w:p>
        </w:tc>
        <w:tc>
          <w:tcPr>
            <w:tcW w:w="1322" w:type="dxa"/>
            <w:vAlign w:val="center"/>
          </w:tcPr>
          <w:p w14:paraId="04C0D52E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/>
              </w:rPr>
              <w:t>Region confers ~44.2%</w:t>
            </w:r>
          </w:p>
        </w:tc>
        <w:tc>
          <w:tcPr>
            <w:tcW w:w="1648" w:type="dxa"/>
            <w:vAlign w:val="center"/>
          </w:tcPr>
          <w:p w14:paraId="74BEFE6E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 w:cs="Arial"/>
                <w:noProof/>
                <w:sz w:val="22"/>
                <w:szCs w:val="22"/>
              </w:rPr>
              <w:t>Shahandeh and Turner, 2020</w:t>
            </w:r>
          </w:p>
        </w:tc>
        <w:tc>
          <w:tcPr>
            <w:tcW w:w="1942" w:type="dxa"/>
            <w:vAlign w:val="center"/>
          </w:tcPr>
          <w:p w14:paraId="5E33AF0E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/>
                <w:i/>
                <w:iCs/>
              </w:rPr>
              <w:t>p</w:t>
            </w:r>
            <w:r w:rsidRPr="000C19B7">
              <w:rPr>
                <w:rFonts w:ascii="Cambria" w:hAnsi="Cambria"/>
              </w:rPr>
              <w:t xml:space="preserve"> = </w:t>
            </w:r>
            <w:r w:rsidRPr="000C19B7">
              <w:rPr>
                <w:rFonts w:ascii="Cambria" w:hAnsi="Cambria" w:cs="Calibri"/>
                <w:color w:val="000000"/>
              </w:rPr>
              <w:t>2.25 x 10</w:t>
            </w:r>
            <w:r w:rsidRPr="000C19B7">
              <w:rPr>
                <w:rFonts w:ascii="Cambria" w:hAnsi="Cambria" w:cs="Calibri"/>
                <w:color w:val="000000"/>
                <w:vertAlign w:val="superscript"/>
              </w:rPr>
              <w:t>-12</w:t>
            </w:r>
          </w:p>
          <w:p w14:paraId="7FCF97E7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</w:p>
        </w:tc>
      </w:tr>
      <w:tr w:rsidR="000C19B7" w14:paraId="25766D1D" w14:textId="77777777" w:rsidTr="000C19B7">
        <w:trPr>
          <w:trHeight w:val="285"/>
        </w:trPr>
        <w:tc>
          <w:tcPr>
            <w:tcW w:w="972" w:type="dxa"/>
            <w:vAlign w:val="center"/>
          </w:tcPr>
          <w:p w14:paraId="547AF2DD" w14:textId="77777777" w:rsidR="000C19B7" w:rsidRPr="000C19B7" w:rsidRDefault="000C19B7" w:rsidP="000C19B7">
            <w:pPr>
              <w:jc w:val="center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0C19B7">
              <w:rPr>
                <w:rFonts w:ascii="Cambria" w:hAnsi="Cambria"/>
                <w:i/>
                <w:iCs/>
                <w:sz w:val="22"/>
                <w:szCs w:val="22"/>
              </w:rPr>
              <w:t>Male</w:t>
            </w:r>
          </w:p>
          <w:p w14:paraId="0BC3F1A3" w14:textId="77777777" w:rsidR="000C19B7" w:rsidRPr="000C19B7" w:rsidRDefault="000C19B7" w:rsidP="000C19B7">
            <w:pPr>
              <w:jc w:val="center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0C19B7">
              <w:rPr>
                <w:rFonts w:ascii="Cambria" w:hAnsi="Cambria"/>
                <w:i/>
                <w:iCs/>
                <w:sz w:val="22"/>
                <w:szCs w:val="22"/>
              </w:rPr>
              <w:t>3R-2</w:t>
            </w:r>
          </w:p>
        </w:tc>
        <w:tc>
          <w:tcPr>
            <w:tcW w:w="1402" w:type="dxa"/>
            <w:vAlign w:val="center"/>
          </w:tcPr>
          <w:p w14:paraId="7719BC86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 w:cs="Arial"/>
                <w:sz w:val="22"/>
                <w:szCs w:val="22"/>
              </w:rPr>
              <w:t>~ 3R:11-13.9</w:t>
            </w:r>
          </w:p>
        </w:tc>
        <w:tc>
          <w:tcPr>
            <w:tcW w:w="1888" w:type="dxa"/>
            <w:vAlign w:val="center"/>
          </w:tcPr>
          <w:p w14:paraId="3162575E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/>
              </w:rPr>
              <w:t>Courtship vigor</w:t>
            </w:r>
          </w:p>
        </w:tc>
        <w:tc>
          <w:tcPr>
            <w:tcW w:w="1322" w:type="dxa"/>
            <w:vAlign w:val="center"/>
          </w:tcPr>
          <w:p w14:paraId="24BE8033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/>
              </w:rPr>
              <w:t>Region confers ~44.2%</w:t>
            </w:r>
          </w:p>
        </w:tc>
        <w:tc>
          <w:tcPr>
            <w:tcW w:w="1648" w:type="dxa"/>
            <w:vAlign w:val="center"/>
          </w:tcPr>
          <w:p w14:paraId="3B48F035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 w:cs="Arial"/>
                <w:noProof/>
                <w:sz w:val="22"/>
                <w:szCs w:val="22"/>
              </w:rPr>
              <w:t>Shahandeh and Turner, 2020</w:t>
            </w:r>
          </w:p>
        </w:tc>
        <w:tc>
          <w:tcPr>
            <w:tcW w:w="1942" w:type="dxa"/>
            <w:vAlign w:val="center"/>
          </w:tcPr>
          <w:p w14:paraId="7833E642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/>
                <w:i/>
                <w:iCs/>
              </w:rPr>
              <w:t>p</w:t>
            </w:r>
            <w:r w:rsidRPr="000C19B7">
              <w:rPr>
                <w:rFonts w:ascii="Cambria" w:hAnsi="Cambria"/>
              </w:rPr>
              <w:t xml:space="preserve"> = </w:t>
            </w:r>
            <w:r w:rsidRPr="000C19B7">
              <w:rPr>
                <w:rFonts w:ascii="Cambria" w:hAnsi="Cambria" w:cs="Calibri"/>
                <w:color w:val="000000"/>
              </w:rPr>
              <w:t>2.64 x 10</w:t>
            </w:r>
            <w:r w:rsidRPr="000C19B7">
              <w:rPr>
                <w:rFonts w:ascii="Cambria" w:hAnsi="Cambria" w:cs="Calibri"/>
                <w:color w:val="000000"/>
                <w:vertAlign w:val="superscript"/>
              </w:rPr>
              <w:t>-12</w:t>
            </w:r>
          </w:p>
          <w:p w14:paraId="7A157D57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</w:p>
        </w:tc>
      </w:tr>
      <w:tr w:rsidR="000C19B7" w14:paraId="78DA14E5" w14:textId="77777777" w:rsidTr="000C19B7">
        <w:trPr>
          <w:trHeight w:val="311"/>
        </w:trPr>
        <w:tc>
          <w:tcPr>
            <w:tcW w:w="972" w:type="dxa"/>
            <w:vAlign w:val="center"/>
          </w:tcPr>
          <w:p w14:paraId="4B44CAC6" w14:textId="77777777" w:rsidR="000C19B7" w:rsidRPr="000C19B7" w:rsidRDefault="000C19B7" w:rsidP="000C19B7">
            <w:pPr>
              <w:jc w:val="center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0C19B7">
              <w:rPr>
                <w:rFonts w:ascii="Cambria" w:hAnsi="Cambria"/>
                <w:i/>
                <w:iCs/>
                <w:sz w:val="22"/>
                <w:szCs w:val="22"/>
              </w:rPr>
              <w:t>Male 3R-3</w:t>
            </w:r>
          </w:p>
        </w:tc>
        <w:tc>
          <w:tcPr>
            <w:tcW w:w="1402" w:type="dxa"/>
            <w:vAlign w:val="center"/>
          </w:tcPr>
          <w:p w14:paraId="2923F495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 w:cs="Arial"/>
                <w:sz w:val="22"/>
                <w:szCs w:val="22"/>
              </w:rPr>
              <w:t>~ 3R:20.0</w:t>
            </w:r>
          </w:p>
        </w:tc>
        <w:tc>
          <w:tcPr>
            <w:tcW w:w="1888" w:type="dxa"/>
            <w:vAlign w:val="center"/>
          </w:tcPr>
          <w:p w14:paraId="636ACC1F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/>
              </w:rPr>
              <w:t>Courtship vigor</w:t>
            </w:r>
          </w:p>
        </w:tc>
        <w:tc>
          <w:tcPr>
            <w:tcW w:w="1322" w:type="dxa"/>
            <w:vAlign w:val="center"/>
          </w:tcPr>
          <w:p w14:paraId="1325B2DB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/>
              </w:rPr>
              <w:t>Region confers ~44.2%</w:t>
            </w:r>
          </w:p>
        </w:tc>
        <w:tc>
          <w:tcPr>
            <w:tcW w:w="1648" w:type="dxa"/>
            <w:vAlign w:val="center"/>
          </w:tcPr>
          <w:p w14:paraId="284B3D1F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 w:cs="Arial"/>
                <w:noProof/>
                <w:sz w:val="22"/>
                <w:szCs w:val="22"/>
              </w:rPr>
              <w:t>Shahandeh and Turner, 2020</w:t>
            </w:r>
          </w:p>
        </w:tc>
        <w:tc>
          <w:tcPr>
            <w:tcW w:w="1942" w:type="dxa"/>
            <w:vAlign w:val="center"/>
          </w:tcPr>
          <w:p w14:paraId="6974A5A0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  <w:r w:rsidRPr="000C19B7">
              <w:rPr>
                <w:rFonts w:ascii="Cambria" w:hAnsi="Cambria"/>
                <w:i/>
                <w:iCs/>
              </w:rPr>
              <w:t>p</w:t>
            </w:r>
            <w:r w:rsidRPr="000C19B7">
              <w:rPr>
                <w:rFonts w:ascii="Cambria" w:hAnsi="Cambria"/>
              </w:rPr>
              <w:t xml:space="preserve"> </w:t>
            </w:r>
            <w:proofErr w:type="gramStart"/>
            <w:r w:rsidRPr="000C19B7">
              <w:rPr>
                <w:rFonts w:ascii="Cambria" w:hAnsi="Cambria"/>
              </w:rPr>
              <w:t xml:space="preserve">=  </w:t>
            </w:r>
            <w:r w:rsidRPr="000C19B7">
              <w:rPr>
                <w:rFonts w:ascii="Cambria" w:hAnsi="Cambria" w:cs="Calibri"/>
                <w:color w:val="000000"/>
              </w:rPr>
              <w:t>5.75</w:t>
            </w:r>
            <w:proofErr w:type="gramEnd"/>
            <w:r w:rsidRPr="000C19B7">
              <w:rPr>
                <w:rFonts w:ascii="Cambria" w:hAnsi="Cambria" w:cs="Calibri"/>
                <w:color w:val="000000"/>
              </w:rPr>
              <w:t xml:space="preserve"> x 10-</w:t>
            </w:r>
            <w:r w:rsidRPr="000C19B7">
              <w:rPr>
                <w:rFonts w:ascii="Cambria" w:hAnsi="Cambria" w:cs="Calibri"/>
                <w:color w:val="000000"/>
                <w:vertAlign w:val="superscript"/>
              </w:rPr>
              <w:t>12</w:t>
            </w:r>
          </w:p>
          <w:p w14:paraId="3B02E363" w14:textId="77777777" w:rsidR="000C19B7" w:rsidRPr="000C19B7" w:rsidRDefault="000C19B7" w:rsidP="000C19B7">
            <w:pPr>
              <w:jc w:val="center"/>
              <w:rPr>
                <w:rFonts w:ascii="Cambria" w:hAnsi="Cambria"/>
              </w:rPr>
            </w:pPr>
          </w:p>
        </w:tc>
      </w:tr>
    </w:tbl>
    <w:p w14:paraId="0D5EAB9D" w14:textId="7AF231C2" w:rsidR="000C19B7" w:rsidRDefault="000C19B7" w:rsidP="000C19B7">
      <w:r w:rsidRPr="00DE3B7F">
        <w:t>†</w:t>
      </w:r>
      <w:r>
        <w:t>2x2 Fishers Exact Test, two-tailed</w:t>
      </w:r>
    </w:p>
    <w:sectPr w:rsidR="000C19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623"/>
    <w:rsid w:val="000C19B7"/>
    <w:rsid w:val="000E764B"/>
    <w:rsid w:val="00116F22"/>
    <w:rsid w:val="0015574E"/>
    <w:rsid w:val="001F00A2"/>
    <w:rsid w:val="0024512D"/>
    <w:rsid w:val="002C3623"/>
    <w:rsid w:val="00361BF4"/>
    <w:rsid w:val="00387560"/>
    <w:rsid w:val="003936AA"/>
    <w:rsid w:val="00495A16"/>
    <w:rsid w:val="0059273C"/>
    <w:rsid w:val="006C32B3"/>
    <w:rsid w:val="006E5619"/>
    <w:rsid w:val="00703087"/>
    <w:rsid w:val="007947A3"/>
    <w:rsid w:val="007D3157"/>
    <w:rsid w:val="007E578A"/>
    <w:rsid w:val="008B1001"/>
    <w:rsid w:val="008B1936"/>
    <w:rsid w:val="008D40A4"/>
    <w:rsid w:val="008E5170"/>
    <w:rsid w:val="00926131"/>
    <w:rsid w:val="00943CA4"/>
    <w:rsid w:val="00991845"/>
    <w:rsid w:val="009B6DF9"/>
    <w:rsid w:val="009F4D55"/>
    <w:rsid w:val="00B15ACE"/>
    <w:rsid w:val="00B32F2B"/>
    <w:rsid w:val="00C57346"/>
    <w:rsid w:val="00D10700"/>
    <w:rsid w:val="00D16BB8"/>
    <w:rsid w:val="00D3597F"/>
    <w:rsid w:val="00D921CA"/>
    <w:rsid w:val="00DF2A0A"/>
    <w:rsid w:val="00E37A8D"/>
    <w:rsid w:val="00E82A81"/>
    <w:rsid w:val="00FD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AF377B"/>
  <w15:chartTrackingRefBased/>
  <w15:docId w15:val="{DC24D542-60E2-2A47-B3F4-1405E848D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36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9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161</Words>
  <Characters>877</Characters>
  <Application>Microsoft Office Word</Application>
  <DocSecurity>0</DocSecurity>
  <Lines>15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Deniz Erezyilmaz</dc:creator>
  <cp:keywords/>
  <dc:description/>
  <cp:lastModifiedBy>Deniz Erezyilmaz</cp:lastModifiedBy>
  <cp:revision>4</cp:revision>
  <dcterms:created xsi:type="dcterms:W3CDTF">2023-12-31T19:43:00Z</dcterms:created>
  <dcterms:modified xsi:type="dcterms:W3CDTF">2024-01-02T20:12:00Z</dcterms:modified>
</cp:coreProperties>
</file>