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90C60D" w14:textId="77777777" w:rsidR="00867724" w:rsidRDefault="00867724" w:rsidP="00867724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noProof/>
        </w:rPr>
        <w:drawing>
          <wp:inline distT="0" distB="0" distL="0" distR="0" wp14:anchorId="0C5C260E" wp14:editId="462C99E3">
            <wp:extent cx="4725521" cy="2494136"/>
            <wp:effectExtent l="0" t="0" r="12065" b="8255"/>
            <wp:docPr id="1663421159" name="图表 1">
              <a:extLst xmlns:a="http://schemas.openxmlformats.org/drawingml/2006/main">
                <a:ext uri="{FF2B5EF4-FFF2-40B4-BE49-F238E27FC236}">
                  <a16:creationId xmlns:a16="http://schemas.microsoft.com/office/drawing/2014/main" id="{A1E5880D-A331-7736-0463-14F138CA3E4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</w:p>
    <w:p w14:paraId="210AD623" w14:textId="77777777" w:rsidR="00867724" w:rsidRDefault="00867724" w:rsidP="00867724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noProof/>
        </w:rPr>
        <w:drawing>
          <wp:inline distT="0" distB="0" distL="0" distR="0" wp14:anchorId="38187926" wp14:editId="1DEC7EEC">
            <wp:extent cx="4725035" cy="2581155"/>
            <wp:effectExtent l="0" t="0" r="12065" b="10160"/>
            <wp:docPr id="1544195701" name="图表 1">
              <a:extLst xmlns:a="http://schemas.openxmlformats.org/drawingml/2006/main">
                <a:ext uri="{FF2B5EF4-FFF2-40B4-BE49-F238E27FC236}">
                  <a16:creationId xmlns:a16="http://schemas.microsoft.com/office/drawing/2014/main" id="{5BC4CB51-77BA-C3EB-3CA6-8C414B7B4AC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37C5C865" w14:textId="77777777" w:rsidR="00867724" w:rsidRDefault="00867724" w:rsidP="00867724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noProof/>
        </w:rPr>
        <w:drawing>
          <wp:inline distT="0" distB="0" distL="0" distR="0" wp14:anchorId="14CDEE97" wp14:editId="3B46DBF1">
            <wp:extent cx="4725035" cy="2546431"/>
            <wp:effectExtent l="0" t="0" r="12065" b="6350"/>
            <wp:docPr id="1383548095" name="图表 1">
              <a:extLst xmlns:a="http://schemas.openxmlformats.org/drawingml/2006/main">
                <a:ext uri="{FF2B5EF4-FFF2-40B4-BE49-F238E27FC236}">
                  <a16:creationId xmlns:a16="http://schemas.microsoft.com/office/drawing/2014/main" id="{B96B1EAF-1565-C6F0-B316-6DD78002EA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9A58FB3" w14:textId="77777777" w:rsidR="00867724" w:rsidRDefault="00867724" w:rsidP="00867724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28707229" wp14:editId="7CD85EEA">
            <wp:extent cx="4722471" cy="2176041"/>
            <wp:effectExtent l="0" t="0" r="15240" b="8890"/>
            <wp:docPr id="1893632142" name="图表 1">
              <a:extLst xmlns:a="http://schemas.openxmlformats.org/drawingml/2006/main">
                <a:ext uri="{FF2B5EF4-FFF2-40B4-BE49-F238E27FC236}">
                  <a16:creationId xmlns:a16="http://schemas.microsoft.com/office/drawing/2014/main" id="{7FFFCE51-5CF1-FF99-A6F0-0B11AD80941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F86AB08" w14:textId="77777777" w:rsidR="00867724" w:rsidRDefault="00867724" w:rsidP="00867724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noProof/>
        </w:rPr>
        <w:drawing>
          <wp:inline distT="0" distB="0" distL="0" distR="0" wp14:anchorId="13BE36EA" wp14:editId="034D64E3">
            <wp:extent cx="4721860" cy="2419109"/>
            <wp:effectExtent l="0" t="0" r="15240" b="6985"/>
            <wp:docPr id="937385031" name="图表 1">
              <a:extLst xmlns:a="http://schemas.openxmlformats.org/drawingml/2006/main">
                <a:ext uri="{FF2B5EF4-FFF2-40B4-BE49-F238E27FC236}">
                  <a16:creationId xmlns:a16="http://schemas.microsoft.com/office/drawing/2014/main" id="{29B6ABDE-C969-0861-F434-9999BF04D28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BF28C47" w14:textId="77777777" w:rsidR="00BF22EE" w:rsidRDefault="00BF22EE"/>
    <w:sectPr w:rsidR="00BF22EE" w:rsidSect="00904E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724"/>
    <w:rsid w:val="00867724"/>
    <w:rsid w:val="00904EEA"/>
    <w:rsid w:val="00BF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1855CE"/>
  <w15:chartTrackingRefBased/>
  <w15:docId w15:val="{FA43D9AD-971B-D946-A753-46B99C823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7724"/>
    <w:rPr>
      <w:rFonts w:ascii="SimSun" w:eastAsia="SimSun" w:hAnsi="SimSun" w:cs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weidongxuan/Desktop/&#31958;&#23615;&#30149;&#36275;/&#31958;&#23615;&#30149;&#36275;&#25968;&#25454;&#20998;&#26512;/&#31958;&#23615;&#30149;&#36275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weidongxuan/Desktop/&#31958;&#23615;&#30149;&#36275;/&#31958;&#23615;&#30149;&#36275;&#25968;&#25454;&#20998;&#26512;/&#31958;&#23615;&#30149;&#36275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weidongxuan/Desktop/&#31958;&#23615;&#30149;&#36275;/&#31958;&#23615;&#30149;&#36275;&#25968;&#25454;&#20998;&#26512;/&#31958;&#23615;&#30149;&#36275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weidongxuan/Desktop/&#31958;&#23615;&#30149;&#36275;/&#31958;&#23615;&#30149;&#36275;&#25968;&#25454;&#20998;&#26512;/&#31958;&#23615;&#30149;&#36275;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weidongxuan/Desktop/&#31958;&#23615;&#30149;&#36275;/&#31958;&#23615;&#30149;&#36275;&#25968;&#25454;&#20998;&#26512;/&#31958;&#23615;&#30149;&#36275;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 sz="800" b="0" i="0" u="none" strike="noStrike" baseline="0">
                <a:effectLst/>
                <a:latin typeface="+mj-ea"/>
                <a:ea typeface="+mj-ea"/>
              </a:rPr>
              <a:t>Distance from the upper edge of the tibial cortical bone window to the tibial plateau</a:t>
            </a:r>
            <a:r>
              <a:rPr lang="zh-CN" altLang="zh-CN" sz="1400" b="0" i="0" u="none" strike="noStrike" baseline="0">
                <a:effectLst/>
              </a:rPr>
              <a:t> </a:t>
            </a:r>
            <a:endParaRPr lang="zh-CN" altLang="en-US" sz="105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X线数据!$C$2</c:f>
              <c:strCache>
                <c:ptCount val="1"/>
                <c:pt idx="0">
                  <c:v>Pre-operative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val>
            <c:numRef>
              <c:f>X线数据!$C$3:$C$19</c:f>
              <c:numCache>
                <c:formatCode>General</c:formatCode>
                <c:ptCount val="17"/>
                <c:pt idx="0">
                  <c:v>57</c:v>
                </c:pt>
                <c:pt idx="1">
                  <c:v>102</c:v>
                </c:pt>
                <c:pt idx="2">
                  <c:v>77</c:v>
                </c:pt>
                <c:pt idx="3">
                  <c:v>75.680000000000007</c:v>
                </c:pt>
                <c:pt idx="4">
                  <c:v>50</c:v>
                </c:pt>
                <c:pt idx="5">
                  <c:v>54</c:v>
                </c:pt>
                <c:pt idx="6">
                  <c:v>48</c:v>
                </c:pt>
                <c:pt idx="7">
                  <c:v>57</c:v>
                </c:pt>
                <c:pt idx="8">
                  <c:v>57</c:v>
                </c:pt>
                <c:pt idx="9">
                  <c:v>58.8</c:v>
                </c:pt>
                <c:pt idx="10">
                  <c:v>97</c:v>
                </c:pt>
                <c:pt idx="11">
                  <c:v>49</c:v>
                </c:pt>
                <c:pt idx="12">
                  <c:v>58</c:v>
                </c:pt>
                <c:pt idx="13">
                  <c:v>57</c:v>
                </c:pt>
                <c:pt idx="14">
                  <c:v>68</c:v>
                </c:pt>
                <c:pt idx="15">
                  <c:v>69</c:v>
                </c:pt>
                <c:pt idx="16">
                  <c:v>63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F2E-6B47-ADC6-66A10A94429B}"/>
            </c:ext>
          </c:extLst>
        </c:ser>
        <c:ser>
          <c:idx val="1"/>
          <c:order val="1"/>
          <c:tx>
            <c:strRef>
              <c:f>X线数据!$D$2</c:f>
              <c:strCache>
                <c:ptCount val="1"/>
                <c:pt idx="0">
                  <c:v>Post-operative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val>
            <c:numRef>
              <c:f>X线数据!$D$3:$D$19</c:f>
              <c:numCache>
                <c:formatCode>General</c:formatCode>
                <c:ptCount val="17"/>
                <c:pt idx="0">
                  <c:v>58</c:v>
                </c:pt>
                <c:pt idx="1">
                  <c:v>106</c:v>
                </c:pt>
                <c:pt idx="2">
                  <c:v>77.8</c:v>
                </c:pt>
                <c:pt idx="3">
                  <c:v>75.41</c:v>
                </c:pt>
                <c:pt idx="4">
                  <c:v>49</c:v>
                </c:pt>
                <c:pt idx="5">
                  <c:v>54.4</c:v>
                </c:pt>
                <c:pt idx="6">
                  <c:v>52</c:v>
                </c:pt>
                <c:pt idx="7">
                  <c:v>60</c:v>
                </c:pt>
                <c:pt idx="8">
                  <c:v>61</c:v>
                </c:pt>
                <c:pt idx="9">
                  <c:v>58</c:v>
                </c:pt>
                <c:pt idx="10">
                  <c:v>99</c:v>
                </c:pt>
                <c:pt idx="11">
                  <c:v>52</c:v>
                </c:pt>
                <c:pt idx="12">
                  <c:v>55</c:v>
                </c:pt>
                <c:pt idx="13">
                  <c:v>57.61</c:v>
                </c:pt>
                <c:pt idx="14">
                  <c:v>69</c:v>
                </c:pt>
                <c:pt idx="15">
                  <c:v>69.09</c:v>
                </c:pt>
                <c:pt idx="16">
                  <c:v>61.71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F2E-6B47-ADC6-66A10A9442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55345472"/>
        <c:axId val="1055335488"/>
      </c:lineChart>
      <c:catAx>
        <c:axId val="1055345472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55335488"/>
        <c:crosses val="autoZero"/>
        <c:auto val="1"/>
        <c:lblAlgn val="ctr"/>
        <c:lblOffset val="100"/>
        <c:noMultiLvlLbl val="0"/>
      </c:catAx>
      <c:valAx>
        <c:axId val="1055335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55345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 sz="800" b="0" i="0" u="none" strike="noStrike" baseline="0">
                <a:effectLst/>
                <a:latin typeface="+mj-ea"/>
                <a:ea typeface="+mj-ea"/>
              </a:rPr>
              <a:t>Distance from the anterior edge of the tibial cortical bone window to the bone ridge</a:t>
            </a:r>
            <a:r>
              <a:rPr lang="zh-CN" altLang="zh-CN" sz="800" b="0" i="0" u="none" strike="noStrike" baseline="0">
                <a:effectLst/>
                <a:latin typeface="+mj-ea"/>
                <a:ea typeface="+mj-ea"/>
              </a:rPr>
              <a:t> </a:t>
            </a:r>
            <a:endParaRPr lang="zh-CN" altLang="en-US" sz="800">
              <a:latin typeface="+mj-ea"/>
              <a:ea typeface="+mj-ea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X线数据!$E$2</c:f>
              <c:strCache>
                <c:ptCount val="1"/>
                <c:pt idx="0">
                  <c:v>Pre-operative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val>
            <c:numRef>
              <c:f>X线数据!$E$3:$E$19</c:f>
              <c:numCache>
                <c:formatCode>General</c:formatCode>
                <c:ptCount val="17"/>
                <c:pt idx="0">
                  <c:v>13.88</c:v>
                </c:pt>
                <c:pt idx="1">
                  <c:v>12</c:v>
                </c:pt>
                <c:pt idx="2">
                  <c:v>11.5</c:v>
                </c:pt>
                <c:pt idx="3">
                  <c:v>17.28</c:v>
                </c:pt>
                <c:pt idx="4">
                  <c:v>16.7</c:v>
                </c:pt>
                <c:pt idx="5">
                  <c:v>18</c:v>
                </c:pt>
                <c:pt idx="6">
                  <c:v>15.2</c:v>
                </c:pt>
                <c:pt idx="7">
                  <c:v>22</c:v>
                </c:pt>
                <c:pt idx="8">
                  <c:v>16</c:v>
                </c:pt>
                <c:pt idx="9">
                  <c:v>16</c:v>
                </c:pt>
                <c:pt idx="10">
                  <c:v>14.6</c:v>
                </c:pt>
                <c:pt idx="11">
                  <c:v>14</c:v>
                </c:pt>
                <c:pt idx="12">
                  <c:v>15</c:v>
                </c:pt>
                <c:pt idx="13">
                  <c:v>16.399999999999999</c:v>
                </c:pt>
                <c:pt idx="14">
                  <c:v>14.8</c:v>
                </c:pt>
                <c:pt idx="15">
                  <c:v>17</c:v>
                </c:pt>
                <c:pt idx="16">
                  <c:v>13.5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046-F640-A126-DB3C4A4234B8}"/>
            </c:ext>
          </c:extLst>
        </c:ser>
        <c:ser>
          <c:idx val="1"/>
          <c:order val="1"/>
          <c:tx>
            <c:strRef>
              <c:f>X线数据!$F$2</c:f>
              <c:strCache>
                <c:ptCount val="1"/>
                <c:pt idx="0">
                  <c:v>Post-operative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val>
            <c:numRef>
              <c:f>X线数据!$F$3:$F$19</c:f>
              <c:numCache>
                <c:formatCode>General</c:formatCode>
                <c:ptCount val="17"/>
                <c:pt idx="0">
                  <c:v>14.2</c:v>
                </c:pt>
                <c:pt idx="1">
                  <c:v>12.6</c:v>
                </c:pt>
                <c:pt idx="2">
                  <c:v>12</c:v>
                </c:pt>
                <c:pt idx="3">
                  <c:v>17.5</c:v>
                </c:pt>
                <c:pt idx="4">
                  <c:v>17</c:v>
                </c:pt>
                <c:pt idx="5">
                  <c:v>19.2</c:v>
                </c:pt>
                <c:pt idx="6">
                  <c:v>17</c:v>
                </c:pt>
                <c:pt idx="7">
                  <c:v>22.7</c:v>
                </c:pt>
                <c:pt idx="8">
                  <c:v>16.7</c:v>
                </c:pt>
                <c:pt idx="9">
                  <c:v>18</c:v>
                </c:pt>
                <c:pt idx="10">
                  <c:v>15.6</c:v>
                </c:pt>
                <c:pt idx="11">
                  <c:v>14.8</c:v>
                </c:pt>
                <c:pt idx="12">
                  <c:v>16.2</c:v>
                </c:pt>
                <c:pt idx="13">
                  <c:v>17</c:v>
                </c:pt>
                <c:pt idx="14">
                  <c:v>15.6</c:v>
                </c:pt>
                <c:pt idx="15">
                  <c:v>16.18</c:v>
                </c:pt>
                <c:pt idx="16">
                  <c:v>13.8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046-F640-A126-DB3C4A4234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64265952"/>
        <c:axId val="1064265536"/>
      </c:lineChart>
      <c:catAx>
        <c:axId val="1064265952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64265536"/>
        <c:crosses val="autoZero"/>
        <c:auto val="1"/>
        <c:lblAlgn val="ctr"/>
        <c:lblOffset val="100"/>
        <c:noMultiLvlLbl val="0"/>
      </c:catAx>
      <c:valAx>
        <c:axId val="1064265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64265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 sz="800" b="0" i="0" u="none" strike="noStrike" baseline="0">
                <a:effectLst/>
                <a:latin typeface="+mj-ea"/>
                <a:ea typeface="+mj-ea"/>
              </a:rPr>
              <a:t>Height of the tibial cortical bone window</a:t>
            </a:r>
            <a:r>
              <a:rPr lang="zh-CN" altLang="zh-CN" sz="1400" b="0" i="0" u="none" strike="noStrike" baseline="0">
                <a:effectLst/>
              </a:rPr>
              <a:t> </a:t>
            </a:r>
            <a:endParaRPr lang="zh-CN" altLang="en-US" sz="1050"/>
          </a:p>
        </c:rich>
      </c:tx>
      <c:layout>
        <c:manualLayout>
          <c:xMode val="edge"/>
          <c:yMode val="edge"/>
          <c:x val="0.31135600053756218"/>
          <c:y val="4.0885974041274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X线数据!$G$2</c:f>
              <c:strCache>
                <c:ptCount val="1"/>
                <c:pt idx="0">
                  <c:v>Pre-operative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val>
            <c:numRef>
              <c:f>X线数据!$G$3:$G$19</c:f>
              <c:numCache>
                <c:formatCode>General</c:formatCode>
                <c:ptCount val="17"/>
                <c:pt idx="0">
                  <c:v>70</c:v>
                </c:pt>
                <c:pt idx="1">
                  <c:v>72</c:v>
                </c:pt>
                <c:pt idx="2">
                  <c:v>72</c:v>
                </c:pt>
                <c:pt idx="3">
                  <c:v>72</c:v>
                </c:pt>
                <c:pt idx="4">
                  <c:v>68</c:v>
                </c:pt>
                <c:pt idx="5">
                  <c:v>72</c:v>
                </c:pt>
                <c:pt idx="6">
                  <c:v>72</c:v>
                </c:pt>
                <c:pt idx="7">
                  <c:v>72</c:v>
                </c:pt>
                <c:pt idx="8">
                  <c:v>72</c:v>
                </c:pt>
                <c:pt idx="9">
                  <c:v>72</c:v>
                </c:pt>
                <c:pt idx="10">
                  <c:v>72</c:v>
                </c:pt>
                <c:pt idx="11">
                  <c:v>72</c:v>
                </c:pt>
                <c:pt idx="12">
                  <c:v>72</c:v>
                </c:pt>
                <c:pt idx="13">
                  <c:v>72</c:v>
                </c:pt>
                <c:pt idx="14">
                  <c:v>72</c:v>
                </c:pt>
                <c:pt idx="15">
                  <c:v>85</c:v>
                </c:pt>
                <c:pt idx="16">
                  <c:v>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B4A-2248-900A-2EA497FE17AE}"/>
            </c:ext>
          </c:extLst>
        </c:ser>
        <c:ser>
          <c:idx val="1"/>
          <c:order val="1"/>
          <c:tx>
            <c:strRef>
              <c:f>X线数据!$H$2</c:f>
              <c:strCache>
                <c:ptCount val="1"/>
                <c:pt idx="0">
                  <c:v>Post-operative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val>
            <c:numRef>
              <c:f>X线数据!$H$3:$H$19</c:f>
              <c:numCache>
                <c:formatCode>General</c:formatCode>
                <c:ptCount val="17"/>
                <c:pt idx="0">
                  <c:v>72.2</c:v>
                </c:pt>
                <c:pt idx="1">
                  <c:v>74</c:v>
                </c:pt>
                <c:pt idx="2">
                  <c:v>73.400000000000006</c:v>
                </c:pt>
                <c:pt idx="3">
                  <c:v>73</c:v>
                </c:pt>
                <c:pt idx="4">
                  <c:v>68</c:v>
                </c:pt>
                <c:pt idx="5">
                  <c:v>75</c:v>
                </c:pt>
                <c:pt idx="6">
                  <c:v>75</c:v>
                </c:pt>
                <c:pt idx="7">
                  <c:v>74.5</c:v>
                </c:pt>
                <c:pt idx="8">
                  <c:v>73.5</c:v>
                </c:pt>
                <c:pt idx="9">
                  <c:v>70</c:v>
                </c:pt>
                <c:pt idx="10">
                  <c:v>72</c:v>
                </c:pt>
                <c:pt idx="11">
                  <c:v>73</c:v>
                </c:pt>
                <c:pt idx="12">
                  <c:v>73.900000000000006</c:v>
                </c:pt>
                <c:pt idx="13">
                  <c:v>73.7</c:v>
                </c:pt>
                <c:pt idx="14">
                  <c:v>71.400000000000006</c:v>
                </c:pt>
                <c:pt idx="15">
                  <c:v>82.49</c:v>
                </c:pt>
                <c:pt idx="16">
                  <c:v>73.900000000000006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B4A-2248-900A-2EA497FE17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77723408"/>
        <c:axId val="1177720080"/>
      </c:lineChart>
      <c:catAx>
        <c:axId val="1177723408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77720080"/>
        <c:crosses val="autoZero"/>
        <c:auto val="1"/>
        <c:lblAlgn val="ctr"/>
        <c:lblOffset val="100"/>
        <c:noMultiLvlLbl val="0"/>
      </c:catAx>
      <c:valAx>
        <c:axId val="11777200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77723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 sz="800" b="0" i="0" u="none" strike="noStrike" baseline="0">
                <a:effectLst/>
                <a:latin typeface="+mj-lt"/>
              </a:rPr>
              <a:t>Center-to-center distance between the 4.0mm diameter Schanz pin and the osteotomy Kirschner pin</a:t>
            </a:r>
            <a:r>
              <a:rPr lang="zh-CN" altLang="zh-CN" sz="800" b="0" i="0" u="none" strike="noStrike" baseline="0">
                <a:effectLst/>
                <a:latin typeface="+mj-lt"/>
              </a:rPr>
              <a:t> </a:t>
            </a:r>
            <a:endParaRPr lang="zh-CN" altLang="en-US" sz="800">
              <a:latin typeface="+mj-lt"/>
            </a:endParaRPr>
          </a:p>
        </c:rich>
      </c:tx>
      <c:layout>
        <c:manualLayout>
          <c:xMode val="edge"/>
          <c:yMode val="edge"/>
          <c:x val="0.12797202797202797"/>
          <c:y val="3.91609323790743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X线数据!$I$2</c:f>
              <c:strCache>
                <c:ptCount val="1"/>
                <c:pt idx="0">
                  <c:v>Pre-operative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val>
            <c:numRef>
              <c:f>X线数据!$I$3:$I$19</c:f>
              <c:numCache>
                <c:formatCode>General</c:formatCode>
                <c:ptCount val="17"/>
                <c:pt idx="0">
                  <c:v>5.94</c:v>
                </c:pt>
                <c:pt idx="1">
                  <c:v>5</c:v>
                </c:pt>
                <c:pt idx="2">
                  <c:v>4.75</c:v>
                </c:pt>
                <c:pt idx="3">
                  <c:v>7.64</c:v>
                </c:pt>
                <c:pt idx="4">
                  <c:v>7.35</c:v>
                </c:pt>
                <c:pt idx="5">
                  <c:v>8</c:v>
                </c:pt>
                <c:pt idx="6">
                  <c:v>6.6</c:v>
                </c:pt>
                <c:pt idx="7">
                  <c:v>10</c:v>
                </c:pt>
                <c:pt idx="8">
                  <c:v>7</c:v>
                </c:pt>
                <c:pt idx="9">
                  <c:v>7</c:v>
                </c:pt>
                <c:pt idx="10">
                  <c:v>6.3</c:v>
                </c:pt>
                <c:pt idx="11">
                  <c:v>6</c:v>
                </c:pt>
                <c:pt idx="12">
                  <c:v>6.5</c:v>
                </c:pt>
                <c:pt idx="13">
                  <c:v>7.2</c:v>
                </c:pt>
                <c:pt idx="14">
                  <c:v>6.4</c:v>
                </c:pt>
                <c:pt idx="15">
                  <c:v>7.5</c:v>
                </c:pt>
                <c:pt idx="16">
                  <c:v>5.75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033-6E4A-9DF7-744DDE9B03E2}"/>
            </c:ext>
          </c:extLst>
        </c:ser>
        <c:ser>
          <c:idx val="1"/>
          <c:order val="1"/>
          <c:tx>
            <c:strRef>
              <c:f>X线数据!$J$2</c:f>
              <c:strCache>
                <c:ptCount val="1"/>
                <c:pt idx="0">
                  <c:v>Post-operative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val>
            <c:numRef>
              <c:f>X线数据!$J$3:$J$19</c:f>
              <c:numCache>
                <c:formatCode>General</c:formatCode>
                <c:ptCount val="17"/>
                <c:pt idx="0">
                  <c:v>6</c:v>
                </c:pt>
                <c:pt idx="1">
                  <c:v>5</c:v>
                </c:pt>
                <c:pt idx="2">
                  <c:v>4.8</c:v>
                </c:pt>
                <c:pt idx="3">
                  <c:v>7.87</c:v>
                </c:pt>
                <c:pt idx="4">
                  <c:v>7.4</c:v>
                </c:pt>
                <c:pt idx="5">
                  <c:v>8.8000000000000007</c:v>
                </c:pt>
                <c:pt idx="6">
                  <c:v>7.4</c:v>
                </c:pt>
                <c:pt idx="7">
                  <c:v>11</c:v>
                </c:pt>
                <c:pt idx="8">
                  <c:v>6.8</c:v>
                </c:pt>
                <c:pt idx="9">
                  <c:v>7.6</c:v>
                </c:pt>
                <c:pt idx="10">
                  <c:v>6.3</c:v>
                </c:pt>
                <c:pt idx="11">
                  <c:v>6.6</c:v>
                </c:pt>
                <c:pt idx="12">
                  <c:v>6.89</c:v>
                </c:pt>
                <c:pt idx="13">
                  <c:v>7.09</c:v>
                </c:pt>
                <c:pt idx="14">
                  <c:v>6.8</c:v>
                </c:pt>
                <c:pt idx="15">
                  <c:v>8.74</c:v>
                </c:pt>
                <c:pt idx="16">
                  <c:v>5.79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033-6E4A-9DF7-744DDE9B03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19800688"/>
        <c:axId val="1219806096"/>
      </c:lineChart>
      <c:catAx>
        <c:axId val="1219800688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19806096"/>
        <c:crosses val="autoZero"/>
        <c:auto val="1"/>
        <c:lblAlgn val="ctr"/>
        <c:lblOffset val="100"/>
        <c:noMultiLvlLbl val="0"/>
      </c:catAx>
      <c:valAx>
        <c:axId val="1219806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198006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n-ea"/>
                <a:cs typeface="+mn-cs"/>
              </a:defRPr>
            </a:pPr>
            <a:r>
              <a:rPr lang="en-US" altLang="zh-CN" sz="800" b="0" i="0" u="none" strike="noStrike" baseline="0">
                <a:effectLst/>
                <a:latin typeface="+mj-lt"/>
              </a:rPr>
              <a:t>Center-to-center distance of the 4.0mm diameter Schanz pin</a:t>
            </a:r>
            <a:r>
              <a:rPr lang="zh-CN" altLang="zh-CN" sz="800" b="0" i="0" u="none" strike="noStrike" baseline="0">
                <a:effectLst/>
                <a:latin typeface="+mj-lt"/>
              </a:rPr>
              <a:t> </a:t>
            </a:r>
            <a:endParaRPr lang="zh-CN" altLang="en-US" sz="800">
              <a:latin typeface="+mj-lt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X线数据!$K$2</c:f>
              <c:strCache>
                <c:ptCount val="1"/>
                <c:pt idx="0">
                  <c:v>Pre-operative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val>
            <c:numRef>
              <c:f>X线数据!$K$3:$K$19</c:f>
              <c:numCache>
                <c:formatCode>General</c:formatCode>
                <c:ptCount val="17"/>
                <c:pt idx="0">
                  <c:v>40</c:v>
                </c:pt>
                <c:pt idx="1">
                  <c:v>40</c:v>
                </c:pt>
                <c:pt idx="2">
                  <c:v>40</c:v>
                </c:pt>
                <c:pt idx="3">
                  <c:v>40</c:v>
                </c:pt>
                <c:pt idx="4">
                  <c:v>45</c:v>
                </c:pt>
                <c:pt idx="5">
                  <c:v>45</c:v>
                </c:pt>
                <c:pt idx="6">
                  <c:v>45</c:v>
                </c:pt>
                <c:pt idx="7">
                  <c:v>45</c:v>
                </c:pt>
                <c:pt idx="8">
                  <c:v>40</c:v>
                </c:pt>
                <c:pt idx="9">
                  <c:v>45</c:v>
                </c:pt>
                <c:pt idx="10">
                  <c:v>40</c:v>
                </c:pt>
                <c:pt idx="11">
                  <c:v>40</c:v>
                </c:pt>
                <c:pt idx="12">
                  <c:v>40</c:v>
                </c:pt>
                <c:pt idx="13">
                  <c:v>40</c:v>
                </c:pt>
                <c:pt idx="14">
                  <c:v>40</c:v>
                </c:pt>
                <c:pt idx="15">
                  <c:v>40</c:v>
                </c:pt>
                <c:pt idx="16">
                  <c:v>40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967-834A-A54B-C2FE43FD8A6F}"/>
            </c:ext>
          </c:extLst>
        </c:ser>
        <c:ser>
          <c:idx val="1"/>
          <c:order val="1"/>
          <c:tx>
            <c:strRef>
              <c:f>X线数据!$L$2</c:f>
              <c:strCache>
                <c:ptCount val="1"/>
                <c:pt idx="0">
                  <c:v>Post-operative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val>
            <c:numRef>
              <c:f>X线数据!$L$3:$L$19</c:f>
              <c:numCache>
                <c:formatCode>General</c:formatCode>
                <c:ptCount val="17"/>
                <c:pt idx="0">
                  <c:v>41.2</c:v>
                </c:pt>
                <c:pt idx="1">
                  <c:v>40.6</c:v>
                </c:pt>
                <c:pt idx="2">
                  <c:v>39.200000000000003</c:v>
                </c:pt>
                <c:pt idx="3">
                  <c:v>42</c:v>
                </c:pt>
                <c:pt idx="4">
                  <c:v>44</c:v>
                </c:pt>
                <c:pt idx="5">
                  <c:v>48</c:v>
                </c:pt>
                <c:pt idx="6">
                  <c:v>45.4</c:v>
                </c:pt>
                <c:pt idx="7">
                  <c:v>45.4</c:v>
                </c:pt>
                <c:pt idx="8">
                  <c:v>43</c:v>
                </c:pt>
                <c:pt idx="9">
                  <c:v>44.6</c:v>
                </c:pt>
                <c:pt idx="10">
                  <c:v>40.799999999999997</c:v>
                </c:pt>
                <c:pt idx="11">
                  <c:v>40.119999999999997</c:v>
                </c:pt>
                <c:pt idx="12">
                  <c:v>43</c:v>
                </c:pt>
                <c:pt idx="13">
                  <c:v>42.4</c:v>
                </c:pt>
                <c:pt idx="14">
                  <c:v>39.6</c:v>
                </c:pt>
                <c:pt idx="15">
                  <c:v>42.1</c:v>
                </c:pt>
                <c:pt idx="16">
                  <c:v>43.5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967-834A-A54B-C2FE43FD8A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15336192"/>
        <c:axId val="1215336608"/>
      </c:lineChart>
      <c:catAx>
        <c:axId val="1215336192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15336608"/>
        <c:crosses val="autoZero"/>
        <c:auto val="1"/>
        <c:lblAlgn val="ctr"/>
        <c:lblOffset val="100"/>
        <c:noMultiLvlLbl val="0"/>
      </c:catAx>
      <c:valAx>
        <c:axId val="1215336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15336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Yeh</dc:creator>
  <cp:keywords/>
  <dc:description/>
  <cp:lastModifiedBy>Jennifer Yeh</cp:lastModifiedBy>
  <cp:revision>1</cp:revision>
  <dcterms:created xsi:type="dcterms:W3CDTF">2024-01-16T15:09:00Z</dcterms:created>
  <dcterms:modified xsi:type="dcterms:W3CDTF">2024-01-16T15:10:00Z</dcterms:modified>
</cp:coreProperties>
</file>