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b/>
          <w:bCs/>
          <w:sz w:val="24"/>
          <w:lang w:val="en-US"/>
        </w:rPr>
      </w:pPr>
      <w:r>
        <w:rPr>
          <w:rFonts w:ascii="Times New Roman" w:hAnsi="Times New Roman" w:cs="Times New Roman"/>
          <w:b/>
          <w:bCs/>
          <w:sz w:val="24"/>
        </w:rPr>
        <w:t xml:space="preserve">1. </w:t>
      </w:r>
      <w:r>
        <w:rPr>
          <w:rFonts w:hint="eastAsia" w:ascii="Times New Roman" w:hAnsi="Times New Roman" w:cs="Times New Roman"/>
          <w:b/>
          <w:bCs/>
          <w:sz w:val="24"/>
          <w:lang w:val="en-US" w:eastAsia="zh-CN"/>
        </w:rPr>
        <w:t>Method of ecological risk and health risk assessment</w:t>
      </w:r>
    </w:p>
    <w:p>
      <w:pPr>
        <w:pStyle w:val="3"/>
        <w:widowControl/>
        <w:spacing w:line="360" w:lineRule="auto"/>
        <w:rPr>
          <w:rFonts w:hint="eastAsia" w:ascii="Times New Roman" w:hAnsi="Times New Roman" w:eastAsia="黑体"/>
          <w:b/>
          <w:kern w:val="2"/>
          <w:szCs w:val="21"/>
          <w:lang w:val="en-US" w:eastAsia="zh-CN"/>
        </w:rPr>
      </w:pPr>
      <w:bookmarkStart w:id="0" w:name="OLE_LINK4"/>
      <w:r>
        <w:rPr>
          <w:rFonts w:hint="eastAsia" w:ascii="Times New Roman" w:hAnsi="Times New Roman" w:eastAsia="黑体"/>
          <w:b/>
          <w:kern w:val="2"/>
          <w:szCs w:val="21"/>
          <w:lang w:val="en-US" w:eastAsia="zh-CN"/>
        </w:rPr>
        <w:t>1.1 Ecological risk assessment</w:t>
      </w:r>
    </w:p>
    <w:bookmarkEnd w:id="0"/>
    <w:p>
      <w:pPr>
        <w:spacing w:line="360" w:lineRule="auto"/>
        <w:ind w:firstLine="480" w:firstLineChars="200"/>
        <w:rPr>
          <w:rFonts w:hint="eastAsia" w:ascii="Times New Roman" w:hAnsi="Times New Roman" w:eastAsia="黑体"/>
          <w:b w:val="0"/>
          <w:bCs/>
          <w:kern w:val="2"/>
          <w:sz w:val="24"/>
          <w:szCs w:val="24"/>
          <w:lang w:val="en-US" w:eastAsia="zh-CN"/>
        </w:rPr>
      </w:pPr>
      <w:r>
        <w:rPr>
          <w:rFonts w:hint="eastAsia" w:ascii="Times New Roman" w:hAnsi="Times New Roman" w:eastAsia="黑体"/>
          <w:b w:val="0"/>
          <w:bCs/>
          <w:kern w:val="2"/>
          <w:sz w:val="24"/>
          <w:szCs w:val="24"/>
          <w:lang w:val="en-US" w:eastAsia="zh-CN"/>
        </w:rPr>
        <w:t>The ecological risk assessment of heavy metal(loids) in Jiangmen city was calculated according to the pollution index (P</w:t>
      </w:r>
      <w:r>
        <w:rPr>
          <w:rFonts w:hint="eastAsia" w:ascii="Times New Roman" w:hAnsi="Times New Roman" w:eastAsia="黑体"/>
          <w:b w:val="0"/>
          <w:bCs/>
          <w:kern w:val="2"/>
          <w:sz w:val="24"/>
          <w:szCs w:val="24"/>
          <w:vertAlign w:val="subscript"/>
          <w:lang w:val="en-US" w:eastAsia="zh-CN"/>
        </w:rPr>
        <w:t>i</w:t>
      </w:r>
      <w:r>
        <w:rPr>
          <w:rFonts w:hint="eastAsia" w:ascii="Times New Roman" w:hAnsi="Times New Roman" w:eastAsia="黑体"/>
          <w:b w:val="0"/>
          <w:bCs/>
          <w:kern w:val="2"/>
          <w:sz w:val="24"/>
          <w:szCs w:val="24"/>
          <w:lang w:val="en-US" w:eastAsia="zh-CN"/>
        </w:rPr>
        <w:t>) of each element and the Nemerow synthetical pollution index (P</w:t>
      </w:r>
      <w:r>
        <w:rPr>
          <w:rFonts w:hint="eastAsia" w:ascii="Times New Roman" w:hAnsi="Times New Roman" w:eastAsia="黑体"/>
          <w:b w:val="0"/>
          <w:bCs/>
          <w:kern w:val="2"/>
          <w:sz w:val="24"/>
          <w:szCs w:val="24"/>
          <w:vertAlign w:val="subscript"/>
          <w:lang w:val="en-US" w:eastAsia="zh-CN"/>
        </w:rPr>
        <w:t>n</w:t>
      </w:r>
      <w:r>
        <w:rPr>
          <w:rFonts w:hint="eastAsia" w:ascii="Times New Roman" w:hAnsi="Times New Roman" w:eastAsia="黑体"/>
          <w:b w:val="0"/>
          <w:bCs/>
          <w:kern w:val="2"/>
          <w:sz w:val="24"/>
          <w:szCs w:val="24"/>
          <w:lang w:val="en-US" w:eastAsia="zh-CN"/>
        </w:rPr>
        <w:t>). Equation (1) shows the formulation of P</w:t>
      </w:r>
      <w:r>
        <w:rPr>
          <w:rFonts w:hint="eastAsia" w:ascii="Times New Roman" w:hAnsi="Times New Roman" w:eastAsia="黑体"/>
          <w:b w:val="0"/>
          <w:bCs/>
          <w:kern w:val="2"/>
          <w:sz w:val="24"/>
          <w:szCs w:val="24"/>
          <w:vertAlign w:val="subscript"/>
          <w:lang w:val="en-US" w:eastAsia="zh-CN"/>
        </w:rPr>
        <w:t>n</w:t>
      </w:r>
      <w:r>
        <w:rPr>
          <w:rFonts w:hint="eastAsia" w:ascii="Times New Roman" w:hAnsi="Times New Roman" w:eastAsia="黑体"/>
          <w:b w:val="0"/>
          <w:bCs/>
          <w:kern w:val="2"/>
          <w:sz w:val="24"/>
          <w:szCs w:val="24"/>
          <w:lang w:val="en-US" w:eastAsia="zh-CN"/>
        </w:rPr>
        <w:t xml:space="preserve">. </w:t>
      </w:r>
    </w:p>
    <w:p>
      <w:pPr>
        <w:pStyle w:val="3"/>
        <w:widowControl/>
        <w:spacing w:line="480" w:lineRule="auto"/>
        <w:ind w:firstLine="240" w:firstLineChars="100"/>
        <w:rPr>
          <w:rFonts w:ascii="Times New Roman" w:hAnsi="Times New Roman"/>
          <w:kern w:val="2"/>
          <w:sz w:val="24"/>
          <w:szCs w:val="24"/>
        </w:rPr>
      </w:pPr>
      <w:r>
        <w:rPr>
          <w:rFonts w:ascii="Times New Roman" w:hAnsi="Times New Roman"/>
          <w:kern w:val="2"/>
          <w:position w:val="-26"/>
          <w:sz w:val="24"/>
          <w:szCs w:val="24"/>
        </w:rPr>
        <w:object>
          <v:shape id="_x0000_i1025" o:spt="75" type="#_x0000_t75" style="height:37.4pt;width:85.85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ascii="Times New Roman" w:hAnsi="Times New Roman"/>
          <w:kern w:val="2"/>
          <w:sz w:val="24"/>
          <w:szCs w:val="24"/>
        </w:rPr>
        <w:t xml:space="preserve">                (1)</w:t>
      </w:r>
    </w:p>
    <w:p>
      <w:pPr>
        <w:pStyle w:val="3"/>
        <w:widowControl/>
        <w:spacing w:line="480" w:lineRule="auto"/>
        <w:ind w:firstLine="240" w:firstLineChars="100"/>
        <w:rPr>
          <w:rFonts w:ascii="Times New Roman" w:hAnsi="Times New Roman"/>
          <w:kern w:val="2"/>
          <w:sz w:val="24"/>
          <w:szCs w:val="24"/>
        </w:rPr>
      </w:pPr>
      <w:r>
        <w:rPr>
          <w:rFonts w:ascii="Times New Roman" w:hAnsi="Times New Roman"/>
          <w:kern w:val="2"/>
          <w:position w:val="-30"/>
          <w:sz w:val="24"/>
          <w:szCs w:val="24"/>
        </w:rPr>
        <w:object>
          <v:shape id="_x0000_i1026" o:spt="75" type="#_x0000_t75" style="height:33.9pt;width:38.15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r>
        <w:rPr>
          <w:rFonts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ascii="Times New Roman" w:hAnsi="Times New Roman"/>
          <w:kern w:val="2"/>
          <w:sz w:val="24"/>
          <w:szCs w:val="24"/>
        </w:rPr>
        <w:t xml:space="preserve">                 (2)</w:t>
      </w:r>
    </w:p>
    <w:p>
      <w:pPr>
        <w:spacing w:line="360" w:lineRule="auto"/>
        <w:rPr>
          <w:rFonts w:hint="default" w:ascii="Times New Roman" w:hAnsi="Times New Roman"/>
          <w:kern w:val="2"/>
          <w:sz w:val="24"/>
          <w:szCs w:val="24"/>
          <w:lang w:val="en-US" w:eastAsia="zh-CN"/>
        </w:rPr>
      </w:pPr>
      <w:r>
        <w:rPr>
          <w:rFonts w:ascii="Times New Roman" w:hAnsi="Times New Roman"/>
          <w:kern w:val="2"/>
          <w:sz w:val="24"/>
          <w:szCs w:val="24"/>
        </w:rPr>
        <w:t>where P</w:t>
      </w:r>
      <w:r>
        <w:rPr>
          <w:rFonts w:ascii="Times New Roman" w:hAnsi="Times New Roman"/>
          <w:kern w:val="2"/>
          <w:sz w:val="24"/>
          <w:szCs w:val="24"/>
          <w:vertAlign w:val="subscript"/>
        </w:rPr>
        <w:t>i</w:t>
      </w:r>
      <w:r>
        <w:rPr>
          <w:rFonts w:ascii="Times New Roman" w:hAnsi="Times New Roman"/>
          <w:kern w:val="2"/>
          <w:sz w:val="24"/>
          <w:szCs w:val="24"/>
        </w:rPr>
        <w:t xml:space="preserve"> is the pollution index of each element, and i represents different trace elements. C</w:t>
      </w:r>
      <w:r>
        <w:rPr>
          <w:rFonts w:ascii="Times New Roman" w:hAnsi="Times New Roman"/>
          <w:kern w:val="2"/>
          <w:sz w:val="24"/>
          <w:szCs w:val="24"/>
          <w:vertAlign w:val="subscript"/>
        </w:rPr>
        <w:t>i</w:t>
      </w:r>
      <w:r>
        <w:rPr>
          <w:rFonts w:ascii="Times New Roman" w:hAnsi="Times New Roman"/>
          <w:kern w:val="2"/>
          <w:sz w:val="24"/>
          <w:szCs w:val="24"/>
        </w:rPr>
        <w:t xml:space="preserve"> is the measured content, and S</w:t>
      </w:r>
      <w:r>
        <w:rPr>
          <w:rFonts w:ascii="Times New Roman" w:hAnsi="Times New Roman"/>
          <w:kern w:val="2"/>
          <w:sz w:val="24"/>
          <w:szCs w:val="24"/>
          <w:vertAlign w:val="subscript"/>
        </w:rPr>
        <w:t>i</w:t>
      </w:r>
      <w:r>
        <w:rPr>
          <w:rFonts w:ascii="Times New Roman" w:hAnsi="Times New Roman"/>
          <w:kern w:val="2"/>
          <w:sz w:val="24"/>
          <w:szCs w:val="24"/>
        </w:rPr>
        <w:t xml:space="preserve"> is the </w:t>
      </w:r>
      <w:r>
        <w:rPr>
          <w:rFonts w:hint="eastAsia" w:ascii="Times New Roman" w:hAnsi="Times New Roman"/>
          <w:kern w:val="2"/>
          <w:sz w:val="24"/>
          <w:szCs w:val="24"/>
          <w:highlight w:val="none"/>
          <w:lang w:val="en-US" w:eastAsia="zh-CN"/>
        </w:rPr>
        <w:t>reference</w:t>
      </w:r>
      <w:r>
        <w:rPr>
          <w:rFonts w:ascii="Times New Roman" w:hAnsi="Times New Roman"/>
          <w:kern w:val="2"/>
          <w:sz w:val="24"/>
          <w:szCs w:val="24"/>
          <w:highlight w:val="none"/>
        </w:rPr>
        <w:t xml:space="preserve"> value</w:t>
      </w:r>
      <w:r>
        <w:rPr>
          <w:rFonts w:hint="eastAsia" w:ascii="Times New Roman" w:hAnsi="Times New Roman"/>
          <w:kern w:val="2"/>
          <w:sz w:val="24"/>
          <w:szCs w:val="24"/>
          <w:lang w:val="en-US" w:eastAsia="zh-CN"/>
        </w:rPr>
        <w:t>. For each metal, the P</w:t>
      </w:r>
      <w:r>
        <w:rPr>
          <w:rFonts w:hint="eastAsia" w:ascii="Times New Roman" w:hAnsi="Times New Roman"/>
          <w:kern w:val="2"/>
          <w:sz w:val="24"/>
          <w:szCs w:val="24"/>
          <w:vertAlign w:val="subscript"/>
          <w:lang w:val="en-US" w:eastAsia="zh-CN"/>
        </w:rPr>
        <w:t>i</w:t>
      </w:r>
      <w:r>
        <w:rPr>
          <w:rFonts w:hint="eastAsia" w:ascii="Times New Roman" w:hAnsi="Times New Roman"/>
          <w:kern w:val="2"/>
          <w:sz w:val="24"/>
          <w:szCs w:val="24"/>
          <w:lang w:val="en-US" w:eastAsia="zh-CN"/>
        </w:rPr>
        <w:t xml:space="preserve"> was calculated and the pollution classification were defined as safety (P</w:t>
      </w:r>
      <w:r>
        <w:rPr>
          <w:rFonts w:hint="eastAsia" w:ascii="Times New Roman" w:hAnsi="Times New Roman"/>
          <w:kern w:val="2"/>
          <w:sz w:val="24"/>
          <w:szCs w:val="24"/>
          <w:vertAlign w:val="subscript"/>
          <w:lang w:val="en-US" w:eastAsia="zh-CN"/>
        </w:rPr>
        <w:t>n</w:t>
      </w:r>
      <w:r>
        <w:rPr>
          <w:rFonts w:ascii="Times New Roman" w:hAnsi="Times New Roman" w:cs="Times New Roman"/>
          <w:szCs w:val="21"/>
        </w:rPr>
        <w:t>≤</w:t>
      </w:r>
      <w:r>
        <w:rPr>
          <w:rFonts w:hint="eastAsia" w:ascii="Times New Roman" w:hAnsi="Times New Roman" w:cs="Times New Roman"/>
          <w:szCs w:val="21"/>
          <w:lang w:val="en-US" w:eastAsia="zh-CN"/>
        </w:rPr>
        <w:t>0.7</w:t>
      </w:r>
      <w:r>
        <w:rPr>
          <w:rFonts w:hint="eastAsia" w:ascii="Times New Roman" w:hAnsi="Times New Roman"/>
          <w:kern w:val="2"/>
          <w:sz w:val="24"/>
          <w:szCs w:val="24"/>
          <w:lang w:val="en-US" w:eastAsia="zh-CN"/>
        </w:rPr>
        <w:t>), precaution (0.7 &lt; P</w:t>
      </w:r>
      <w:r>
        <w:rPr>
          <w:rFonts w:hint="eastAsia" w:ascii="Times New Roman" w:hAnsi="Times New Roman"/>
          <w:kern w:val="2"/>
          <w:sz w:val="24"/>
          <w:szCs w:val="24"/>
          <w:vertAlign w:val="subscript"/>
          <w:lang w:val="en-US" w:eastAsia="zh-CN"/>
        </w:rPr>
        <w:t xml:space="preserve">n </w:t>
      </w:r>
      <w:r>
        <w:rPr>
          <w:rFonts w:ascii="Times New Roman" w:hAnsi="Times New Roman" w:cs="Times New Roman"/>
          <w:szCs w:val="21"/>
        </w:rPr>
        <w:t>≤</w:t>
      </w:r>
      <w:r>
        <w:rPr>
          <w:rFonts w:hint="eastAsia" w:ascii="Times New Roman" w:hAnsi="Times New Roman"/>
          <w:kern w:val="2"/>
          <w:sz w:val="24"/>
          <w:szCs w:val="24"/>
          <w:lang w:val="en-US" w:eastAsia="zh-CN"/>
        </w:rPr>
        <w:t xml:space="preserve"> 1.0), slightly polluted (1.0 &lt; P</w:t>
      </w:r>
      <w:r>
        <w:rPr>
          <w:rFonts w:hint="eastAsia" w:ascii="Times New Roman" w:hAnsi="Times New Roman"/>
          <w:kern w:val="2"/>
          <w:sz w:val="24"/>
          <w:szCs w:val="24"/>
          <w:vertAlign w:val="subscript"/>
          <w:lang w:val="en-US" w:eastAsia="zh-CN"/>
        </w:rPr>
        <w:t xml:space="preserve">n </w:t>
      </w:r>
      <w:r>
        <w:rPr>
          <w:rFonts w:ascii="Times New Roman" w:hAnsi="Times New Roman" w:cs="Times New Roman"/>
          <w:szCs w:val="21"/>
        </w:rPr>
        <w:t>≤</w:t>
      </w:r>
      <w:r>
        <w:rPr>
          <w:rFonts w:hint="eastAsia" w:ascii="Times New Roman" w:hAnsi="Times New Roman"/>
          <w:kern w:val="2"/>
          <w:sz w:val="24"/>
          <w:szCs w:val="24"/>
          <w:lang w:val="en-US" w:eastAsia="zh-CN"/>
        </w:rPr>
        <w:t xml:space="preserve"> 2.0), moderately polluted (2.0 &lt; P</w:t>
      </w:r>
      <w:r>
        <w:rPr>
          <w:rFonts w:hint="eastAsia" w:ascii="Times New Roman" w:hAnsi="Times New Roman"/>
          <w:kern w:val="2"/>
          <w:sz w:val="24"/>
          <w:szCs w:val="24"/>
          <w:vertAlign w:val="subscript"/>
          <w:lang w:val="en-US" w:eastAsia="zh-CN"/>
        </w:rPr>
        <w:t xml:space="preserve">n </w:t>
      </w:r>
      <w:r>
        <w:rPr>
          <w:rFonts w:ascii="Times New Roman" w:hAnsi="Times New Roman" w:cs="Times New Roman"/>
          <w:szCs w:val="21"/>
        </w:rPr>
        <w:t>≤</w:t>
      </w:r>
      <w:r>
        <w:rPr>
          <w:rFonts w:hint="eastAsia" w:ascii="Times New Roman" w:hAnsi="Times New Roman"/>
          <w:kern w:val="2"/>
          <w:sz w:val="24"/>
          <w:szCs w:val="24"/>
          <w:lang w:val="en-US" w:eastAsia="zh-CN"/>
        </w:rPr>
        <w:t xml:space="preserve"> 3.0), and severely polluted (P</w:t>
      </w:r>
      <w:r>
        <w:rPr>
          <w:rFonts w:hint="eastAsia" w:ascii="Times New Roman" w:hAnsi="Times New Roman"/>
          <w:kern w:val="2"/>
          <w:sz w:val="24"/>
          <w:szCs w:val="24"/>
          <w:vertAlign w:val="subscript"/>
          <w:lang w:val="en-US" w:eastAsia="zh-CN"/>
        </w:rPr>
        <w:t xml:space="preserve">n </w:t>
      </w:r>
      <w:r>
        <w:rPr>
          <w:rFonts w:ascii="Times New Roman" w:hAnsi="Times New Roman" w:cs="Times New Roman"/>
          <w:szCs w:val="21"/>
        </w:rPr>
        <w:t>&gt;</w:t>
      </w:r>
      <w:r>
        <w:rPr>
          <w:rFonts w:hint="eastAsia" w:ascii="Times New Roman" w:hAnsi="Times New Roman"/>
          <w:kern w:val="2"/>
          <w:sz w:val="24"/>
          <w:szCs w:val="24"/>
          <w:lang w:val="en-US" w:eastAsia="zh-CN"/>
        </w:rPr>
        <w:t xml:space="preserve"> 3.0).</w:t>
      </w:r>
    </w:p>
    <w:p>
      <w:pPr>
        <w:spacing w:line="360" w:lineRule="auto"/>
        <w:ind w:firstLine="480" w:firstLineChars="200"/>
        <w:rPr>
          <w:rFonts w:hint="eastAsia" w:ascii="Times New Roman" w:hAnsi="Times New Roman"/>
          <w:kern w:val="2"/>
          <w:sz w:val="24"/>
          <w:szCs w:val="24"/>
          <w:lang w:val="en-US" w:eastAsia="zh-CN"/>
        </w:rPr>
      </w:pPr>
      <w:r>
        <w:rPr>
          <w:rFonts w:hint="eastAsia" w:ascii="Times New Roman" w:hAnsi="Times New Roman"/>
          <w:kern w:val="2"/>
          <w:sz w:val="24"/>
          <w:szCs w:val="24"/>
          <w:lang w:val="en-US" w:eastAsia="zh-CN"/>
        </w:rPr>
        <w:t>The potencial ecological risk index (RI) reflects the susceptibility of biomes to pollutants, which indicating the potential ecological risks of pollutants (</w:t>
      </w:r>
      <w:r>
        <w:rPr>
          <w:rFonts w:hint="eastAsia" w:ascii="Times New Roman" w:hAnsi="Times New Roman"/>
          <w:color w:val="0000FF"/>
          <w:kern w:val="2"/>
          <w:sz w:val="24"/>
          <w:szCs w:val="24"/>
          <w:lang w:val="en-US" w:eastAsia="zh-CN"/>
        </w:rPr>
        <w:t>Wu et al., 2020</w:t>
      </w:r>
      <w:r>
        <w:rPr>
          <w:rFonts w:hint="eastAsia" w:ascii="Times New Roman" w:hAnsi="Times New Roman"/>
          <w:kern w:val="2"/>
          <w:sz w:val="24"/>
          <w:szCs w:val="24"/>
          <w:lang w:val="en-US" w:eastAsia="zh-CN"/>
        </w:rPr>
        <w:t>). It can be calculated as following equation:</w:t>
      </w:r>
    </w:p>
    <w:p>
      <w:pPr>
        <w:pStyle w:val="3"/>
        <w:widowControl/>
        <w:spacing w:line="480" w:lineRule="auto"/>
        <w:jc w:val="right"/>
        <w:rPr>
          <w:rFonts w:ascii="Times New Roman" w:hAnsi="Times New Roman"/>
          <w:kern w:val="2"/>
          <w:sz w:val="21"/>
          <w:szCs w:val="21"/>
        </w:rPr>
      </w:pPr>
      <w:r>
        <w:rPr>
          <w:rFonts w:ascii="Times New Roman" w:hAnsi="Times New Roman"/>
          <w:position w:val="-30"/>
          <w:sz w:val="21"/>
          <w:szCs w:val="21"/>
        </w:rPr>
        <w:object>
          <v:shape id="_x0000_i1027" o:spt="75" type="#_x0000_t75" style="height:30.9pt;width:98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r>
        <w:rPr>
          <w:rFonts w:ascii="Times New Roman" w:hAnsi="Times New Roman"/>
          <w:sz w:val="21"/>
          <w:szCs w:val="21"/>
        </w:rPr>
        <w:t xml:space="preserve">                                                </w:t>
      </w:r>
      <w:r>
        <w:rPr>
          <w:rFonts w:hint="eastAsia" w:ascii="Times New Roman" w:hAnsi="Times New Roman"/>
          <w:sz w:val="21"/>
          <w:szCs w:val="21"/>
          <w:lang w:val="en-US" w:eastAsia="zh-CN"/>
        </w:rPr>
        <w:t xml:space="preserve"> </w:t>
      </w:r>
      <w:r>
        <w:rPr>
          <w:rFonts w:ascii="Times New Roman" w:hAnsi="Times New Roman"/>
          <w:sz w:val="21"/>
          <w:szCs w:val="21"/>
        </w:rPr>
        <w:t xml:space="preserve">      </w:t>
      </w:r>
      <w:r>
        <w:rPr>
          <w:rFonts w:ascii="Times New Roman" w:hAnsi="Times New Roman"/>
          <w:kern w:val="2"/>
          <w:sz w:val="21"/>
          <w:szCs w:val="21"/>
        </w:rPr>
        <w:t xml:space="preserve"> (3)</w:t>
      </w:r>
    </w:p>
    <w:p>
      <w:pPr>
        <w:spacing w:line="360" w:lineRule="auto"/>
        <w:ind w:firstLine="480" w:firstLineChars="200"/>
        <w:rPr>
          <w:rFonts w:hint="default" w:ascii="Times New Roman" w:hAnsi="Times New Roman" w:eastAsiaTheme="minorEastAsia"/>
          <w:kern w:val="2"/>
          <w:sz w:val="24"/>
          <w:szCs w:val="24"/>
          <w:lang w:val="en-US" w:eastAsia="zh-CN"/>
        </w:rPr>
      </w:pPr>
      <w:r>
        <w:rPr>
          <w:rFonts w:ascii="Times New Roman" w:hAnsi="Times New Roman"/>
          <w:kern w:val="2"/>
          <w:sz w:val="24"/>
          <w:szCs w:val="24"/>
        </w:rPr>
        <w:t xml:space="preserve">where n is the number of trace metals, </w:t>
      </w:r>
      <w:r>
        <w:rPr>
          <w:rFonts w:ascii="Times New Roman" w:hAnsi="Times New Roman"/>
          <w:kern w:val="2"/>
          <w:position w:val="-10"/>
          <w:sz w:val="24"/>
          <w:szCs w:val="24"/>
        </w:rPr>
        <w:object>
          <v:shape id="_x0000_i1028" o:spt="75" type="#_x0000_t75" style="height:18.25pt;width:18.25pt;" o:ole="t" filled="f" o:preferrelative="t" stroked="f" coordsize="21600,21600">
            <v:path/>
            <v:fill on="f" focussize="0,0"/>
            <v:stroke on="f" joinstyle="miter"/>
            <v:imagedata r:id="rId11" o:title=""/>
            <o:lock v:ext="edit" aspectratio="t"/>
            <w10:wrap type="none"/>
            <w10:anchorlock/>
          </v:shape>
          <o:OLEObject Type="Embed" ProgID="Equation.KSEE3" ShapeID="_x0000_i1028" DrawAspect="Content" ObjectID="_1468075728" r:id="rId10">
            <o:LockedField>false</o:LockedField>
          </o:OLEObject>
        </w:object>
      </w:r>
      <w:r>
        <w:rPr>
          <w:rFonts w:ascii="Times New Roman" w:hAnsi="Times New Roman"/>
          <w:kern w:val="2"/>
          <w:sz w:val="24"/>
          <w:szCs w:val="24"/>
        </w:rPr>
        <w:t xml:space="preserve">represents potential ecological index for a single element. </w:t>
      </w:r>
      <w:r>
        <w:rPr>
          <w:rFonts w:ascii="Times New Roman" w:hAnsi="Times New Roman"/>
          <w:kern w:val="2"/>
          <w:position w:val="-10"/>
          <w:sz w:val="24"/>
          <w:szCs w:val="24"/>
        </w:rPr>
        <w:object>
          <v:shape id="_x0000_i1029" o:spt="75" type="#_x0000_t75" style="height:18.25pt;width:12.15pt;" o:ole="t" filled="f" o:preferrelative="t" stroked="f" coordsize="21600,21600">
            <v:path/>
            <v:fill on="f" focussize="0,0"/>
            <v:stroke on="f" joinstyle="miter"/>
            <v:imagedata r:id="rId13" o:title=""/>
            <o:lock v:ext="edit" aspectratio="t"/>
            <w10:wrap type="none"/>
            <w10:anchorlock/>
          </v:shape>
          <o:OLEObject Type="Embed" ProgID="Equation.KSEE3" ShapeID="_x0000_i1029" DrawAspect="Content" ObjectID="_1468075729" r:id="rId12">
            <o:LockedField>false</o:LockedField>
          </o:OLEObject>
        </w:object>
      </w:r>
      <w:r>
        <w:rPr>
          <w:rFonts w:ascii="Times New Roman" w:hAnsi="Times New Roman"/>
          <w:kern w:val="2"/>
          <w:sz w:val="24"/>
          <w:szCs w:val="24"/>
        </w:rPr>
        <w:t>is the toxic response factor, C</w:t>
      </w:r>
      <w:r>
        <w:rPr>
          <w:rFonts w:ascii="Times New Roman" w:hAnsi="Times New Roman"/>
          <w:kern w:val="2"/>
          <w:sz w:val="24"/>
          <w:szCs w:val="24"/>
          <w:vertAlign w:val="subscript"/>
        </w:rPr>
        <w:t>i</w:t>
      </w:r>
      <w:r>
        <w:rPr>
          <w:rFonts w:ascii="Times New Roman" w:hAnsi="Times New Roman"/>
          <w:kern w:val="2"/>
          <w:sz w:val="24"/>
          <w:szCs w:val="24"/>
        </w:rPr>
        <w:t xml:space="preserve"> and S</w:t>
      </w:r>
      <w:r>
        <w:rPr>
          <w:rFonts w:ascii="Times New Roman" w:hAnsi="Times New Roman"/>
          <w:kern w:val="2"/>
          <w:sz w:val="24"/>
          <w:szCs w:val="24"/>
          <w:vertAlign w:val="subscript"/>
        </w:rPr>
        <w:t>i</w:t>
      </w:r>
      <w:r>
        <w:rPr>
          <w:rFonts w:ascii="Times New Roman" w:hAnsi="Times New Roman"/>
          <w:kern w:val="2"/>
          <w:sz w:val="24"/>
          <w:szCs w:val="24"/>
        </w:rPr>
        <w:t xml:space="preserve"> have the same meaning as in Eq. (</w:t>
      </w:r>
      <w:r>
        <w:rPr>
          <w:rFonts w:hint="eastAsia" w:ascii="Times New Roman" w:hAnsi="Times New Roman"/>
          <w:kern w:val="2"/>
          <w:sz w:val="24"/>
          <w:szCs w:val="24"/>
          <w:lang w:val="en-US" w:eastAsia="zh-CN"/>
        </w:rPr>
        <w:t>2</w:t>
      </w:r>
      <w:r>
        <w:rPr>
          <w:rFonts w:ascii="Times New Roman" w:hAnsi="Times New Roman"/>
          <w:kern w:val="2"/>
          <w:sz w:val="24"/>
          <w:szCs w:val="24"/>
        </w:rPr>
        <w:t>)</w:t>
      </w:r>
      <w:r>
        <w:rPr>
          <w:rFonts w:hint="eastAsia" w:ascii="Times New Roman" w:hAnsi="Times New Roman"/>
          <w:kern w:val="2"/>
          <w:sz w:val="24"/>
          <w:szCs w:val="24"/>
        </w:rPr>
        <w:t>.</w:t>
      </w:r>
      <w:r>
        <w:rPr>
          <w:rFonts w:hint="eastAsia" w:ascii="Times New Roman" w:hAnsi="Times New Roman"/>
          <w:kern w:val="2"/>
          <w:sz w:val="24"/>
          <w:szCs w:val="24"/>
          <w:lang w:val="en-US" w:eastAsia="zh-CN"/>
        </w:rPr>
        <w:t xml:space="preserve"> According to RI, low risk (RI</w:t>
      </w:r>
      <w:r>
        <w:rPr>
          <w:rFonts w:hint="default" w:ascii="Times New Roman" w:hAnsi="Times New Roman" w:cs="Times New Roman"/>
          <w:kern w:val="2"/>
          <w:sz w:val="24"/>
          <w:szCs w:val="24"/>
          <w:lang w:val="en-US" w:eastAsia="zh-CN"/>
        </w:rPr>
        <w:t xml:space="preserve"> ≤</w:t>
      </w:r>
      <w:r>
        <w:rPr>
          <w:rFonts w:hint="eastAsia" w:ascii="Times New Roman" w:hAnsi="Times New Roman"/>
          <w:kern w:val="2"/>
          <w:sz w:val="24"/>
          <w:szCs w:val="24"/>
          <w:lang w:val="en-US" w:eastAsia="zh-CN"/>
        </w:rPr>
        <w:t xml:space="preserve"> 150), moderate risk (</w:t>
      </w:r>
      <w:r>
        <w:rPr>
          <w:rFonts w:ascii="Times New Roman" w:hAnsi="Times New Roman" w:cs="Times New Roman"/>
          <w:sz w:val="24"/>
          <w:szCs w:val="24"/>
        </w:rPr>
        <w:t>150＜RI ≤ 300</w:t>
      </w:r>
      <w:r>
        <w:rPr>
          <w:rFonts w:hint="eastAsia" w:ascii="Times New Roman" w:hAnsi="Times New Roman"/>
          <w:kern w:val="2"/>
          <w:sz w:val="24"/>
          <w:szCs w:val="24"/>
          <w:lang w:val="en-US" w:eastAsia="zh-CN"/>
        </w:rPr>
        <w:t>), considerable risk (</w:t>
      </w:r>
      <w:r>
        <w:rPr>
          <w:rFonts w:ascii="Times New Roman" w:hAnsi="Times New Roman" w:cs="Times New Roman"/>
          <w:sz w:val="24"/>
          <w:szCs w:val="24"/>
        </w:rPr>
        <w:t>300＜RI ≤ 600</w:t>
      </w:r>
      <w:r>
        <w:rPr>
          <w:rFonts w:hint="eastAsia" w:ascii="Times New Roman" w:hAnsi="Times New Roman"/>
          <w:kern w:val="2"/>
          <w:sz w:val="24"/>
          <w:szCs w:val="24"/>
          <w:lang w:val="en-US" w:eastAsia="zh-CN"/>
        </w:rPr>
        <w:t>), and high risk (</w:t>
      </w:r>
      <w:r>
        <w:rPr>
          <w:rFonts w:ascii="Times New Roman" w:hAnsi="Times New Roman" w:cs="Times New Roman"/>
          <w:sz w:val="24"/>
          <w:szCs w:val="24"/>
        </w:rPr>
        <w:t>RI &gt; 600</w:t>
      </w:r>
      <w:r>
        <w:rPr>
          <w:rFonts w:hint="eastAsia" w:ascii="Times New Roman" w:hAnsi="Times New Roman"/>
          <w:kern w:val="2"/>
          <w:sz w:val="24"/>
          <w:szCs w:val="24"/>
          <w:lang w:val="en-US" w:eastAsia="zh-CN"/>
        </w:rPr>
        <w:t>) were identified.</w:t>
      </w:r>
    </w:p>
    <w:p>
      <w:pPr>
        <w:pStyle w:val="3"/>
        <w:widowControl/>
        <w:spacing w:line="360" w:lineRule="auto"/>
        <w:rPr>
          <w:rFonts w:hint="eastAsia" w:ascii="Times New Roman" w:hAnsi="Times New Roman" w:eastAsia="黑体"/>
          <w:b/>
          <w:kern w:val="2"/>
          <w:szCs w:val="21"/>
          <w:lang w:val="en-US" w:eastAsia="zh-CN"/>
        </w:rPr>
      </w:pPr>
      <w:r>
        <w:rPr>
          <w:rFonts w:hint="eastAsia" w:ascii="Times New Roman" w:hAnsi="Times New Roman" w:eastAsia="黑体"/>
          <w:b/>
          <w:kern w:val="2"/>
          <w:szCs w:val="21"/>
          <w:lang w:val="en-US" w:eastAsia="zh-CN"/>
        </w:rPr>
        <w:t>1.1 Source oriented daily dose calculation</w:t>
      </w:r>
    </w:p>
    <w:p>
      <w:pPr>
        <w:spacing w:line="360" w:lineRule="auto"/>
        <w:ind w:firstLine="480" w:firstLineChars="200"/>
        <w:rPr>
          <w:rFonts w:hint="eastAsia" w:ascii="Times New Roman" w:hAnsi="Times New Roman"/>
          <w:kern w:val="2"/>
          <w:sz w:val="24"/>
          <w:szCs w:val="24"/>
          <w:lang w:val="en-US" w:eastAsia="zh-CN"/>
        </w:rPr>
      </w:pPr>
      <w:r>
        <w:rPr>
          <w:rFonts w:hint="eastAsia" w:ascii="Times New Roman" w:hAnsi="Times New Roman"/>
          <w:kern w:val="2"/>
          <w:sz w:val="24"/>
          <w:szCs w:val="24"/>
          <w:lang w:val="en-US" w:eastAsia="zh-CN"/>
        </w:rPr>
        <w:t>Generally, ingestion, inhalation and dermal contact are the main exposure pathways for children and adults. The source oriented health risk was calculated according to Liu et al. (</w:t>
      </w:r>
      <w:r>
        <w:rPr>
          <w:rFonts w:hint="eastAsia" w:ascii="Times New Roman" w:hAnsi="Times New Roman"/>
          <w:color w:val="0000FF"/>
          <w:kern w:val="2"/>
          <w:sz w:val="24"/>
          <w:szCs w:val="24"/>
          <w:lang w:val="en-US" w:eastAsia="zh-CN"/>
        </w:rPr>
        <w:t>2022</w:t>
      </w:r>
      <w:r>
        <w:rPr>
          <w:rFonts w:hint="eastAsia" w:ascii="Times New Roman" w:hAnsi="Times New Roman"/>
          <w:kern w:val="2"/>
          <w:sz w:val="24"/>
          <w:szCs w:val="24"/>
          <w:lang w:val="en-US" w:eastAsia="zh-CN"/>
        </w:rPr>
        <w:t>). The equations are as follows:</w:t>
      </w:r>
    </w:p>
    <w:p>
      <w:pPr>
        <w:jc w:val="right"/>
        <w:rPr>
          <w:rFonts w:ascii="Times New Roman" w:hAnsi="Times New Roman" w:cs="Times New Roman"/>
          <w:position w:val="-24"/>
          <w:sz w:val="24"/>
          <w:lang w:bidi="ar"/>
        </w:rPr>
      </w:pPr>
      <w:r>
        <w:rPr>
          <w:rFonts w:ascii="Times New Roman" w:hAnsi="Times New Roman" w:cs="Times New Roman"/>
          <w:position w:val="-24"/>
          <w:sz w:val="24"/>
          <w:lang w:bidi="ar"/>
        </w:rPr>
        <w:object>
          <v:shape id="_x0000_i1030" o:spt="75" type="#_x0000_t75" style="height:30.6pt;width:131.55pt;" o:ole="t" filled="f" o:preferrelative="t" stroked="f" coordsize="21600,21600">
            <v:path/>
            <v:fill on="f" focussize="0,0"/>
            <v:stroke on="f" joinstyle="miter"/>
            <v:imagedata r:id="rId15" o:title=""/>
            <o:lock v:ext="edit" aspectratio="t"/>
            <w10:wrap type="none"/>
            <w10:anchorlock/>
          </v:shape>
          <o:OLEObject Type="Embed" ProgID="Equation.DSMT4" ShapeID="_x0000_i1030" DrawAspect="Content" ObjectID="_1468075730" r:id="rId14">
            <o:LockedField>false</o:LockedField>
          </o:OLEObject>
        </w:object>
      </w:r>
      <w:r>
        <w:rPr>
          <w:rFonts w:hint="eastAsia" w:ascii="Times New Roman" w:hAnsi="Times New Roman" w:cs="Times New Roman"/>
          <w:position w:val="-24"/>
          <w:sz w:val="24"/>
          <w:lang w:bidi="ar"/>
        </w:rPr>
        <w:t>................................................(1)</w:t>
      </w:r>
    </w:p>
    <w:p>
      <w:pPr>
        <w:jc w:val="right"/>
        <w:rPr>
          <w:rFonts w:ascii="Times New Roman" w:hAnsi="Times New Roman" w:cs="Times New Roman"/>
          <w:position w:val="-24"/>
          <w:sz w:val="24"/>
          <w:lang w:bidi="ar"/>
        </w:rPr>
      </w:pPr>
      <w:r>
        <w:rPr>
          <w:rFonts w:ascii="Times New Roman" w:hAnsi="Times New Roman" w:cs="Times New Roman"/>
          <w:position w:val="-24"/>
          <w:sz w:val="24"/>
          <w:lang w:bidi="ar"/>
        </w:rPr>
        <w:object>
          <v:shape id="_x0000_i1031" o:spt="75" type="#_x0000_t75" style="height:30.6pt;width:135.5pt;" o:ole="t" filled="f" o:preferrelative="t" stroked="f" coordsize="21600,21600">
            <v:path/>
            <v:fill on="f" focussize="0,0"/>
            <v:stroke on="f" joinstyle="miter"/>
            <v:imagedata r:id="rId17" o:title=""/>
            <o:lock v:ext="edit" aspectratio="t"/>
            <w10:wrap type="none"/>
            <w10:anchorlock/>
          </v:shape>
          <o:OLEObject Type="Embed" ProgID="Equation.DSMT4" ShapeID="_x0000_i1031" DrawAspect="Content" ObjectID="_1468075731" r:id="rId16">
            <o:LockedField>false</o:LockedField>
          </o:OLEObject>
        </w:object>
      </w:r>
      <w:r>
        <w:rPr>
          <w:rFonts w:hint="eastAsia" w:ascii="Times New Roman" w:hAnsi="Times New Roman" w:cs="Times New Roman"/>
          <w:position w:val="-24"/>
          <w:sz w:val="24"/>
          <w:lang w:bidi="ar"/>
        </w:rPr>
        <w:t>................................................(2)</w:t>
      </w:r>
    </w:p>
    <w:p>
      <w:pPr>
        <w:jc w:val="right"/>
        <w:rPr>
          <w:rFonts w:hint="eastAsia" w:ascii="Times New Roman" w:hAnsi="Times New Roman" w:cs="Times New Roman"/>
          <w:position w:val="-24"/>
          <w:sz w:val="24"/>
          <w:lang w:bidi="ar"/>
        </w:rPr>
      </w:pPr>
      <w:r>
        <w:rPr>
          <w:rFonts w:ascii="Times New Roman" w:hAnsi="Times New Roman" w:cs="Times New Roman"/>
          <w:position w:val="-24"/>
          <w:sz w:val="24"/>
          <w:lang w:bidi="ar"/>
        </w:rPr>
        <w:object>
          <v:shape id="_x0000_i1032" o:spt="75" type="#_x0000_t75" style="height:30.6pt;width:189.15pt;" o:ole="t" filled="f" o:preferrelative="t" stroked="f" coordsize="21600,21600">
            <v:path/>
            <v:fill on="f" focussize="0,0"/>
            <v:stroke on="f"/>
            <v:imagedata r:id="rId19" o:title=""/>
            <o:lock v:ext="edit" aspectratio="t"/>
            <w10:wrap type="none"/>
            <w10:anchorlock/>
          </v:shape>
          <o:OLEObject Type="Embed" ProgID="Equation.DSMT4" ShapeID="_x0000_i1032" DrawAspect="Content" ObjectID="_1468075732" r:id="rId18">
            <o:LockedField>false</o:LockedField>
          </o:OLEObject>
        </w:object>
      </w:r>
      <w:r>
        <w:rPr>
          <w:rFonts w:hint="eastAsia" w:ascii="Times New Roman" w:hAnsi="Times New Roman" w:cs="Times New Roman"/>
          <w:position w:val="-24"/>
          <w:sz w:val="24"/>
          <w:lang w:bidi="ar"/>
        </w:rPr>
        <w:t>...............................(3)</w:t>
      </w:r>
    </w:p>
    <w:p>
      <w:pPr>
        <w:jc w:val="right"/>
        <w:rPr>
          <w:rFonts w:ascii="Times New Roman" w:hAnsi="Times New Roman"/>
          <w:b/>
          <w:kern w:val="0"/>
          <w:sz w:val="24"/>
        </w:rPr>
      </w:pPr>
      <w:r>
        <w:rPr>
          <w:rFonts w:ascii="Times New Roman" w:hAnsi="Times New Roman" w:cs="Times New Roman"/>
          <w:position w:val="-12"/>
          <w:sz w:val="24"/>
          <w:lang w:bidi="ar"/>
        </w:rPr>
        <w:object>
          <v:shape id="_x0000_i1033" o:spt="75" type="#_x0000_t75" style="height:17.65pt;width:82.25pt;" o:ole="t" filled="f" o:preferrelative="t" stroked="f" coordsize="21600,21600">
            <v:path/>
            <v:fill on="f" focussize="0,0"/>
            <v:stroke on="f"/>
            <v:imagedata r:id="rId21" o:title=""/>
            <o:lock v:ext="edit" aspectratio="t"/>
            <w10:wrap type="none"/>
            <w10:anchorlock/>
          </v:shape>
          <o:OLEObject Type="Embed" ProgID="Equation.DSMT4" ShapeID="_x0000_i1033" DrawAspect="Content" ObjectID="_1468075733" r:id="rId20">
            <o:LockedField>false</o:LockedField>
          </o:OLEObject>
        </w:object>
      </w:r>
      <w:r>
        <w:rPr>
          <w:rFonts w:ascii="Times New Roman" w:hAnsi="Times New Roman"/>
          <w:position w:val="-12"/>
          <w:sz w:val="24"/>
        </w:rPr>
        <w:t>.............................................</w:t>
      </w:r>
      <w:r>
        <w:rPr>
          <w:rFonts w:hint="eastAsia" w:ascii="Times New Roman" w:hAnsi="Times New Roman"/>
          <w:position w:val="-12"/>
          <w:sz w:val="24"/>
          <w:lang w:val="en-US" w:eastAsia="zh-CN"/>
        </w:rPr>
        <w:t>...</w:t>
      </w:r>
      <w:r>
        <w:rPr>
          <w:rFonts w:ascii="Times New Roman" w:hAnsi="Times New Roman"/>
          <w:position w:val="-12"/>
          <w:sz w:val="24"/>
        </w:rPr>
        <w:t>..................(4)</w:t>
      </w:r>
    </w:p>
    <w:p>
      <w:pPr>
        <w:jc w:val="right"/>
        <w:rPr>
          <w:rFonts w:ascii="Times New Roman" w:hAnsi="Times New Roman"/>
          <w:b/>
          <w:kern w:val="0"/>
          <w:sz w:val="24"/>
        </w:rPr>
      </w:pPr>
      <w:r>
        <w:rPr>
          <w:rFonts w:ascii="Times New Roman" w:hAnsi="Times New Roman" w:cs="Times New Roman"/>
          <w:position w:val="-14"/>
          <w:sz w:val="24"/>
          <w:lang w:bidi="ar"/>
        </w:rPr>
        <w:object>
          <v:shape id="_x0000_i1034" o:spt="75" type="#_x0000_t75" style="height:18.6pt;width:58.9pt;" o:ole="t" filled="f" o:preferrelative="t" stroked="f" coordsize="21600,21600">
            <v:path/>
            <v:fill on="f" focussize="0,0"/>
            <v:stroke on="f"/>
            <v:imagedata r:id="rId23" o:title=""/>
            <o:lock v:ext="edit" aspectratio="t"/>
            <w10:wrap type="none"/>
            <w10:anchorlock/>
          </v:shape>
          <o:OLEObject Type="Embed" ProgID="Equation.DSMT4" ShapeID="_x0000_i1034" DrawAspect="Content" ObjectID="_1468075734" r:id="rId22">
            <o:LockedField>false</o:LockedField>
          </o:OLEObject>
        </w:object>
      </w:r>
      <w:r>
        <w:rPr>
          <w:rFonts w:ascii="Times New Roman" w:hAnsi="Times New Roman"/>
          <w:position w:val="-14"/>
          <w:sz w:val="24"/>
        </w:rPr>
        <w:t>...........................</w:t>
      </w:r>
      <w:r>
        <w:rPr>
          <w:rFonts w:hint="eastAsia" w:ascii="Times New Roman" w:hAnsi="Times New Roman"/>
          <w:position w:val="-14"/>
          <w:sz w:val="24"/>
          <w:lang w:val="en-US" w:eastAsia="zh-CN"/>
        </w:rPr>
        <w:t>......</w:t>
      </w:r>
      <w:r>
        <w:rPr>
          <w:rFonts w:ascii="Times New Roman" w:hAnsi="Times New Roman"/>
          <w:position w:val="-14"/>
          <w:sz w:val="24"/>
        </w:rPr>
        <w:t>.......................................(5)</w:t>
      </w:r>
    </w:p>
    <w:p>
      <w:pPr>
        <w:jc w:val="right"/>
        <w:rPr>
          <w:rFonts w:ascii="Times New Roman" w:hAnsi="Times New Roman"/>
          <w:position w:val="-12"/>
          <w:sz w:val="24"/>
        </w:rPr>
      </w:pPr>
      <w:r>
        <w:rPr>
          <w:rFonts w:ascii="Times New Roman" w:hAnsi="Times New Roman" w:cs="Times New Roman"/>
          <w:position w:val="-12"/>
          <w:sz w:val="24"/>
          <w:lang w:bidi="ar"/>
        </w:rPr>
        <w:object>
          <v:shape id="_x0000_i1035" o:spt="75" type="#_x0000_t75" style="height:17.65pt;width:89.75pt;" o:ole="t" filled="f" o:preferrelative="t" stroked="f" coordsize="21600,21600">
            <v:path/>
            <v:fill on="f" focussize="0,0"/>
            <v:stroke on="f"/>
            <v:imagedata r:id="rId25" o:title=""/>
            <o:lock v:ext="edit" aspectratio="t"/>
            <w10:wrap type="none"/>
            <w10:anchorlock/>
          </v:shape>
          <o:OLEObject Type="Embed" ProgID="Equation.DSMT4" ShapeID="_x0000_i1035" DrawAspect="Content" ObjectID="_1468075735" r:id="rId24">
            <o:LockedField>false</o:LockedField>
          </o:OLEObject>
        </w:object>
      </w:r>
      <w:r>
        <w:rPr>
          <w:rFonts w:ascii="Times New Roman" w:hAnsi="Times New Roman"/>
          <w:position w:val="-12"/>
          <w:sz w:val="24"/>
        </w:rPr>
        <w:t>.</w:t>
      </w:r>
      <w:r>
        <w:rPr>
          <w:rFonts w:hint="eastAsia" w:ascii="Times New Roman" w:hAnsi="Times New Roman"/>
          <w:position w:val="-12"/>
          <w:sz w:val="24"/>
          <w:lang w:val="en-US" w:eastAsia="zh-CN"/>
        </w:rPr>
        <w:t>........</w:t>
      </w:r>
      <w:r>
        <w:rPr>
          <w:rFonts w:ascii="Times New Roman" w:hAnsi="Times New Roman"/>
          <w:position w:val="-12"/>
          <w:sz w:val="24"/>
        </w:rPr>
        <w:t>.......................................................(6)</w:t>
      </w:r>
    </w:p>
    <w:p>
      <w:pPr>
        <w:jc w:val="right"/>
        <w:rPr>
          <w:rFonts w:ascii="Times New Roman" w:hAnsi="Times New Roman"/>
          <w:position w:val="-14"/>
          <w:sz w:val="24"/>
        </w:rPr>
      </w:pPr>
      <w:r>
        <w:rPr>
          <w:rFonts w:ascii="Times New Roman" w:hAnsi="Times New Roman" w:cs="Times New Roman"/>
          <w:position w:val="-14"/>
          <w:sz w:val="24"/>
          <w:lang w:bidi="ar"/>
        </w:rPr>
        <w:object>
          <v:shape id="_x0000_i1036" o:spt="75" type="#_x0000_t75" style="height:18.6pt;width:64.55pt;" o:ole="t" filled="f" o:preferrelative="t" stroked="f" coordsize="21600,21600">
            <v:path/>
            <v:fill on="f" focussize="0,0"/>
            <v:stroke on="f"/>
            <v:imagedata r:id="rId27" o:title=""/>
            <o:lock v:ext="edit" aspectratio="t"/>
            <w10:wrap type="none"/>
            <w10:anchorlock/>
          </v:shape>
          <o:OLEObject Type="Embed" ProgID="Equation.DSMT4" ShapeID="_x0000_i1036" DrawAspect="Content" ObjectID="_1468075736" r:id="rId26">
            <o:LockedField>false</o:LockedField>
          </o:OLEObject>
        </w:object>
      </w:r>
      <w:r>
        <w:rPr>
          <w:rFonts w:ascii="Times New Roman" w:hAnsi="Times New Roman"/>
          <w:position w:val="-12"/>
          <w:sz w:val="24"/>
        </w:rPr>
        <w:t>.......................</w:t>
      </w:r>
      <w:r>
        <w:rPr>
          <w:rFonts w:hint="eastAsia" w:ascii="Times New Roman" w:hAnsi="Times New Roman"/>
          <w:position w:val="-12"/>
          <w:sz w:val="24"/>
          <w:lang w:val="en-US" w:eastAsia="zh-CN"/>
        </w:rPr>
        <w:t>....</w:t>
      </w:r>
      <w:r>
        <w:rPr>
          <w:rFonts w:ascii="Times New Roman" w:hAnsi="Times New Roman"/>
          <w:position w:val="-12"/>
          <w:sz w:val="24"/>
        </w:rPr>
        <w:t>............................................</w:t>
      </w:r>
      <w:r>
        <w:rPr>
          <w:rFonts w:ascii="Times New Roman" w:hAnsi="Times New Roman"/>
          <w:position w:val="-14"/>
          <w:sz w:val="24"/>
        </w:rPr>
        <w:t>(7)</w:t>
      </w:r>
    </w:p>
    <w:p>
      <w:pPr>
        <w:jc w:val="right"/>
        <w:rPr>
          <w:rFonts w:hint="eastAsia" w:ascii="Times New Roman" w:hAnsi="Times New Roman" w:cs="Times New Roman"/>
          <w:position w:val="-24"/>
          <w:sz w:val="24"/>
          <w:lang w:bidi="ar"/>
        </w:rPr>
      </w:pPr>
    </w:p>
    <w:p>
      <w:pPr>
        <w:spacing w:line="360" w:lineRule="auto"/>
        <w:ind w:firstLine="480" w:firstLineChars="200"/>
        <w:rPr>
          <w:rFonts w:hint="default" w:ascii="TimesNewRoman" w:hAnsi="TimesNewRoman" w:cs="TimesNewRoman" w:eastAsiaTheme="minorEastAsia"/>
          <w:bCs/>
          <w:kern w:val="0"/>
          <w:sz w:val="24"/>
          <w:lang w:val="en-US" w:eastAsia="zh-CN"/>
        </w:rPr>
      </w:pPr>
      <w:r>
        <w:rPr>
          <w:rFonts w:hint="eastAsia" w:ascii="TimesNewRoman" w:hAnsi="TimesNewRoman" w:cs="TimesNewRoman"/>
          <w:bCs/>
          <w:kern w:val="0"/>
          <w:sz w:val="24"/>
        </w:rPr>
        <w:t>W</w:t>
      </w:r>
      <w:r>
        <w:rPr>
          <w:rFonts w:ascii="TimesNewRoman" w:hAnsi="TimesNewRoman" w:cs="TimesNewRoman"/>
          <w:bCs/>
          <w:kern w:val="0"/>
          <w:sz w:val="24"/>
        </w:rPr>
        <w:t>here C</w:t>
      </w:r>
      <w:r>
        <w:rPr>
          <w:rFonts w:ascii="TimesNewRoman" w:hAnsi="TimesNewRoman" w:cs="TimesNewRoman"/>
          <w:bCs/>
          <w:kern w:val="0"/>
          <w:sz w:val="24"/>
          <w:vertAlign w:val="subscript"/>
        </w:rPr>
        <w:t>i</w:t>
      </w:r>
      <w:r>
        <w:rPr>
          <w:rFonts w:hint="eastAsia" w:ascii="TimesNewRoman" w:hAnsi="TimesNewRoman" w:cs="TimesNewRoman"/>
          <w:bCs/>
          <w:kern w:val="0"/>
          <w:sz w:val="24"/>
          <w:vertAlign w:val="superscript"/>
        </w:rPr>
        <w:t>k</w:t>
      </w:r>
      <w:r>
        <w:rPr>
          <w:rFonts w:ascii="TimesNewRoman" w:hAnsi="TimesNewRoman" w:cs="TimesNewRoman"/>
          <w:bCs/>
          <w:kern w:val="0"/>
          <w:sz w:val="24"/>
        </w:rPr>
        <w:t xml:space="preserve"> is the concentration of i</w:t>
      </w:r>
      <w:r>
        <w:rPr>
          <w:rFonts w:ascii="TimesNewRoman" w:hAnsi="TimesNewRoman" w:cs="TimesNewRoman"/>
          <w:bCs/>
          <w:kern w:val="0"/>
          <w:sz w:val="24"/>
          <w:vertAlign w:val="superscript"/>
        </w:rPr>
        <w:t>th</w:t>
      </w:r>
      <w:r>
        <w:rPr>
          <w:rFonts w:hint="eastAsia" w:ascii="TimesNewRoman" w:hAnsi="TimesNewRoman" w:cs="TimesNewRoman"/>
          <w:bCs/>
          <w:kern w:val="0"/>
          <w:sz w:val="24"/>
          <w:vertAlign w:val="superscript"/>
        </w:rPr>
        <w:t xml:space="preserve"> </w:t>
      </w:r>
      <w:r>
        <w:rPr>
          <w:rFonts w:hint="eastAsia" w:ascii="TimesNewRoman" w:hAnsi="TimesNewRoman" w:cs="TimesNewRoman"/>
          <w:bCs/>
          <w:kern w:val="0"/>
          <w:sz w:val="24"/>
        </w:rPr>
        <w:t>from the kth source of pollutant</w:t>
      </w:r>
      <w:r>
        <w:rPr>
          <w:rFonts w:ascii="TimesNewRoman" w:hAnsi="TimesNewRoman" w:cs="TimesNewRoman"/>
          <w:bCs/>
          <w:kern w:val="0"/>
          <w:sz w:val="24"/>
        </w:rPr>
        <w:t xml:space="preserve"> i. </w:t>
      </w:r>
      <w:r>
        <w:rPr>
          <w:rFonts w:hint="eastAsia" w:ascii="TimesNewRoman" w:hAnsi="TimesNewRoman" w:cs="TimesNewRoman"/>
          <w:bCs/>
          <w:kern w:val="0"/>
          <w:sz w:val="24"/>
        </w:rPr>
        <w:t>R</w:t>
      </w:r>
      <w:r>
        <w:rPr>
          <w:rFonts w:hint="eastAsia" w:ascii="TimesNewRoman" w:hAnsi="TimesNewRoman" w:cs="TimesNewRoman"/>
          <w:bCs/>
          <w:kern w:val="0"/>
          <w:sz w:val="24"/>
          <w:vertAlign w:val="subscript"/>
        </w:rPr>
        <w:t>ing</w:t>
      </w:r>
      <w:r>
        <w:rPr>
          <w:rFonts w:hint="eastAsia" w:ascii="TimesNewRoman" w:hAnsi="TimesNewRoman" w:cs="TimesNewRoman"/>
          <w:bCs/>
          <w:kern w:val="0"/>
          <w:sz w:val="24"/>
        </w:rPr>
        <w:t xml:space="preserve"> is the inhalation rate, R</w:t>
      </w:r>
      <w:r>
        <w:rPr>
          <w:rFonts w:hint="eastAsia" w:ascii="TimesNewRoman" w:hAnsi="TimesNewRoman" w:cs="TimesNewRoman"/>
          <w:bCs/>
          <w:kern w:val="0"/>
          <w:sz w:val="24"/>
          <w:vertAlign w:val="subscript"/>
        </w:rPr>
        <w:t>ing</w:t>
      </w:r>
      <w:r>
        <w:rPr>
          <w:rFonts w:hint="eastAsia" w:ascii="TimesNewRoman" w:hAnsi="TimesNewRoman" w:cs="TimesNewRoman"/>
          <w:bCs/>
          <w:kern w:val="0"/>
          <w:sz w:val="24"/>
        </w:rPr>
        <w:t xml:space="preserve"> is the soil ingestion rate. EF, ED, BW, AT, PEF, SA, AF, and ABF are the exposure frequency, exposure duration, body weight, average life span, soil particle emission factor, dermal exposure area, dermal adherence factor, and </w:t>
      </w:r>
      <w:r>
        <w:rPr>
          <w:rFonts w:ascii="Times New Roman" w:hAnsi="Times New Roman" w:eastAsia="宋体" w:cs="Times New Roman"/>
          <w:color w:val="000000"/>
          <w:kern w:val="0"/>
          <w:sz w:val="24"/>
          <w:lang w:bidi="ar"/>
        </w:rPr>
        <w:t>Dermal adsorption factor</w:t>
      </w:r>
      <w:r>
        <w:rPr>
          <w:rFonts w:hint="eastAsia" w:ascii="TimesNewRoman" w:hAnsi="TimesNewRoman" w:cs="TimesNewRoman"/>
          <w:bCs/>
          <w:kern w:val="0"/>
          <w:sz w:val="24"/>
        </w:rPr>
        <w:t>, respectively.</w:t>
      </w:r>
      <w:r>
        <w:rPr>
          <w:rFonts w:hint="eastAsia" w:ascii="TimesNewRoman" w:hAnsi="TimesNewRoman" w:cs="TimesNewRoman"/>
          <w:bCs/>
          <w:kern w:val="0"/>
          <w:sz w:val="24"/>
          <w:lang w:val="en-US" w:eastAsia="zh-CN"/>
        </w:rPr>
        <w:t xml:space="preserve"> </w:t>
      </w:r>
      <w:r>
        <w:rPr>
          <w:rFonts w:ascii="TimesNewRoman" w:hAnsi="TimesNewRoman" w:cs="TimesNewRoman"/>
          <w:bCs/>
          <w:kern w:val="0"/>
          <w:sz w:val="24"/>
        </w:rPr>
        <w:t>C</w:t>
      </w:r>
      <w:r>
        <w:rPr>
          <w:rFonts w:hint="eastAsia" w:ascii="TimesNewRoman" w:hAnsi="TimesNewRoman" w:cs="TimesNewRoman"/>
          <w:bCs/>
          <w:kern w:val="0"/>
          <w:sz w:val="24"/>
          <w:lang w:val="en-US" w:eastAsia="zh-CN"/>
        </w:rPr>
        <w:t>R</w:t>
      </w:r>
      <w:r>
        <w:rPr>
          <w:rFonts w:ascii="TimesNewRoman" w:hAnsi="TimesNewRoman" w:cs="TimesNewRoman"/>
          <w:bCs/>
          <w:kern w:val="0"/>
          <w:sz w:val="24"/>
          <w:vertAlign w:val="subscript"/>
        </w:rPr>
        <w:t>i</w:t>
      </w:r>
      <w:r>
        <w:rPr>
          <w:rFonts w:ascii="TimesNewRoman" w:hAnsi="TimesNewRoman" w:cs="TimesNewRoman"/>
          <w:bCs/>
          <w:kern w:val="0"/>
          <w:sz w:val="24"/>
        </w:rPr>
        <w:t xml:space="preserve"> </w:t>
      </w:r>
      <w:r>
        <w:rPr>
          <w:rFonts w:ascii="Times New Roman" w:hAnsi="Times New Roman"/>
          <w:bCs/>
          <w:kern w:val="0"/>
          <w:sz w:val="24"/>
        </w:rPr>
        <w:t xml:space="preserve">represents the lifetime carcinogenic risk level of carcinogenic species </w:t>
      </w:r>
      <w:r>
        <w:rPr>
          <w:rFonts w:ascii="Times New Roman" w:hAnsi="Times New Roman"/>
          <w:bCs/>
          <w:i/>
          <w:iCs/>
          <w:kern w:val="0"/>
          <w:sz w:val="24"/>
        </w:rPr>
        <w:t>i</w:t>
      </w:r>
      <w:r>
        <w:rPr>
          <w:rFonts w:ascii="Times New Roman" w:hAnsi="Times New Roman"/>
          <w:bCs/>
          <w:kern w:val="0"/>
          <w:sz w:val="24"/>
        </w:rPr>
        <w:t xml:space="preserve">; </w:t>
      </w:r>
      <w:r>
        <w:rPr>
          <w:rFonts w:ascii="TimesNewRoman" w:hAnsi="TimesNewRoman" w:cs="TimesNewRoman"/>
          <w:bCs/>
          <w:kern w:val="0"/>
          <w:sz w:val="24"/>
        </w:rPr>
        <w:t>C</w:t>
      </w:r>
      <w:r>
        <w:rPr>
          <w:rFonts w:hint="eastAsia" w:ascii="TimesNewRoman" w:hAnsi="TimesNewRoman" w:cs="TimesNewRoman"/>
          <w:bCs/>
          <w:kern w:val="0"/>
          <w:sz w:val="24"/>
          <w:lang w:val="en-US" w:eastAsia="zh-CN"/>
        </w:rPr>
        <w:t>R</w:t>
      </w:r>
      <w:r>
        <w:rPr>
          <w:rFonts w:ascii="Times New Roman" w:hAnsi="Times New Roman"/>
          <w:bCs/>
          <w:kern w:val="0"/>
          <w:sz w:val="24"/>
        </w:rPr>
        <w:t xml:space="preserve"> is the sum of the R</w:t>
      </w:r>
      <w:r>
        <w:rPr>
          <w:rFonts w:ascii="Times New Roman" w:hAnsi="Times New Roman"/>
          <w:bCs/>
          <w:i/>
          <w:iCs/>
          <w:kern w:val="0"/>
          <w:sz w:val="24"/>
          <w:vertAlign w:val="subscript"/>
        </w:rPr>
        <w:t>i</w:t>
      </w:r>
      <w:r>
        <w:rPr>
          <w:rFonts w:ascii="Times New Roman" w:hAnsi="Times New Roman"/>
          <w:bCs/>
          <w:kern w:val="0"/>
          <w:sz w:val="24"/>
          <w:vertAlign w:val="subscript"/>
        </w:rPr>
        <w:t xml:space="preserve"> </w:t>
      </w:r>
      <w:r>
        <w:rPr>
          <w:rFonts w:ascii="Times New Roman" w:hAnsi="Times New Roman"/>
          <w:bCs/>
          <w:kern w:val="0"/>
          <w:sz w:val="24"/>
        </w:rPr>
        <w:t>values; ADD</w:t>
      </w:r>
      <w:r>
        <w:rPr>
          <w:rFonts w:ascii="Times New Roman" w:hAnsi="Times New Roman"/>
          <w:bCs/>
          <w:i/>
          <w:iCs/>
          <w:kern w:val="0"/>
          <w:sz w:val="24"/>
          <w:vertAlign w:val="subscript"/>
        </w:rPr>
        <w:t>i</w:t>
      </w:r>
      <w:r>
        <w:rPr>
          <w:rFonts w:ascii="Times New Roman" w:hAnsi="Times New Roman"/>
          <w:bCs/>
          <w:kern w:val="0"/>
          <w:sz w:val="24"/>
          <w:vertAlign w:val="subscript"/>
        </w:rPr>
        <w:t xml:space="preserve"> </w:t>
      </w:r>
      <w:r>
        <w:rPr>
          <w:rFonts w:ascii="Times New Roman" w:hAnsi="Times New Roman"/>
          <w:bCs/>
          <w:kern w:val="0"/>
          <w:sz w:val="24"/>
        </w:rPr>
        <w:t>is the average daily dose, and SF</w:t>
      </w:r>
      <w:r>
        <w:rPr>
          <w:rFonts w:ascii="Times New Roman" w:hAnsi="Times New Roman"/>
          <w:bCs/>
          <w:i/>
          <w:iCs/>
          <w:kern w:val="0"/>
          <w:sz w:val="24"/>
          <w:vertAlign w:val="subscript"/>
        </w:rPr>
        <w:t>i</w:t>
      </w:r>
      <w:r>
        <w:rPr>
          <w:rFonts w:ascii="Times New Roman" w:hAnsi="Times New Roman"/>
          <w:bCs/>
          <w:kern w:val="0"/>
          <w:sz w:val="24"/>
        </w:rPr>
        <w:t xml:space="preserve"> represents the slope factor of the </w:t>
      </w:r>
      <w:r>
        <w:rPr>
          <w:rFonts w:ascii="Times New Roman" w:hAnsi="Times New Roman"/>
          <w:bCs/>
          <w:i/>
          <w:iCs/>
          <w:kern w:val="0"/>
          <w:sz w:val="24"/>
        </w:rPr>
        <w:t>i</w:t>
      </w:r>
      <w:r>
        <w:rPr>
          <w:rFonts w:ascii="Times New Roman" w:hAnsi="Times New Roman"/>
          <w:bCs/>
          <w:kern w:val="0"/>
          <w:sz w:val="24"/>
          <w:vertAlign w:val="superscript"/>
        </w:rPr>
        <w:t>th</w:t>
      </w:r>
      <w:r>
        <w:rPr>
          <w:rFonts w:ascii="Times New Roman" w:hAnsi="Times New Roman"/>
          <w:bCs/>
          <w:kern w:val="0"/>
          <w:sz w:val="24"/>
        </w:rPr>
        <w:t xml:space="preserve"> pollutant. </w:t>
      </w:r>
      <w:r>
        <w:rPr>
          <w:rFonts w:ascii="Times New Roman" w:hAnsi="Times New Roman" w:cs="Times New Roman"/>
          <w:bCs/>
          <w:kern w:val="0"/>
          <w:sz w:val="24"/>
          <w:szCs w:val="24"/>
        </w:rPr>
        <w:t>HQ</w:t>
      </w:r>
      <w:r>
        <w:rPr>
          <w:rFonts w:ascii="Times New Roman" w:hAnsi="Times New Roman" w:cs="Times New Roman"/>
          <w:bCs/>
          <w:i/>
          <w:iCs/>
          <w:kern w:val="0"/>
          <w:sz w:val="24"/>
          <w:szCs w:val="24"/>
          <w:vertAlign w:val="subscript"/>
        </w:rPr>
        <w:t>i</w:t>
      </w:r>
      <w:r>
        <w:rPr>
          <w:rFonts w:ascii="Times New Roman" w:hAnsi="Times New Roman" w:cs="Times New Roman"/>
          <w:bCs/>
          <w:kern w:val="0"/>
          <w:sz w:val="24"/>
          <w:szCs w:val="24"/>
        </w:rPr>
        <w:t xml:space="preserve"> is the non-cancer risk level of pollutant </w:t>
      </w:r>
      <w:r>
        <w:rPr>
          <w:rFonts w:ascii="Times New Roman" w:hAnsi="Times New Roman" w:cs="Times New Roman"/>
          <w:bCs/>
          <w:i/>
          <w:iCs/>
          <w:kern w:val="0"/>
          <w:sz w:val="24"/>
          <w:szCs w:val="24"/>
        </w:rPr>
        <w:t>i</w:t>
      </w:r>
      <w:r>
        <w:rPr>
          <w:rFonts w:ascii="Times New Roman" w:hAnsi="Times New Roman" w:cs="Times New Roman"/>
          <w:bCs/>
          <w:kern w:val="0"/>
          <w:sz w:val="24"/>
          <w:szCs w:val="24"/>
        </w:rPr>
        <w:t>; HQ is the total non-cancer risks; and RfD</w:t>
      </w:r>
      <w:r>
        <w:rPr>
          <w:rFonts w:ascii="Times New Roman" w:hAnsi="Times New Roman" w:cs="Times New Roman"/>
          <w:bCs/>
          <w:i/>
          <w:iCs/>
          <w:kern w:val="0"/>
          <w:sz w:val="24"/>
          <w:szCs w:val="24"/>
          <w:vertAlign w:val="subscript"/>
        </w:rPr>
        <w:t>i</w:t>
      </w:r>
      <w:r>
        <w:rPr>
          <w:rFonts w:ascii="Times New Roman" w:hAnsi="Times New Roman" w:cs="Times New Roman"/>
          <w:bCs/>
          <w:kern w:val="0"/>
          <w:sz w:val="24"/>
          <w:szCs w:val="24"/>
        </w:rPr>
        <w:t xml:space="preserve"> means the reference dose.</w:t>
      </w:r>
      <w:r>
        <w:rPr>
          <w:rFonts w:hint="eastAsia" w:ascii="TimesNewRoman" w:hAnsi="TimesNewRoman" w:cs="TimesNewRoman"/>
          <w:bCs/>
          <w:kern w:val="0"/>
          <w:sz w:val="24"/>
          <w:lang w:val="en-US" w:eastAsia="zh-CN"/>
        </w:rPr>
        <w:t xml:space="preserve">The related reference values are shown in </w:t>
      </w:r>
      <w:r>
        <w:rPr>
          <w:rFonts w:hint="eastAsia" w:ascii="TimesNewRoman" w:hAnsi="TimesNewRoman" w:cs="TimesNewRoman"/>
          <w:bCs/>
          <w:color w:val="0000FF"/>
          <w:kern w:val="0"/>
          <w:sz w:val="24"/>
          <w:lang w:val="en-US" w:eastAsia="zh-CN"/>
        </w:rPr>
        <w:t>Table S1</w:t>
      </w:r>
      <w:r>
        <w:rPr>
          <w:rFonts w:hint="eastAsia" w:ascii="TimesNewRoman" w:hAnsi="TimesNewRoman" w:cs="TimesNewRoman"/>
          <w:bCs/>
          <w:kern w:val="0"/>
          <w:sz w:val="24"/>
          <w:lang w:val="en-US" w:eastAsia="zh-CN"/>
        </w:rPr>
        <w:t>.</w:t>
      </w:r>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ascii="TimesNewRoman" w:hAnsi="TimesNewRoman" w:cs="TimesNewRoman"/>
          <w:bCs/>
          <w:kern w:val="0"/>
          <w:sz w:val="24"/>
        </w:rPr>
      </w:pPr>
      <w:r>
        <w:rPr>
          <w:rFonts w:ascii="TimesNewRoman" w:hAnsi="TimesNewRoman" w:cs="TimesNewRoman"/>
          <w:bCs/>
          <w:kern w:val="0"/>
          <w:sz w:val="24"/>
        </w:rPr>
        <w:t>Table</w:t>
      </w:r>
      <w:r>
        <w:rPr>
          <w:rFonts w:hint="eastAsia" w:ascii="TimesNewRoman" w:hAnsi="TimesNewRoman" w:cs="TimesNewRoman"/>
          <w:bCs/>
          <w:kern w:val="0"/>
          <w:sz w:val="24"/>
        </w:rPr>
        <w:t xml:space="preserve"> </w:t>
      </w:r>
      <w:r>
        <w:rPr>
          <w:rFonts w:ascii="TimesNewRoman" w:hAnsi="TimesNewRoman" w:cs="TimesNewRoman"/>
          <w:bCs/>
          <w:kern w:val="0"/>
          <w:sz w:val="24"/>
        </w:rPr>
        <w:t>S</w:t>
      </w:r>
      <w:r>
        <w:rPr>
          <w:rFonts w:hint="eastAsia" w:ascii="TimesNewRoman" w:hAnsi="TimesNewRoman" w:cs="TimesNewRoman"/>
          <w:bCs/>
          <w:kern w:val="0"/>
          <w:sz w:val="24"/>
          <w:lang w:val="en-US" w:eastAsia="zh-CN"/>
        </w:rPr>
        <w:t>1</w:t>
      </w:r>
      <w:r>
        <w:rPr>
          <w:rFonts w:ascii="TimesNewRoman" w:hAnsi="TimesNewRoman" w:cs="TimesNewRoman"/>
          <w:bCs/>
          <w:kern w:val="0"/>
          <w:sz w:val="24"/>
        </w:rPr>
        <w:t xml:space="preserve"> Parameters and values used in the human health risk models</w:t>
      </w:r>
    </w:p>
    <w:tbl>
      <w:tblPr>
        <w:tblStyle w:val="4"/>
        <w:tblpPr w:leftFromText="180" w:rightFromText="180" w:vertAnchor="text" w:horzAnchor="margin" w:tblpXSpec="center" w:tblpY="35"/>
        <w:tblW w:w="5098" w:type="pct"/>
        <w:tblInd w:w="0" w:type="dxa"/>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782"/>
        <w:gridCol w:w="1631"/>
        <w:gridCol w:w="1354"/>
        <w:gridCol w:w="1160"/>
        <w:gridCol w:w="1378"/>
        <w:gridCol w:w="2195"/>
      </w:tblGrid>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PrEx>
        <w:trPr>
          <w:trHeight w:val="353" w:hRule="atLeast"/>
        </w:trPr>
        <w:tc>
          <w:tcPr>
            <w:tcW w:w="460" w:type="pct"/>
            <w:vMerge w:val="restart"/>
            <w:tcBorders>
              <w:top w:val="single" w:color="000000" w:sz="8" w:space="0"/>
              <w:left w:val="nil"/>
              <w:right w:val="nil"/>
            </w:tcBorders>
            <w:shd w:val="clear" w:color="auto" w:fill="D7D7D7" w:themeFill="background1" w:themeFillShade="D8"/>
            <w:tcMar>
              <w:top w:w="15" w:type="dxa"/>
              <w:left w:w="15" w:type="dxa"/>
              <w:right w:w="15" w:type="dxa"/>
            </w:tcMar>
            <w:vAlign w:val="cente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Factor</w:t>
            </w:r>
          </w:p>
        </w:tc>
        <w:tc>
          <w:tcPr>
            <w:tcW w:w="959" w:type="pct"/>
            <w:vMerge w:val="restart"/>
            <w:tcBorders>
              <w:top w:val="single" w:color="000000" w:sz="8" w:space="0"/>
              <w:left w:val="nil"/>
              <w:right w:val="nil"/>
            </w:tcBorders>
            <w:shd w:val="clear" w:color="auto" w:fill="D7D7D7" w:themeFill="background1" w:themeFillShade="D8"/>
            <w:tcMar>
              <w:top w:w="15" w:type="dxa"/>
              <w:left w:w="15" w:type="dxa"/>
              <w:right w:w="15" w:type="dxa"/>
            </w:tcMar>
            <w:vAlign w:val="center"/>
          </w:tcPr>
          <w:p>
            <w:pPr>
              <w:widowControl/>
              <w:jc w:val="center"/>
              <w:textAlignment w:val="top"/>
              <w:rPr>
                <w:rFonts w:ascii="Times New Roman" w:hAnsi="Times New Roman"/>
                <w:color w:val="000000"/>
                <w:szCs w:val="21"/>
              </w:rPr>
            </w:pPr>
            <w:r>
              <w:rPr>
                <w:rFonts w:hint="eastAsia" w:ascii="Times New Roman" w:hAnsi="Times New Roman"/>
                <w:color w:val="000000"/>
                <w:szCs w:val="21"/>
              </w:rPr>
              <w:t>Definition</w:t>
            </w:r>
          </w:p>
        </w:tc>
        <w:tc>
          <w:tcPr>
            <w:tcW w:w="796" w:type="pct"/>
            <w:vMerge w:val="restart"/>
            <w:tcBorders>
              <w:top w:val="single" w:color="000000" w:sz="8" w:space="0"/>
              <w:left w:val="nil"/>
              <w:right w:val="nil"/>
            </w:tcBorders>
            <w:shd w:val="clear" w:color="auto" w:fill="D7D7D7" w:themeFill="background1" w:themeFillShade="D8"/>
            <w:tcMar>
              <w:top w:w="15" w:type="dxa"/>
              <w:left w:w="15" w:type="dxa"/>
              <w:right w:w="15" w:type="dxa"/>
            </w:tcMar>
            <w:vAlign w:val="cente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Unit</w:t>
            </w:r>
          </w:p>
        </w:tc>
        <w:tc>
          <w:tcPr>
            <w:tcW w:w="1492" w:type="pct"/>
            <w:gridSpan w:val="2"/>
            <w:tcBorders>
              <w:top w:val="single" w:color="000000" w:sz="8" w:space="0"/>
              <w:left w:val="nil"/>
              <w:bottom w:val="single" w:color="000000" w:sz="8" w:space="0"/>
              <w:right w:val="nil"/>
            </w:tcBorders>
            <w:shd w:val="clear" w:color="auto" w:fill="D7D7D7" w:themeFill="background1" w:themeFillShade="D8"/>
            <w:tcMar>
              <w:top w:w="15" w:type="dxa"/>
              <w:left w:w="15" w:type="dxa"/>
              <w:right w:w="15" w:type="dxa"/>
            </w:tcMar>
          </w:tcPr>
          <w:p>
            <w:pPr>
              <w:jc w:val="center"/>
              <w:rPr>
                <w:rFonts w:ascii="Times New Roman" w:hAnsi="Times New Roman"/>
                <w:color w:val="000000"/>
                <w:szCs w:val="21"/>
              </w:rPr>
            </w:pPr>
            <w:r>
              <w:rPr>
                <w:rFonts w:ascii="Times New Roman" w:hAnsi="Times New Roman"/>
                <w:color w:val="000000"/>
                <w:kern w:val="0"/>
                <w:szCs w:val="21"/>
                <w:lang w:bidi="ar"/>
              </w:rPr>
              <w:t>Value</w:t>
            </w:r>
          </w:p>
        </w:tc>
        <w:tc>
          <w:tcPr>
            <w:tcW w:w="1291" w:type="pct"/>
            <w:vMerge w:val="restart"/>
            <w:tcBorders>
              <w:top w:val="single" w:color="000000" w:sz="8" w:space="0"/>
              <w:left w:val="nil"/>
              <w:right w:val="nil"/>
            </w:tcBorders>
            <w:shd w:val="clear" w:color="auto" w:fill="D7D7D7" w:themeFill="background1" w:themeFillShade="D8"/>
            <w:tcMar>
              <w:top w:w="15" w:type="dxa"/>
              <w:left w:w="15" w:type="dxa"/>
              <w:right w:w="15" w:type="dxa"/>
            </w:tcMar>
            <w:vAlign w:val="cente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Reference</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53" w:hRule="atLeast"/>
        </w:trPr>
        <w:tc>
          <w:tcPr>
            <w:tcW w:w="460" w:type="pct"/>
            <w:vMerge w:val="continue"/>
            <w:tcBorders>
              <w:left w:val="nil"/>
              <w:bottom w:val="single" w:color="000000" w:sz="8" w:space="0"/>
              <w:right w:val="nil"/>
            </w:tcBorders>
            <w:tcMar>
              <w:top w:w="15" w:type="dxa"/>
              <w:left w:w="15" w:type="dxa"/>
              <w:right w:w="15" w:type="dxa"/>
            </w:tcMar>
          </w:tcPr>
          <w:p>
            <w:pPr>
              <w:jc w:val="center"/>
              <w:rPr>
                <w:rFonts w:ascii="Times New Roman" w:hAnsi="Times New Roman"/>
                <w:color w:val="000000"/>
                <w:szCs w:val="21"/>
              </w:rPr>
            </w:pPr>
          </w:p>
        </w:tc>
        <w:tc>
          <w:tcPr>
            <w:tcW w:w="959" w:type="pct"/>
            <w:vMerge w:val="continue"/>
            <w:tcBorders>
              <w:left w:val="nil"/>
              <w:bottom w:val="single" w:color="000000" w:sz="8" w:space="0"/>
              <w:right w:val="nil"/>
            </w:tcBorders>
            <w:tcMar>
              <w:top w:w="15" w:type="dxa"/>
              <w:left w:w="15" w:type="dxa"/>
              <w:right w:w="15" w:type="dxa"/>
            </w:tcMar>
          </w:tcPr>
          <w:p>
            <w:pPr>
              <w:jc w:val="center"/>
              <w:rPr>
                <w:rFonts w:ascii="Times New Roman" w:hAnsi="Times New Roman"/>
                <w:color w:val="000000"/>
                <w:szCs w:val="21"/>
              </w:rPr>
            </w:pPr>
          </w:p>
        </w:tc>
        <w:tc>
          <w:tcPr>
            <w:tcW w:w="796" w:type="pct"/>
            <w:vMerge w:val="continue"/>
            <w:tcBorders>
              <w:left w:val="nil"/>
              <w:bottom w:val="single" w:color="000000" w:sz="8" w:space="0"/>
              <w:right w:val="nil"/>
            </w:tcBorders>
            <w:tcMar>
              <w:top w:w="15" w:type="dxa"/>
              <w:left w:w="15" w:type="dxa"/>
              <w:right w:w="15" w:type="dxa"/>
            </w:tcMar>
          </w:tcPr>
          <w:p>
            <w:pPr>
              <w:jc w:val="center"/>
              <w:rPr>
                <w:rFonts w:ascii="Times New Roman" w:hAnsi="Times New Roman"/>
                <w:color w:val="000000"/>
                <w:szCs w:val="21"/>
              </w:rPr>
            </w:pPr>
          </w:p>
        </w:tc>
        <w:tc>
          <w:tcPr>
            <w:tcW w:w="682" w:type="pct"/>
            <w:tcBorders>
              <w:top w:val="nil"/>
              <w:left w:val="nil"/>
              <w:bottom w:val="single" w:color="000000" w:sz="8" w:space="0"/>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Children</w:t>
            </w:r>
          </w:p>
        </w:tc>
        <w:tc>
          <w:tcPr>
            <w:tcW w:w="810" w:type="pct"/>
            <w:tcBorders>
              <w:top w:val="nil"/>
              <w:left w:val="nil"/>
              <w:bottom w:val="single" w:color="000000" w:sz="8" w:space="0"/>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Adult</w:t>
            </w:r>
          </w:p>
        </w:tc>
        <w:tc>
          <w:tcPr>
            <w:tcW w:w="1291" w:type="pct"/>
            <w:vMerge w:val="continue"/>
            <w:tcBorders>
              <w:left w:val="nil"/>
              <w:bottom w:val="single" w:color="000000" w:sz="8" w:space="0"/>
              <w:right w:val="nil"/>
            </w:tcBorders>
            <w:tcMar>
              <w:top w:w="15" w:type="dxa"/>
              <w:left w:w="15" w:type="dxa"/>
              <w:right w:w="15" w:type="dxa"/>
            </w:tcMar>
          </w:tcPr>
          <w:p>
            <w:pPr>
              <w:jc w:val="center"/>
              <w:rPr>
                <w:rFonts w:ascii="Times New Roman" w:hAnsi="Times New Roman"/>
                <w:color w:val="000000"/>
                <w:szCs w:val="21"/>
              </w:rPr>
            </w:pP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R</w:t>
            </w:r>
            <w:r>
              <w:rPr>
                <w:rStyle w:val="7"/>
                <w:sz w:val="21"/>
                <w:szCs w:val="21"/>
                <w:lang w:bidi="ar"/>
              </w:rPr>
              <w:t>ing</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Ingestion rate of soil</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mg/day</w:t>
            </w:r>
          </w:p>
        </w:tc>
        <w:tc>
          <w:tcPr>
            <w:tcW w:w="682"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200</w:t>
            </w:r>
          </w:p>
        </w:tc>
        <w:tc>
          <w:tcPr>
            <w:tcW w:w="810"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100</w:t>
            </w:r>
          </w:p>
        </w:tc>
        <w:tc>
          <w:tcPr>
            <w:tcW w:w="1291"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Style w:val="8"/>
                <w:color w:val="0000FF"/>
                <w:sz w:val="21"/>
                <w:szCs w:val="21"/>
                <w:lang w:bidi="ar"/>
              </w:rPr>
              <w:t>MEP, 2014</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EF</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Exposure frequency</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days/year</w:t>
            </w:r>
          </w:p>
        </w:tc>
        <w:tc>
          <w:tcPr>
            <w:tcW w:w="682" w:type="pct"/>
            <w:tcBorders>
              <w:top w:val="nil"/>
              <w:left w:val="nil"/>
              <w:bottom w:val="nil"/>
              <w:right w:val="nil"/>
            </w:tcBorders>
            <w:tcMar>
              <w:top w:w="15" w:type="dxa"/>
              <w:left w:w="15" w:type="dxa"/>
              <w:right w:w="15" w:type="dxa"/>
            </w:tcMar>
            <w:vAlign w:val="center"/>
          </w:tcPr>
          <w:p>
            <w:pPr>
              <w:pStyle w:val="9"/>
              <w:jc w:val="center"/>
              <w:rPr>
                <w:color w:val="000000"/>
                <w:szCs w:val="21"/>
              </w:rPr>
            </w:pPr>
            <w:r>
              <w:rPr>
                <w:szCs w:val="21"/>
              </w:rPr>
              <w:t>252</w:t>
            </w:r>
          </w:p>
        </w:tc>
        <w:tc>
          <w:tcPr>
            <w:tcW w:w="810" w:type="pct"/>
            <w:tcBorders>
              <w:top w:val="nil"/>
              <w:left w:val="nil"/>
              <w:bottom w:val="nil"/>
              <w:right w:val="nil"/>
            </w:tcBorders>
            <w:tcMar>
              <w:top w:w="15" w:type="dxa"/>
              <w:left w:w="15" w:type="dxa"/>
              <w:right w:w="15" w:type="dxa"/>
            </w:tcMar>
            <w:vAlign w:val="center"/>
          </w:tcPr>
          <w:p>
            <w:pPr>
              <w:pStyle w:val="9"/>
              <w:jc w:val="center"/>
              <w:rPr>
                <w:color w:val="000000"/>
                <w:szCs w:val="21"/>
              </w:rPr>
            </w:pPr>
            <w:r>
              <w:rPr>
                <w:szCs w:val="21"/>
              </w:rPr>
              <w:t>252</w:t>
            </w:r>
          </w:p>
        </w:tc>
        <w:tc>
          <w:tcPr>
            <w:tcW w:w="1291"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s="Times New Roman"/>
                <w:color w:val="0000FF"/>
                <w:szCs w:val="21"/>
              </w:rPr>
              <w:t>Yang et al., 2014</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404"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ED</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Exposure duration</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years</w:t>
            </w:r>
          </w:p>
        </w:tc>
        <w:tc>
          <w:tcPr>
            <w:tcW w:w="682"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6</w:t>
            </w:r>
          </w:p>
        </w:tc>
        <w:tc>
          <w:tcPr>
            <w:tcW w:w="810"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25</w:t>
            </w:r>
          </w:p>
        </w:tc>
        <w:tc>
          <w:tcPr>
            <w:tcW w:w="1291"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Style w:val="8"/>
                <w:color w:val="0000FF"/>
                <w:sz w:val="21"/>
                <w:szCs w:val="21"/>
                <w:lang w:bidi="ar"/>
              </w:rPr>
              <w:t>MEP, 2014</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BW</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Average body weight</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kg</w:t>
            </w:r>
          </w:p>
        </w:tc>
        <w:tc>
          <w:tcPr>
            <w:tcW w:w="682" w:type="pct"/>
            <w:tcBorders>
              <w:top w:val="nil"/>
              <w:left w:val="nil"/>
              <w:bottom w:val="nil"/>
              <w:right w:val="nil"/>
            </w:tcBorders>
            <w:tcMar>
              <w:top w:w="15" w:type="dxa"/>
              <w:left w:w="15" w:type="dxa"/>
              <w:right w:w="15" w:type="dxa"/>
            </w:tcMar>
            <w:vAlign w:val="center"/>
          </w:tcPr>
          <w:p>
            <w:pPr>
              <w:pStyle w:val="9"/>
              <w:jc w:val="center"/>
              <w:rPr>
                <w:rFonts w:hint="default" w:eastAsia="宋体"/>
                <w:color w:val="000000"/>
                <w:szCs w:val="21"/>
                <w:lang w:val="en-US" w:eastAsia="zh-CN"/>
              </w:rPr>
            </w:pPr>
            <w:r>
              <w:rPr>
                <w:rFonts w:hint="eastAsia"/>
                <w:szCs w:val="21"/>
                <w:lang w:val="en-US" w:eastAsia="zh-CN"/>
              </w:rPr>
              <w:t>15.9</w:t>
            </w:r>
          </w:p>
        </w:tc>
        <w:tc>
          <w:tcPr>
            <w:tcW w:w="810" w:type="pct"/>
            <w:tcBorders>
              <w:top w:val="nil"/>
              <w:left w:val="nil"/>
              <w:bottom w:val="nil"/>
              <w:right w:val="nil"/>
            </w:tcBorders>
            <w:tcMar>
              <w:top w:w="15" w:type="dxa"/>
              <w:left w:w="15" w:type="dxa"/>
              <w:right w:w="15" w:type="dxa"/>
            </w:tcMar>
            <w:vAlign w:val="center"/>
          </w:tcPr>
          <w:p>
            <w:pPr>
              <w:pStyle w:val="9"/>
              <w:jc w:val="center"/>
              <w:rPr>
                <w:rFonts w:hint="default" w:eastAsia="宋体"/>
                <w:color w:val="000000"/>
                <w:szCs w:val="21"/>
                <w:lang w:val="en-US" w:eastAsia="zh-CN"/>
              </w:rPr>
            </w:pPr>
            <w:r>
              <w:rPr>
                <w:rFonts w:hint="eastAsia"/>
                <w:szCs w:val="21"/>
                <w:lang w:val="en-US" w:eastAsia="zh-CN"/>
              </w:rPr>
              <w:t>56.8</w:t>
            </w:r>
          </w:p>
        </w:tc>
        <w:tc>
          <w:tcPr>
            <w:tcW w:w="1291"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s="Times New Roman"/>
                <w:color w:val="0000FF"/>
                <w:szCs w:val="21"/>
              </w:rPr>
              <w:t>Chen et al., 2012</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vMerge w:val="restart"/>
            <w:tcBorders>
              <w:top w:val="nil"/>
              <w:left w:val="nil"/>
              <w:right w:val="nil"/>
            </w:tcBorders>
            <w:shd w:val="clear" w:color="auto" w:fill="D7D7D7" w:themeFill="background1" w:themeFillShade="D8"/>
            <w:tcMar>
              <w:top w:w="15" w:type="dxa"/>
              <w:left w:w="15" w:type="dxa"/>
              <w:right w:w="15" w:type="dxa"/>
            </w:tcMar>
            <w:vAlign w:val="cente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AT</w:t>
            </w:r>
          </w:p>
        </w:tc>
        <w:tc>
          <w:tcPr>
            <w:tcW w:w="959" w:type="pct"/>
            <w:vMerge w:val="restart"/>
            <w:tcBorders>
              <w:top w:val="nil"/>
              <w:left w:val="nil"/>
              <w:right w:val="nil"/>
            </w:tcBorders>
            <w:tcMar>
              <w:top w:w="15" w:type="dxa"/>
              <w:left w:w="15" w:type="dxa"/>
              <w:right w:w="15" w:type="dxa"/>
            </w:tcMar>
            <w:vAlign w:val="cente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Average time</w:t>
            </w:r>
          </w:p>
        </w:tc>
        <w:tc>
          <w:tcPr>
            <w:tcW w:w="796" w:type="pct"/>
            <w:vMerge w:val="restart"/>
            <w:tcBorders>
              <w:top w:val="nil"/>
              <w:left w:val="nil"/>
              <w:right w:val="nil"/>
            </w:tcBorders>
            <w:tcMar>
              <w:top w:w="15" w:type="dxa"/>
              <w:left w:w="15" w:type="dxa"/>
              <w:right w:w="15" w:type="dxa"/>
            </w:tcMar>
            <w:vAlign w:val="cente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days</w:t>
            </w:r>
          </w:p>
        </w:tc>
        <w:tc>
          <w:tcPr>
            <w:tcW w:w="1492" w:type="pct"/>
            <w:gridSpan w:val="2"/>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kern w:val="0"/>
                <w:szCs w:val="21"/>
                <w:lang w:bidi="ar"/>
              </w:rPr>
            </w:pPr>
            <w:r>
              <w:rPr>
                <w:rFonts w:ascii="Times New Roman" w:hAnsi="Times New Roman"/>
                <w:color w:val="000000"/>
                <w:kern w:val="0"/>
                <w:szCs w:val="21"/>
                <w:lang w:bidi="ar"/>
              </w:rPr>
              <w:t>9125</w:t>
            </w:r>
            <w:r>
              <w:rPr>
                <w:rFonts w:hint="eastAsia" w:ascii="Times New Roman" w:hAnsi="Times New Roman"/>
                <w:color w:val="000000"/>
                <w:kern w:val="0"/>
                <w:szCs w:val="21"/>
                <w:lang w:bidi="ar"/>
              </w:rPr>
              <w:t xml:space="preserve"> </w:t>
            </w:r>
            <w:r>
              <w:rPr>
                <w:rFonts w:ascii="Times New Roman" w:hAnsi="Times New Roman"/>
                <w:color w:val="000000"/>
                <w:kern w:val="0"/>
                <w:szCs w:val="21"/>
                <w:lang w:bidi="ar"/>
              </w:rPr>
              <w:t>(</w:t>
            </w:r>
            <w:r>
              <w:rPr>
                <w:rFonts w:hint="eastAsia" w:ascii="Times New Roman" w:hAnsi="Times New Roman"/>
                <w:color w:val="000000"/>
                <w:kern w:val="0"/>
                <w:szCs w:val="21"/>
                <w:lang w:bidi="ar"/>
              </w:rPr>
              <w:t>non-</w:t>
            </w:r>
            <w:r>
              <w:rPr>
                <w:rFonts w:ascii="Times New Roman" w:hAnsi="Times New Roman"/>
                <w:color w:val="000000"/>
                <w:kern w:val="0"/>
                <w:szCs w:val="21"/>
                <w:lang w:bidi="ar"/>
              </w:rPr>
              <w:t>carcinogen)</w:t>
            </w:r>
          </w:p>
        </w:tc>
        <w:tc>
          <w:tcPr>
            <w:tcW w:w="1291" w:type="pct"/>
            <w:vMerge w:val="restart"/>
            <w:tcBorders>
              <w:top w:val="nil"/>
              <w:left w:val="nil"/>
              <w:right w:val="nil"/>
            </w:tcBorders>
            <w:tcMar>
              <w:top w:w="15" w:type="dxa"/>
              <w:left w:w="15" w:type="dxa"/>
              <w:right w:w="15" w:type="dxa"/>
            </w:tcMar>
            <w:vAlign w:val="center"/>
          </w:tcPr>
          <w:p>
            <w:pPr>
              <w:widowControl/>
              <w:jc w:val="center"/>
              <w:textAlignment w:val="top"/>
              <w:rPr>
                <w:rFonts w:ascii="Times New Roman" w:hAnsi="Times New Roman"/>
                <w:color w:val="000000"/>
                <w:szCs w:val="21"/>
              </w:rPr>
            </w:pPr>
            <w:r>
              <w:rPr>
                <w:rStyle w:val="8"/>
                <w:color w:val="0000FF"/>
                <w:sz w:val="21"/>
                <w:szCs w:val="21"/>
                <w:lang w:bidi="ar"/>
              </w:rPr>
              <w:t>MEP, 2014</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vMerge w:val="continue"/>
            <w:tcBorders>
              <w:left w:val="nil"/>
              <w:bottom w:val="nil"/>
              <w:right w:val="nil"/>
            </w:tcBorders>
            <w:shd w:val="clear" w:color="auto" w:fill="D7D7D7" w:themeFill="background1" w:themeFillShade="D8"/>
            <w:tcMar>
              <w:top w:w="15" w:type="dxa"/>
              <w:left w:w="15" w:type="dxa"/>
              <w:right w:w="15" w:type="dxa"/>
            </w:tcMar>
          </w:tcPr>
          <w:p>
            <w:pPr>
              <w:jc w:val="center"/>
              <w:rPr>
                <w:rFonts w:ascii="Times New Roman" w:hAnsi="Times New Roman"/>
                <w:color w:val="000000"/>
                <w:szCs w:val="21"/>
              </w:rPr>
            </w:pPr>
          </w:p>
        </w:tc>
        <w:tc>
          <w:tcPr>
            <w:tcW w:w="959" w:type="pct"/>
            <w:vMerge w:val="continue"/>
            <w:tcBorders>
              <w:left w:val="nil"/>
              <w:bottom w:val="nil"/>
              <w:right w:val="nil"/>
            </w:tcBorders>
            <w:tcMar>
              <w:top w:w="15" w:type="dxa"/>
              <w:left w:w="15" w:type="dxa"/>
              <w:right w:w="15" w:type="dxa"/>
            </w:tcMar>
          </w:tcPr>
          <w:p>
            <w:pPr>
              <w:jc w:val="center"/>
              <w:rPr>
                <w:rFonts w:ascii="Times New Roman" w:hAnsi="Times New Roman"/>
                <w:color w:val="000000"/>
                <w:szCs w:val="21"/>
              </w:rPr>
            </w:pPr>
          </w:p>
        </w:tc>
        <w:tc>
          <w:tcPr>
            <w:tcW w:w="796" w:type="pct"/>
            <w:vMerge w:val="continue"/>
            <w:tcBorders>
              <w:left w:val="nil"/>
              <w:bottom w:val="nil"/>
              <w:right w:val="nil"/>
            </w:tcBorders>
            <w:tcMar>
              <w:top w:w="15" w:type="dxa"/>
              <w:left w:w="15" w:type="dxa"/>
              <w:right w:w="15" w:type="dxa"/>
            </w:tcMar>
          </w:tcPr>
          <w:p>
            <w:pPr>
              <w:jc w:val="center"/>
              <w:rPr>
                <w:rFonts w:ascii="Times New Roman" w:hAnsi="Times New Roman"/>
                <w:color w:val="000000"/>
                <w:szCs w:val="21"/>
              </w:rPr>
            </w:pPr>
          </w:p>
        </w:tc>
        <w:tc>
          <w:tcPr>
            <w:tcW w:w="1492" w:type="pct"/>
            <w:gridSpan w:val="2"/>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kern w:val="0"/>
                <w:szCs w:val="21"/>
                <w:lang w:bidi="ar"/>
              </w:rPr>
            </w:pPr>
            <w:r>
              <w:rPr>
                <w:rFonts w:ascii="Times New Roman" w:hAnsi="Times New Roman"/>
                <w:color w:val="000000"/>
                <w:kern w:val="0"/>
                <w:szCs w:val="21"/>
                <w:lang w:bidi="ar"/>
              </w:rPr>
              <w:t>26,280</w:t>
            </w:r>
            <w:r>
              <w:rPr>
                <w:rFonts w:hint="eastAsia" w:ascii="Times New Roman" w:hAnsi="Times New Roman"/>
                <w:color w:val="000000"/>
                <w:kern w:val="0"/>
                <w:szCs w:val="21"/>
                <w:lang w:bidi="ar"/>
              </w:rPr>
              <w:t xml:space="preserve"> </w:t>
            </w:r>
            <w:r>
              <w:rPr>
                <w:rFonts w:ascii="Times New Roman" w:hAnsi="Times New Roman"/>
                <w:color w:val="000000"/>
                <w:kern w:val="0"/>
                <w:szCs w:val="21"/>
                <w:lang w:bidi="ar"/>
              </w:rPr>
              <w:t>(carcinogen)</w:t>
            </w:r>
          </w:p>
        </w:tc>
        <w:tc>
          <w:tcPr>
            <w:tcW w:w="1291" w:type="pct"/>
            <w:vMerge w:val="continue"/>
            <w:tcBorders>
              <w:left w:val="nil"/>
              <w:bottom w:val="nil"/>
              <w:right w:val="nil"/>
            </w:tcBorders>
            <w:tcMar>
              <w:top w:w="15" w:type="dxa"/>
              <w:left w:w="15" w:type="dxa"/>
              <w:right w:w="15" w:type="dxa"/>
            </w:tcMar>
          </w:tcPr>
          <w:p>
            <w:pPr>
              <w:jc w:val="center"/>
              <w:rPr>
                <w:rFonts w:ascii="Times New Roman" w:hAnsi="Times New Roman"/>
                <w:color w:val="000000"/>
                <w:szCs w:val="21"/>
              </w:rPr>
            </w:pP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R</w:t>
            </w:r>
            <w:r>
              <w:rPr>
                <w:rFonts w:ascii="Times New Roman" w:hAnsi="Times New Roman"/>
                <w:color w:val="000000"/>
                <w:kern w:val="0"/>
                <w:szCs w:val="21"/>
                <w:vertAlign w:val="subscript"/>
                <w:lang w:bidi="ar"/>
              </w:rPr>
              <w:t>inh</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Inhalation rate</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m</w:t>
            </w:r>
            <w:r>
              <w:rPr>
                <w:rStyle w:val="10"/>
                <w:sz w:val="21"/>
                <w:szCs w:val="21"/>
                <w:vertAlign w:val="superscript"/>
                <w:lang w:bidi="ar"/>
              </w:rPr>
              <w:t>3</w:t>
            </w:r>
            <w:r>
              <w:rPr>
                <w:rStyle w:val="11"/>
                <w:sz w:val="21"/>
                <w:szCs w:val="21"/>
                <w:lang w:bidi="ar"/>
              </w:rPr>
              <w:t>/day</w:t>
            </w:r>
          </w:p>
        </w:tc>
        <w:tc>
          <w:tcPr>
            <w:tcW w:w="682"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7.5</w:t>
            </w:r>
          </w:p>
        </w:tc>
        <w:tc>
          <w:tcPr>
            <w:tcW w:w="810"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14.5</w:t>
            </w:r>
          </w:p>
        </w:tc>
        <w:tc>
          <w:tcPr>
            <w:tcW w:w="1291" w:type="pct"/>
            <w:tcBorders>
              <w:top w:val="nil"/>
              <w:left w:val="nil"/>
              <w:bottom w:val="nil"/>
              <w:right w:val="nil"/>
            </w:tcBorders>
            <w:tcMar>
              <w:top w:w="15" w:type="dxa"/>
              <w:left w:w="15" w:type="dxa"/>
              <w:right w:w="15" w:type="dxa"/>
            </w:tcMar>
          </w:tcPr>
          <w:p>
            <w:pPr>
              <w:widowControl/>
              <w:tabs>
                <w:tab w:val="center" w:pos="1196"/>
                <w:tab w:val="right" w:pos="2271"/>
              </w:tabs>
              <w:jc w:val="center"/>
              <w:textAlignment w:val="top"/>
              <w:rPr>
                <w:rFonts w:ascii="Times New Roman" w:hAnsi="Times New Roman" w:eastAsia="宋体"/>
                <w:color w:val="000000"/>
                <w:szCs w:val="21"/>
              </w:rPr>
            </w:pPr>
            <w:r>
              <w:rPr>
                <w:rStyle w:val="8"/>
                <w:color w:val="0000FF"/>
                <w:sz w:val="21"/>
                <w:szCs w:val="21"/>
                <w:lang w:bidi="ar"/>
              </w:rPr>
              <w:t>MEP, 2014</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PEF</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Particle emission factor</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m</w:t>
            </w:r>
            <w:r>
              <w:rPr>
                <w:rStyle w:val="10"/>
                <w:sz w:val="21"/>
                <w:szCs w:val="21"/>
                <w:vertAlign w:val="superscript"/>
                <w:lang w:bidi="ar"/>
              </w:rPr>
              <w:t>3</w:t>
            </w:r>
            <w:r>
              <w:rPr>
                <w:rStyle w:val="11"/>
                <w:sz w:val="21"/>
                <w:szCs w:val="21"/>
                <w:lang w:bidi="ar"/>
              </w:rPr>
              <w:t>/kg</w:t>
            </w:r>
          </w:p>
        </w:tc>
        <w:tc>
          <w:tcPr>
            <w:tcW w:w="682"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1.36 × 10</w:t>
            </w:r>
            <w:r>
              <w:rPr>
                <w:rStyle w:val="10"/>
                <w:sz w:val="21"/>
                <w:szCs w:val="21"/>
                <w:vertAlign w:val="superscript"/>
                <w:lang w:bidi="ar"/>
              </w:rPr>
              <w:t>9</w:t>
            </w:r>
          </w:p>
        </w:tc>
        <w:tc>
          <w:tcPr>
            <w:tcW w:w="810"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1.36 × 10</w:t>
            </w:r>
            <w:r>
              <w:rPr>
                <w:rStyle w:val="10"/>
                <w:sz w:val="21"/>
                <w:szCs w:val="21"/>
                <w:vertAlign w:val="superscript"/>
                <w:lang w:bidi="ar"/>
              </w:rPr>
              <w:t>9</w:t>
            </w:r>
          </w:p>
        </w:tc>
        <w:tc>
          <w:tcPr>
            <w:tcW w:w="1291"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Style w:val="8"/>
                <w:color w:val="0000FF"/>
                <w:sz w:val="21"/>
                <w:szCs w:val="21"/>
                <w:lang w:bidi="ar"/>
              </w:rPr>
              <w:t>US DOE, 2011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SA</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Exposed skin area</w:t>
            </w:r>
          </w:p>
        </w:tc>
        <w:tc>
          <w:tcPr>
            <w:tcW w:w="796"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ascii="Times New Roman" w:hAnsi="Times New Roman"/>
                <w:color w:val="000000"/>
                <w:kern w:val="0"/>
                <w:szCs w:val="21"/>
                <w:lang w:bidi="ar"/>
              </w:rPr>
              <w:t>cm</w:t>
            </w:r>
            <w:r>
              <w:rPr>
                <w:rStyle w:val="10"/>
                <w:sz w:val="21"/>
                <w:szCs w:val="21"/>
                <w:vertAlign w:val="superscript"/>
                <w:lang w:bidi="ar"/>
              </w:rPr>
              <w:t>2</w:t>
            </w:r>
          </w:p>
        </w:tc>
        <w:tc>
          <w:tcPr>
            <w:tcW w:w="682" w:type="pct"/>
            <w:tcBorders>
              <w:top w:val="nil"/>
              <w:left w:val="nil"/>
              <w:bottom w:val="nil"/>
              <w:right w:val="nil"/>
            </w:tcBorders>
            <w:tcMar>
              <w:top w:w="15" w:type="dxa"/>
              <w:left w:w="15" w:type="dxa"/>
              <w:right w:w="15" w:type="dxa"/>
            </w:tcMar>
            <w:vAlign w:val="center"/>
          </w:tcPr>
          <w:p>
            <w:pPr>
              <w:pStyle w:val="9"/>
              <w:jc w:val="center"/>
              <w:rPr>
                <w:rFonts w:hint="default" w:eastAsia="宋体"/>
                <w:color w:val="000000"/>
                <w:szCs w:val="21"/>
                <w:lang w:val="en-US" w:eastAsia="zh-CN"/>
              </w:rPr>
            </w:pPr>
            <w:r>
              <w:rPr>
                <w:rFonts w:hint="eastAsia"/>
                <w:szCs w:val="21"/>
                <w:lang w:val="en-US" w:eastAsia="zh-CN"/>
              </w:rPr>
              <w:t>2800</w:t>
            </w:r>
          </w:p>
        </w:tc>
        <w:tc>
          <w:tcPr>
            <w:tcW w:w="810" w:type="pct"/>
            <w:tcBorders>
              <w:top w:val="nil"/>
              <w:left w:val="nil"/>
              <w:bottom w:val="nil"/>
              <w:right w:val="nil"/>
            </w:tcBorders>
            <w:tcMar>
              <w:top w:w="15" w:type="dxa"/>
              <w:left w:w="15" w:type="dxa"/>
              <w:right w:w="15" w:type="dxa"/>
            </w:tcMar>
            <w:vAlign w:val="center"/>
          </w:tcPr>
          <w:p>
            <w:pPr>
              <w:pStyle w:val="9"/>
              <w:jc w:val="center"/>
              <w:rPr>
                <w:rFonts w:hint="default" w:eastAsia="宋体"/>
                <w:color w:val="000000"/>
                <w:szCs w:val="21"/>
                <w:lang w:val="en-US" w:eastAsia="zh-CN"/>
              </w:rPr>
            </w:pPr>
            <w:r>
              <w:rPr>
                <w:rFonts w:hint="eastAsia"/>
                <w:szCs w:val="21"/>
                <w:lang w:val="en-US" w:eastAsia="zh-CN"/>
              </w:rPr>
              <w:t>5700</w:t>
            </w:r>
          </w:p>
        </w:tc>
        <w:tc>
          <w:tcPr>
            <w:tcW w:w="1291"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szCs w:val="21"/>
              </w:rPr>
            </w:pPr>
            <w:r>
              <w:rPr>
                <w:rFonts w:hint="eastAsia" w:ascii="Times New Roman" w:hAnsi="Times New Roman" w:cs="Times New Roman"/>
                <w:color w:val="0000FF"/>
                <w:szCs w:val="21"/>
                <w:lang w:val="en-US" w:eastAsia="zh-CN"/>
              </w:rPr>
              <w:t>US DOE</w:t>
            </w:r>
            <w:r>
              <w:rPr>
                <w:rFonts w:ascii="Times New Roman" w:hAnsi="Times New Roman" w:cs="Times New Roman"/>
                <w:color w:val="0000FF"/>
                <w:szCs w:val="21"/>
              </w:rPr>
              <w:t xml:space="preserve"> 2011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top w:val="nil"/>
              <w:left w:val="nil"/>
              <w:bottom w:val="nil"/>
              <w:right w:val="nil"/>
            </w:tcBorders>
            <w:shd w:val="clear" w:color="auto" w:fill="D7D7D7" w:themeFill="background1" w:themeFillShade="D8"/>
            <w:tcMar>
              <w:top w:w="15" w:type="dxa"/>
              <w:left w:w="15" w:type="dxa"/>
              <w:right w:w="15" w:type="dxa"/>
            </w:tcMar>
          </w:tcPr>
          <w:p>
            <w:pPr>
              <w:widowControl/>
              <w:jc w:val="center"/>
              <w:textAlignment w:val="top"/>
              <w:rPr>
                <w:rFonts w:hint="default" w:ascii="Times New Roman" w:hAnsi="Times New Roman" w:eastAsiaTheme="minorEastAsia"/>
                <w:color w:val="000000"/>
                <w:kern w:val="0"/>
                <w:szCs w:val="21"/>
                <w:lang w:val="en-US" w:eastAsia="zh-CN" w:bidi="ar"/>
              </w:rPr>
            </w:pPr>
            <w:r>
              <w:rPr>
                <w:rFonts w:hint="eastAsia" w:ascii="Times New Roman" w:hAnsi="Times New Roman"/>
                <w:color w:val="000000"/>
                <w:kern w:val="0"/>
                <w:szCs w:val="21"/>
                <w:lang w:val="en-US" w:eastAsia="zh-CN" w:bidi="ar"/>
              </w:rPr>
              <w:t>AF</w:t>
            </w:r>
          </w:p>
        </w:tc>
        <w:tc>
          <w:tcPr>
            <w:tcW w:w="959" w:type="pct"/>
            <w:tcBorders>
              <w:top w:val="nil"/>
              <w:left w:val="nil"/>
              <w:bottom w:val="nil"/>
              <w:right w:val="nil"/>
            </w:tcBorders>
            <w:tcMar>
              <w:top w:w="15" w:type="dxa"/>
              <w:left w:w="15" w:type="dxa"/>
              <w:right w:w="15" w:type="dxa"/>
            </w:tcMar>
          </w:tcPr>
          <w:p>
            <w:pPr>
              <w:widowControl/>
              <w:jc w:val="center"/>
              <w:textAlignment w:val="top"/>
              <w:rPr>
                <w:rFonts w:ascii="Times New Roman" w:hAnsi="Times New Roman"/>
                <w:color w:val="000000"/>
                <w:kern w:val="0"/>
                <w:szCs w:val="21"/>
                <w:lang w:bidi="ar"/>
              </w:rPr>
            </w:pPr>
            <w:r>
              <w:rPr>
                <w:rFonts w:hint="eastAsia" w:ascii="Times New Roman" w:hAnsi="Times New Roman"/>
                <w:color w:val="000000"/>
                <w:kern w:val="0"/>
                <w:szCs w:val="21"/>
                <w:lang w:bidi="ar"/>
              </w:rPr>
              <w:t>Dermal adherence factor</w:t>
            </w:r>
          </w:p>
        </w:tc>
        <w:tc>
          <w:tcPr>
            <w:tcW w:w="796" w:type="pct"/>
            <w:tcBorders>
              <w:top w:val="nil"/>
              <w:left w:val="nil"/>
              <w:bottom w:val="nil"/>
              <w:right w:val="nil"/>
            </w:tcBorders>
            <w:tcMar>
              <w:top w:w="15" w:type="dxa"/>
              <w:left w:w="15" w:type="dxa"/>
              <w:right w:w="15" w:type="dxa"/>
            </w:tcMar>
            <w:vAlign w:val="center"/>
          </w:tcPr>
          <w:p>
            <w:pPr>
              <w:pStyle w:val="9"/>
              <w:jc w:val="center"/>
              <w:rPr>
                <w:rFonts w:ascii="Times New Roman" w:hAnsi="Times New Roman"/>
                <w:color w:val="000000"/>
                <w:kern w:val="0"/>
                <w:szCs w:val="21"/>
                <w:lang w:bidi="ar"/>
              </w:rPr>
            </w:pPr>
            <w:r>
              <w:rPr>
                <w:rFonts w:hint="eastAsia" w:ascii="Times New Roman" w:hAnsi="Times New Roman"/>
                <w:color w:val="000000"/>
                <w:szCs w:val="21"/>
              </w:rPr>
              <w:t>m</w:t>
            </w:r>
            <w:r>
              <w:rPr>
                <w:rFonts w:ascii="Times New Roman" w:hAnsi="Times New Roman"/>
                <w:color w:val="000000"/>
                <w:szCs w:val="21"/>
              </w:rPr>
              <w:t>g</w:t>
            </w:r>
            <w:r>
              <w:rPr>
                <w:rFonts w:hint="eastAsia" w:ascii="Times New Roman" w:hAnsi="Times New Roman"/>
                <w:color w:val="000000"/>
                <w:szCs w:val="21"/>
              </w:rPr>
              <w:t>/</w:t>
            </w:r>
            <w:r>
              <w:rPr>
                <w:rFonts w:ascii="Times New Roman" w:hAnsi="Times New Roman"/>
                <w:color w:val="000000"/>
                <w:szCs w:val="21"/>
              </w:rPr>
              <w:t>cm</w:t>
            </w:r>
            <w:r>
              <w:rPr>
                <w:rFonts w:ascii="Times New Roman" w:hAnsi="Times New Roman"/>
                <w:color w:val="000000"/>
                <w:szCs w:val="21"/>
                <w:vertAlign w:val="superscript"/>
              </w:rPr>
              <w:t>2</w:t>
            </w:r>
          </w:p>
        </w:tc>
        <w:tc>
          <w:tcPr>
            <w:tcW w:w="682" w:type="pct"/>
            <w:tcBorders>
              <w:top w:val="nil"/>
              <w:left w:val="nil"/>
              <w:bottom w:val="nil"/>
              <w:right w:val="nil"/>
            </w:tcBorders>
            <w:tcMar>
              <w:top w:w="15" w:type="dxa"/>
              <w:left w:w="15" w:type="dxa"/>
              <w:right w:w="15" w:type="dxa"/>
            </w:tcMar>
            <w:vAlign w:val="center"/>
          </w:tcPr>
          <w:p>
            <w:pPr>
              <w:pStyle w:val="9"/>
              <w:jc w:val="center"/>
              <w:rPr>
                <w:rFonts w:hint="default"/>
                <w:szCs w:val="21"/>
                <w:lang w:val="en-US" w:eastAsia="zh-CN"/>
              </w:rPr>
            </w:pPr>
            <w:r>
              <w:rPr>
                <w:rFonts w:hint="eastAsia"/>
                <w:szCs w:val="21"/>
                <w:lang w:val="en-US" w:eastAsia="zh-CN"/>
              </w:rPr>
              <w:t>0.49</w:t>
            </w:r>
          </w:p>
        </w:tc>
        <w:tc>
          <w:tcPr>
            <w:tcW w:w="810" w:type="pct"/>
            <w:tcBorders>
              <w:top w:val="nil"/>
              <w:left w:val="nil"/>
              <w:bottom w:val="nil"/>
              <w:right w:val="nil"/>
            </w:tcBorders>
            <w:tcMar>
              <w:top w:w="15" w:type="dxa"/>
              <w:left w:w="15" w:type="dxa"/>
              <w:right w:w="15" w:type="dxa"/>
            </w:tcMar>
            <w:vAlign w:val="center"/>
          </w:tcPr>
          <w:p>
            <w:pPr>
              <w:pStyle w:val="9"/>
              <w:jc w:val="center"/>
              <w:rPr>
                <w:rFonts w:hint="default"/>
                <w:szCs w:val="21"/>
                <w:lang w:val="en-US" w:eastAsia="zh-CN"/>
              </w:rPr>
            </w:pPr>
            <w:r>
              <w:rPr>
                <w:rFonts w:hint="eastAsia"/>
                <w:szCs w:val="21"/>
                <w:lang w:val="en-US" w:eastAsia="zh-CN"/>
              </w:rPr>
              <w:t>0.65</w:t>
            </w:r>
          </w:p>
        </w:tc>
        <w:tc>
          <w:tcPr>
            <w:tcW w:w="1291" w:type="pct"/>
            <w:tcBorders>
              <w:top w:val="nil"/>
              <w:left w:val="nil"/>
              <w:bottom w:val="nil"/>
              <w:right w:val="nil"/>
            </w:tcBorders>
            <w:tcMar>
              <w:top w:w="15" w:type="dxa"/>
              <w:left w:w="15" w:type="dxa"/>
              <w:right w:w="15" w:type="dxa"/>
            </w:tcMar>
            <w:vAlign w:val="center"/>
          </w:tcPr>
          <w:p>
            <w:pPr>
              <w:widowControl/>
              <w:jc w:val="center"/>
              <w:textAlignment w:val="top"/>
              <w:rPr>
                <w:rFonts w:hint="default" w:ascii="Times New Roman" w:hAnsi="Times New Roman" w:cs="Times New Roman"/>
                <w:color w:val="0000FF"/>
                <w:szCs w:val="21"/>
                <w:lang w:val="en-US" w:eastAsia="zh-CN"/>
              </w:rPr>
            </w:pPr>
            <w:r>
              <w:rPr>
                <w:rFonts w:hint="eastAsia" w:ascii="Times New Roman" w:hAnsi="Times New Roman" w:cs="Times New Roman"/>
                <w:color w:val="0000FF"/>
                <w:szCs w:val="21"/>
                <w:lang w:val="en-US" w:eastAsia="zh-CN"/>
              </w:rPr>
              <w:t>Wu et al., 2020</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vMerge w:val="restart"/>
            <w:tcBorders>
              <w:top w:val="nil"/>
              <w:left w:val="nil"/>
              <w:right w:val="nil"/>
            </w:tcBorders>
            <w:shd w:val="clear" w:color="auto" w:fill="D7D7D7" w:themeFill="background1" w:themeFillShade="D8"/>
            <w:noWrap/>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ABF</w:t>
            </w:r>
          </w:p>
        </w:tc>
        <w:tc>
          <w:tcPr>
            <w:tcW w:w="959" w:type="pct"/>
            <w:vMerge w:val="restart"/>
            <w:tcBorders>
              <w:top w:val="nil"/>
              <w:left w:val="nil"/>
              <w:right w:val="nil"/>
            </w:tcBorders>
            <w:noWrap/>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Dermal adsorption factor</w:t>
            </w:r>
          </w:p>
        </w:tc>
        <w:tc>
          <w:tcPr>
            <w:tcW w:w="796" w:type="pct"/>
            <w:vMerge w:val="restart"/>
            <w:tcBorders>
              <w:top w:val="nil"/>
              <w:left w:val="nil"/>
              <w:right w:val="nil"/>
            </w:tcBorders>
            <w:noWrap/>
            <w:tcMar>
              <w:top w:w="15" w:type="dxa"/>
              <w:left w:w="15" w:type="dxa"/>
              <w:right w:w="15" w:type="dxa"/>
            </w:tcMar>
            <w:vAlign w:val="center"/>
          </w:tcPr>
          <w:p>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unitless</w:t>
            </w:r>
          </w:p>
        </w:tc>
        <w:tc>
          <w:tcPr>
            <w:tcW w:w="1492" w:type="pct"/>
            <w:gridSpan w:val="2"/>
            <w:tcBorders>
              <w:top w:val="nil"/>
              <w:left w:val="nil"/>
              <w:bottom w:val="nil"/>
              <w:right w:val="nil"/>
            </w:tcBorders>
            <w:noWrap/>
            <w:tcMar>
              <w:top w:w="15" w:type="dxa"/>
              <w:left w:w="15" w:type="dxa"/>
              <w:right w:w="15" w:type="dxa"/>
            </w:tcMar>
            <w:vAlign w:val="center"/>
          </w:tcPr>
          <w:p>
            <w:pPr>
              <w:jc w:val="center"/>
              <w:rPr>
                <w:rFonts w:ascii="Times New Roman" w:hAnsi="Times New Roman" w:eastAsia="宋体" w:cs="Times New Roman"/>
                <w:color w:val="000000"/>
                <w:szCs w:val="21"/>
                <w:lang w:bidi="ar"/>
              </w:rPr>
            </w:pPr>
            <w:r>
              <w:rPr>
                <w:rStyle w:val="11"/>
                <w:rFonts w:eastAsia="宋体"/>
                <w:sz w:val="21"/>
                <w:szCs w:val="21"/>
                <w:lang w:bidi="ar"/>
              </w:rPr>
              <w:t>0.001 (non-carcinogen)</w:t>
            </w:r>
          </w:p>
        </w:tc>
        <w:tc>
          <w:tcPr>
            <w:tcW w:w="1291" w:type="pct"/>
            <w:vMerge w:val="restart"/>
            <w:tcBorders>
              <w:top w:val="nil"/>
              <w:left w:val="nil"/>
              <w:right w:val="nil"/>
            </w:tcBorders>
            <w:tcMar>
              <w:top w:w="15" w:type="dxa"/>
              <w:left w:w="15" w:type="dxa"/>
              <w:right w:w="15" w:type="dxa"/>
            </w:tcMar>
            <w:vAlign w:val="center"/>
          </w:tcPr>
          <w:p>
            <w:pPr>
              <w:widowControl/>
              <w:jc w:val="center"/>
              <w:textAlignment w:val="top"/>
              <w:rPr>
                <w:rFonts w:ascii="Times New Roman" w:hAnsi="Times New Roman" w:eastAsia="宋体" w:cs="Times New Roman"/>
                <w:color w:val="000000"/>
                <w:szCs w:val="21"/>
              </w:rPr>
            </w:pPr>
            <w:r>
              <w:rPr>
                <w:rStyle w:val="12"/>
                <w:rFonts w:eastAsia="宋体"/>
                <w:color w:val="0000FF"/>
                <w:sz w:val="21"/>
                <w:szCs w:val="21"/>
                <w:lang w:bidi="ar"/>
              </w:rPr>
              <w:t>Shi et al.,2011</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vMerge w:val="continue"/>
            <w:tcBorders>
              <w:left w:val="nil"/>
              <w:right w:val="nil"/>
            </w:tcBorders>
            <w:shd w:val="clear" w:color="auto" w:fill="D7D7D7" w:themeFill="background1" w:themeFillShade="D8"/>
            <w:noWrap/>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959" w:type="pct"/>
            <w:vMerge w:val="continue"/>
            <w:tcBorders>
              <w:left w:val="nil"/>
              <w:right w:val="nil"/>
            </w:tcBorders>
            <w:noWrap/>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796" w:type="pct"/>
            <w:vMerge w:val="continue"/>
            <w:tcBorders>
              <w:left w:val="nil"/>
              <w:right w:val="nil"/>
            </w:tcBorders>
            <w:noWrap/>
            <w:tcMar>
              <w:top w:w="15" w:type="dxa"/>
              <w:left w:w="15" w:type="dxa"/>
              <w:right w:w="15" w:type="dxa"/>
            </w:tcMar>
            <w:vAlign w:val="center"/>
          </w:tcPr>
          <w:p>
            <w:pPr>
              <w:jc w:val="center"/>
              <w:rPr>
                <w:rFonts w:ascii="Times New Roman" w:hAnsi="Times New Roman" w:eastAsia="宋体" w:cs="Times New Roman"/>
                <w:color w:val="000000"/>
                <w:szCs w:val="21"/>
              </w:rPr>
            </w:pPr>
          </w:p>
        </w:tc>
        <w:tc>
          <w:tcPr>
            <w:tcW w:w="1492" w:type="pct"/>
            <w:gridSpan w:val="2"/>
            <w:tcBorders>
              <w:top w:val="nil"/>
              <w:left w:val="nil"/>
              <w:bottom w:val="nil"/>
              <w:right w:val="nil"/>
            </w:tcBorders>
            <w:noWrap/>
            <w:tcMar>
              <w:top w:w="15" w:type="dxa"/>
              <w:left w:w="15" w:type="dxa"/>
              <w:right w:w="15" w:type="dxa"/>
            </w:tcMar>
            <w:vAlign w:val="center"/>
          </w:tcPr>
          <w:p>
            <w:pPr>
              <w:jc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0.01 (carcinogen)</w:t>
            </w:r>
          </w:p>
        </w:tc>
        <w:tc>
          <w:tcPr>
            <w:tcW w:w="1291" w:type="pct"/>
            <w:vMerge w:val="continue"/>
            <w:tcBorders>
              <w:left w:val="nil"/>
              <w:right w:val="nil"/>
            </w:tcBorders>
            <w:noWrap/>
            <w:tcMar>
              <w:top w:w="15" w:type="dxa"/>
              <w:left w:w="15" w:type="dxa"/>
              <w:right w:w="15" w:type="dxa"/>
            </w:tcMar>
            <w:vAlign w:val="center"/>
          </w:tcPr>
          <w:p>
            <w:pPr>
              <w:jc w:val="center"/>
              <w:rPr>
                <w:rFonts w:ascii="Times New Roman" w:hAnsi="Times New Roman" w:eastAsia="宋体" w:cs="Times New Roman"/>
                <w:color w:val="000000"/>
                <w:szCs w:val="21"/>
              </w:rPr>
            </w:pP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left w:val="nil"/>
              <w:right w:val="nil"/>
            </w:tcBorders>
            <w:shd w:val="clear" w:color="auto" w:fill="D7D7D7" w:themeFill="background1" w:themeFillShade="D8"/>
            <w:noWrap/>
            <w:tcMar>
              <w:top w:w="15" w:type="dxa"/>
              <w:left w:w="15" w:type="dxa"/>
              <w:right w:w="15" w:type="dxa"/>
            </w:tcMar>
            <w:vAlign w:val="center"/>
          </w:tcPr>
          <w:p>
            <w:pPr>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SF</w:t>
            </w:r>
          </w:p>
        </w:tc>
        <w:tc>
          <w:tcPr>
            <w:tcW w:w="959" w:type="pct"/>
            <w:tcBorders>
              <w:left w:val="nil"/>
              <w:right w:val="nil"/>
            </w:tcBorders>
            <w:noWrap/>
            <w:tcMar>
              <w:top w:w="15" w:type="dxa"/>
              <w:left w:w="15" w:type="dxa"/>
              <w:right w:w="15" w:type="dxa"/>
            </w:tcMar>
            <w:vAlign w:val="center"/>
          </w:tcPr>
          <w:p>
            <w:pPr>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Carcinogeicity slope factor</w:t>
            </w:r>
          </w:p>
        </w:tc>
        <w:tc>
          <w:tcPr>
            <w:tcW w:w="796" w:type="pct"/>
            <w:tcBorders>
              <w:left w:val="nil"/>
              <w:right w:val="nil"/>
            </w:tcBorders>
            <w:noWrap/>
            <w:tcMar>
              <w:top w:w="15" w:type="dxa"/>
              <w:left w:w="15" w:type="dxa"/>
              <w:right w:w="15" w:type="dxa"/>
            </w:tcMar>
            <w:vAlign w:val="center"/>
          </w:tcPr>
          <w:p>
            <w:pPr>
              <w:jc w:val="center"/>
              <w:rPr>
                <w:rFonts w:hint="eastAsia" w:ascii="Times New Roman" w:hAnsi="Times New Roman" w:eastAsia="等线" w:cs="Times New Roman"/>
                <w:color w:val="000000"/>
                <w:kern w:val="0"/>
                <w:szCs w:val="21"/>
                <w:lang w:eastAsia="zh-CN" w:bidi="ar"/>
              </w:rPr>
            </w:pPr>
            <w:r>
              <w:rPr>
                <w:rFonts w:ascii="Times New Roman" w:hAnsi="Times New Roman" w:eastAsia="等线" w:cs="Times New Roman"/>
                <w:color w:val="000000"/>
                <w:kern w:val="0"/>
                <w:szCs w:val="21"/>
                <w:lang w:bidi="ar"/>
              </w:rPr>
              <w:t>Per</w:t>
            </w:r>
          </w:p>
          <w:p>
            <w:pPr>
              <w:jc w:val="center"/>
              <w:rPr>
                <w:rFonts w:ascii="Times New Roman" w:hAnsi="Times New Roman" w:eastAsia="宋体" w:cs="Times New Roman"/>
                <w:color w:val="000000"/>
                <w:szCs w:val="21"/>
              </w:rPr>
            </w:pPr>
            <w:r>
              <w:rPr>
                <w:rFonts w:ascii="Times New Roman" w:hAnsi="Times New Roman" w:eastAsia="等线" w:cs="Times New Roman"/>
                <w:color w:val="000000"/>
                <w:kern w:val="0"/>
                <w:szCs w:val="21"/>
                <w:lang w:bidi="ar"/>
              </w:rPr>
              <w:t>（mg/kg）day</w:t>
            </w:r>
          </w:p>
        </w:tc>
        <w:tc>
          <w:tcPr>
            <w:tcW w:w="1492" w:type="pct"/>
            <w:gridSpan w:val="2"/>
            <w:tcBorders>
              <w:top w:val="nil"/>
              <w:left w:val="nil"/>
              <w:bottom w:val="nil"/>
              <w:right w:val="nil"/>
            </w:tcBorders>
            <w:noWrap/>
            <w:tcMar>
              <w:top w:w="15" w:type="dxa"/>
              <w:left w:w="15" w:type="dxa"/>
              <w:right w:w="15" w:type="dxa"/>
            </w:tcMar>
            <w:vAlign w:val="center"/>
          </w:tcPr>
          <w:p>
            <w:pPr>
              <w:jc w:val="center"/>
              <w:rPr>
                <w:rFonts w:ascii="Times New Roman" w:hAnsi="Times New Roman" w:eastAsia="宋体" w:cs="Times New Roman"/>
                <w:color w:val="000000"/>
                <w:kern w:val="0"/>
                <w:szCs w:val="21"/>
                <w:lang w:bidi="ar"/>
              </w:rPr>
            </w:pPr>
            <w:r>
              <w:rPr>
                <w:rFonts w:ascii="Times New Roman" w:hAnsi="Times New Roman" w:eastAsia="等线" w:cs="Times New Roman"/>
                <w:color w:val="000000"/>
                <w:kern w:val="0"/>
                <w:sz w:val="21"/>
                <w:szCs w:val="21"/>
                <w:lang w:bidi="ar"/>
              </w:rPr>
              <w:t>Inh</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SF:</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6.3(Cd),</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15.1(As),</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42(Cr),</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0.84(Ni)</w:t>
            </w:r>
          </w:p>
        </w:tc>
        <w:tc>
          <w:tcPr>
            <w:tcW w:w="1291" w:type="pct"/>
            <w:tcBorders>
              <w:left w:val="nil"/>
              <w:right w:val="nil"/>
            </w:tcBorders>
            <w:noWrap/>
            <w:tcMar>
              <w:top w:w="15" w:type="dxa"/>
              <w:left w:w="15" w:type="dxa"/>
              <w:right w:w="15" w:type="dxa"/>
            </w:tcMar>
            <w:vAlign w:val="center"/>
          </w:tcPr>
          <w:p>
            <w:pPr>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FF"/>
                <w:szCs w:val="21"/>
                <w:lang w:val="en-US" w:eastAsia="zh-CN"/>
              </w:rPr>
              <w:t>Wu et al., 2020</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97" w:hRule="atLeast"/>
        </w:trPr>
        <w:tc>
          <w:tcPr>
            <w:tcW w:w="460" w:type="pct"/>
            <w:tcBorders>
              <w:left w:val="nil"/>
              <w:bottom w:val="single" w:color="auto" w:sz="8" w:space="0"/>
              <w:right w:val="nil"/>
            </w:tcBorders>
            <w:shd w:val="clear" w:color="auto" w:fill="D7D7D7" w:themeFill="background1" w:themeFillShade="D8"/>
            <w:noWrap/>
            <w:tcMar>
              <w:top w:w="15" w:type="dxa"/>
              <w:left w:w="15" w:type="dxa"/>
              <w:right w:w="15" w:type="dxa"/>
            </w:tcMar>
            <w:vAlign w:val="center"/>
          </w:tcPr>
          <w:p>
            <w:pPr>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RfD</w:t>
            </w:r>
          </w:p>
        </w:tc>
        <w:tc>
          <w:tcPr>
            <w:tcW w:w="959" w:type="pct"/>
            <w:tcBorders>
              <w:left w:val="nil"/>
              <w:bottom w:val="single" w:color="auto" w:sz="8" w:space="0"/>
              <w:right w:val="nil"/>
            </w:tcBorders>
            <w:noWrap/>
            <w:tcMar>
              <w:top w:w="15" w:type="dxa"/>
              <w:left w:w="15" w:type="dxa"/>
              <w:right w:w="15" w:type="dxa"/>
            </w:tcMar>
            <w:vAlign w:val="center"/>
          </w:tcPr>
          <w:p>
            <w:pPr>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Chronic reference dose</w:t>
            </w:r>
          </w:p>
        </w:tc>
        <w:tc>
          <w:tcPr>
            <w:tcW w:w="796" w:type="pct"/>
            <w:tcBorders>
              <w:left w:val="nil"/>
              <w:bottom w:val="single" w:color="auto" w:sz="8" w:space="0"/>
              <w:right w:val="nil"/>
            </w:tcBorders>
            <w:noWrap/>
            <w:tcMar>
              <w:top w:w="15" w:type="dxa"/>
              <w:left w:w="15" w:type="dxa"/>
              <w:right w:w="15" w:type="dxa"/>
            </w:tcMar>
            <w:vAlign w:val="center"/>
          </w:tcPr>
          <w:p>
            <w:pPr>
              <w:jc w:val="center"/>
              <w:rPr>
                <w:rFonts w:ascii="Times New Roman" w:hAnsi="Times New Roman" w:eastAsia="等线" w:cs="Times New Roman"/>
                <w:color w:val="000000"/>
                <w:kern w:val="0"/>
                <w:szCs w:val="21"/>
                <w:lang w:bidi="ar"/>
              </w:rPr>
            </w:pPr>
            <w:r>
              <w:rPr>
                <w:rFonts w:ascii="Times New Roman" w:hAnsi="Times New Roman" w:eastAsia="等线" w:cs="Times New Roman"/>
                <w:color w:val="000000"/>
                <w:kern w:val="0"/>
                <w:szCs w:val="21"/>
                <w:lang w:bidi="ar"/>
              </w:rPr>
              <w:t>mg/kg</w:t>
            </w:r>
            <w:r>
              <w:rPr>
                <w:rFonts w:hint="eastAsia" w:ascii="Times New Roman" w:hAnsi="Times New Roman" w:eastAsia="等线" w:cs="Times New Roman"/>
                <w:color w:val="000000"/>
                <w:kern w:val="0"/>
                <w:szCs w:val="21"/>
                <w:lang w:val="en-US" w:eastAsia="zh-CN" w:bidi="ar"/>
              </w:rPr>
              <w:t>/</w:t>
            </w:r>
            <w:r>
              <w:rPr>
                <w:rFonts w:ascii="Times New Roman" w:hAnsi="Times New Roman" w:eastAsia="等线" w:cs="Times New Roman"/>
                <w:color w:val="000000"/>
                <w:kern w:val="0"/>
                <w:szCs w:val="21"/>
                <w:lang w:bidi="ar"/>
              </w:rPr>
              <w:t>day</w:t>
            </w:r>
          </w:p>
        </w:tc>
        <w:tc>
          <w:tcPr>
            <w:tcW w:w="1492" w:type="pct"/>
            <w:gridSpan w:val="2"/>
            <w:tcBorders>
              <w:top w:val="nil"/>
              <w:left w:val="nil"/>
              <w:bottom w:val="single" w:color="auto" w:sz="8" w:space="0"/>
              <w:right w:val="nil"/>
            </w:tcBorders>
            <w:noWrap/>
            <w:tcMar>
              <w:top w:w="15" w:type="dxa"/>
              <w:left w:w="15" w:type="dxa"/>
              <w:right w:w="15" w:type="dxa"/>
            </w:tcMar>
            <w:vAlign w:val="center"/>
          </w:tcPr>
          <w:p>
            <w:pPr>
              <w:jc w:val="center"/>
              <w:rPr>
                <w:rFonts w:hint="eastAsia" w:ascii="Times New Roman" w:hAnsi="Times New Roman" w:eastAsia="等线" w:cs="Times New Roman"/>
                <w:color w:val="000000"/>
                <w:kern w:val="0"/>
                <w:sz w:val="21"/>
                <w:szCs w:val="21"/>
                <w:lang w:eastAsia="zh-CN" w:bidi="ar"/>
              </w:rPr>
            </w:pPr>
            <w:r>
              <w:rPr>
                <w:rFonts w:ascii="Times New Roman" w:hAnsi="Times New Roman" w:eastAsia="等线" w:cs="Times New Roman"/>
                <w:color w:val="000000"/>
                <w:kern w:val="0"/>
                <w:sz w:val="21"/>
                <w:szCs w:val="21"/>
                <w:lang w:bidi="ar"/>
              </w:rPr>
              <w:t>Oral</w:t>
            </w:r>
            <w:r>
              <w:rPr>
                <w:rFonts w:ascii="Times New Roman" w:hAnsi="Times New Roman" w:eastAsia="等线" w:cs="Times New Roman"/>
                <w:i/>
                <w:iCs/>
                <w:color w:val="000000"/>
                <w:kern w:val="0"/>
                <w:sz w:val="21"/>
                <w:szCs w:val="21"/>
                <w:lang w:bidi="ar"/>
              </w:rPr>
              <w:t xml:space="preserve"> RfD</w:t>
            </w:r>
            <w:r>
              <w:rPr>
                <w:rFonts w:ascii="Times New Roman" w:hAnsi="Times New Roman" w:eastAsia="等线" w:cs="Times New Roman"/>
                <w:color w:val="000000"/>
                <w:kern w:val="0"/>
                <w:sz w:val="21"/>
                <w:szCs w:val="21"/>
                <w:lang w:bidi="ar"/>
              </w:rPr>
              <w:t>:</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0.001(Cd),</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0.0003(Hg),</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0.0003(As),</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0.003(Pb),</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0.003(Cr),</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0.02(Ni),</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0.04(Cu),</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0.3(Zn)</w:t>
            </w:r>
          </w:p>
          <w:p>
            <w:pPr>
              <w:jc w:val="center"/>
              <w:rPr>
                <w:rFonts w:ascii="Times New Roman" w:hAnsi="Times New Roman" w:eastAsia="等线" w:cs="Times New Roman"/>
                <w:color w:val="000000"/>
                <w:kern w:val="0"/>
                <w:sz w:val="21"/>
                <w:szCs w:val="21"/>
                <w:lang w:bidi="ar"/>
              </w:rPr>
            </w:pPr>
            <w:r>
              <w:rPr>
                <w:rFonts w:ascii="Times New Roman" w:hAnsi="Times New Roman" w:eastAsia="等线" w:cs="Times New Roman"/>
                <w:color w:val="000000"/>
                <w:kern w:val="0"/>
                <w:sz w:val="21"/>
                <w:szCs w:val="21"/>
                <w:lang w:bidi="ar"/>
              </w:rPr>
              <w:t xml:space="preserve">Dermal </w:t>
            </w:r>
            <w:r>
              <w:rPr>
                <w:rFonts w:ascii="Times New Roman" w:hAnsi="Times New Roman" w:eastAsia="等线" w:cs="Times New Roman"/>
                <w:i/>
                <w:iCs/>
                <w:color w:val="000000"/>
                <w:kern w:val="0"/>
                <w:sz w:val="21"/>
                <w:szCs w:val="21"/>
                <w:lang w:bidi="ar"/>
              </w:rPr>
              <w:t>RfD</w:t>
            </w:r>
            <w:r>
              <w:rPr>
                <w:rFonts w:ascii="Times New Roman" w:hAnsi="Times New Roman" w:eastAsia="等线" w:cs="Times New Roman"/>
                <w:color w:val="000000"/>
                <w:kern w:val="0"/>
                <w:sz w:val="21"/>
                <w:szCs w:val="21"/>
                <w:lang w:bidi="ar"/>
              </w:rPr>
              <w:t>:</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1.00E-05(Cd),</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2.10E-05(Hg),</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1.23E-04(As),</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5.25E-04(Pb),6.00E-05(Cr),</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5.40E-03(Ni),</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1.20E-02(Cu),</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6.00E-02(Zn)</w:t>
            </w:r>
          </w:p>
          <w:p>
            <w:pPr>
              <w:jc w:val="center"/>
              <w:rPr>
                <w:rFonts w:ascii="Times New Roman" w:hAnsi="Times New Roman" w:eastAsia="等线" w:cs="Times New Roman"/>
                <w:color w:val="000000"/>
                <w:kern w:val="0"/>
                <w:sz w:val="21"/>
                <w:szCs w:val="21"/>
                <w:lang w:bidi="ar"/>
              </w:rPr>
            </w:pPr>
            <w:r>
              <w:rPr>
                <w:rFonts w:ascii="Times New Roman" w:hAnsi="Times New Roman" w:eastAsia="等线" w:cs="Times New Roman"/>
                <w:color w:val="000000"/>
                <w:kern w:val="0"/>
                <w:sz w:val="21"/>
                <w:szCs w:val="21"/>
                <w:lang w:bidi="ar"/>
              </w:rPr>
              <w:t xml:space="preserve">Inhal </w:t>
            </w:r>
            <w:r>
              <w:rPr>
                <w:rFonts w:ascii="Times New Roman" w:hAnsi="Times New Roman" w:eastAsia="等线" w:cs="Times New Roman"/>
                <w:i/>
                <w:iCs/>
                <w:color w:val="000000"/>
                <w:kern w:val="0"/>
                <w:sz w:val="21"/>
                <w:szCs w:val="21"/>
                <w:lang w:bidi="ar"/>
              </w:rPr>
              <w:t>RfD</w:t>
            </w:r>
            <w:r>
              <w:rPr>
                <w:rFonts w:ascii="Times New Roman" w:hAnsi="Times New Roman" w:eastAsia="等线" w:cs="Times New Roman"/>
                <w:color w:val="000000"/>
                <w:kern w:val="0"/>
                <w:sz w:val="21"/>
                <w:szCs w:val="21"/>
                <w:lang w:bidi="ar"/>
              </w:rPr>
              <w:t>:</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8.57E-05(Hg),</w:t>
            </w:r>
            <w:r>
              <w:rPr>
                <w:rFonts w:hint="eastAsia" w:ascii="Times New Roman" w:hAnsi="Times New Roman" w:eastAsia="等线" w:cs="Times New Roman"/>
                <w:color w:val="000000"/>
                <w:kern w:val="0"/>
                <w:sz w:val="21"/>
                <w:szCs w:val="21"/>
                <w:lang w:val="en-US" w:eastAsia="zh-CN" w:bidi="ar"/>
              </w:rPr>
              <w:t xml:space="preserve"> </w:t>
            </w:r>
            <w:r>
              <w:rPr>
                <w:rFonts w:ascii="Times New Roman" w:hAnsi="Times New Roman" w:eastAsia="等线" w:cs="Times New Roman"/>
                <w:color w:val="000000"/>
                <w:kern w:val="0"/>
                <w:sz w:val="21"/>
                <w:szCs w:val="21"/>
                <w:lang w:bidi="ar"/>
              </w:rPr>
              <w:t>2.86E-05(Cr)</w:t>
            </w:r>
          </w:p>
        </w:tc>
        <w:tc>
          <w:tcPr>
            <w:tcW w:w="1291" w:type="pct"/>
            <w:tcBorders>
              <w:left w:val="nil"/>
              <w:bottom w:val="single" w:color="auto" w:sz="8" w:space="0"/>
              <w:right w:val="nil"/>
            </w:tcBorders>
            <w:noWrap/>
            <w:tcMar>
              <w:top w:w="15" w:type="dxa"/>
              <w:left w:w="15" w:type="dxa"/>
              <w:right w:w="15" w:type="dxa"/>
            </w:tcMar>
            <w:vAlign w:val="center"/>
          </w:tcPr>
          <w:p>
            <w:pPr>
              <w:jc w:val="center"/>
              <w:rPr>
                <w:rFonts w:ascii="Times New Roman" w:hAnsi="Times New Roman" w:eastAsia="宋体" w:cs="Times New Roman"/>
                <w:color w:val="000000"/>
                <w:szCs w:val="21"/>
              </w:rPr>
            </w:pPr>
            <w:r>
              <w:rPr>
                <w:rFonts w:hint="eastAsia" w:ascii="Times New Roman" w:hAnsi="Times New Roman" w:eastAsia="宋体" w:cs="Times New Roman"/>
                <w:color w:val="0000FF"/>
                <w:szCs w:val="21"/>
                <w:lang w:val="en-US" w:eastAsia="zh-CN"/>
              </w:rPr>
              <w:t>Wu et al., 2020</w:t>
            </w:r>
          </w:p>
        </w:tc>
      </w:tr>
    </w:tbl>
    <w:p>
      <w:pPr>
        <w:spacing w:line="360" w:lineRule="auto"/>
        <w:rPr>
          <w:rFonts w:hint="default" w:ascii="Times New Roman" w:hAnsi="Times New Roman"/>
          <w:kern w:val="2"/>
          <w:sz w:val="24"/>
          <w:szCs w:val="24"/>
          <w:lang w:val="en-US" w:eastAsia="zh-CN"/>
        </w:rPr>
      </w:pPr>
    </w:p>
    <w:p>
      <w:pPr>
        <w:spacing w:line="360" w:lineRule="auto"/>
        <w:rPr>
          <w:rFonts w:hint="default" w:ascii="Times New Roman" w:hAnsi="Times New Roman"/>
          <w:sz w:val="24"/>
          <w:highlight w:val="yellow"/>
          <w:lang w:val="en-US" w:eastAsia="zh-CN"/>
        </w:rPr>
      </w:pPr>
    </w:p>
    <w:p>
      <w:pPr>
        <w:spacing w:line="360" w:lineRule="auto"/>
        <w:rPr>
          <w:rFonts w:hint="default" w:ascii="Times New Roman" w:hAnsi="Times New Roman"/>
          <w:sz w:val="24"/>
          <w:highlight w:val="yellow"/>
          <w:lang w:val="en-US" w:eastAsia="zh-CN"/>
        </w:rPr>
      </w:pPr>
      <w:r>
        <w:rPr>
          <w:rFonts w:hint="eastAsia" w:ascii="Times New Roman" w:hAnsi="Times New Roman"/>
          <w:sz w:val="21"/>
          <w:szCs w:val="21"/>
          <w:highlight w:val="none"/>
          <w:lang w:val="en-US" w:eastAsia="zh-CN"/>
        </w:rPr>
        <w:t>Table S2 Statistics of heavy metal(loids) concentrations in soil of different area in Jiangmen city</w:t>
      </w:r>
    </w:p>
    <w:tbl>
      <w:tblPr>
        <w:tblStyle w:val="5"/>
        <w:tblW w:w="8963"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766"/>
        <w:gridCol w:w="1513"/>
        <w:gridCol w:w="681"/>
        <w:gridCol w:w="681"/>
        <w:gridCol w:w="801"/>
        <w:gridCol w:w="711"/>
        <w:gridCol w:w="681"/>
        <w:gridCol w:w="681"/>
        <w:gridCol w:w="711"/>
        <w:gridCol w:w="80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sample</w:t>
            </w:r>
          </w:p>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area</w:t>
            </w:r>
          </w:p>
        </w:tc>
        <w:tc>
          <w:tcPr>
            <w:tcW w:w="766" w:type="dxa"/>
            <w:vMerge w:val="restart"/>
            <w:tcBorders>
              <w:top w:val="single" w:color="auto" w:sz="4" w:space="0"/>
              <w:left w:val="nil"/>
              <w:bottom w:val="single" w:color="auto" w:sz="2"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sample</w:t>
            </w:r>
          </w:p>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number</w:t>
            </w:r>
          </w:p>
        </w:tc>
        <w:tc>
          <w:tcPr>
            <w:tcW w:w="1513" w:type="dxa"/>
            <w:vMerge w:val="restart"/>
            <w:tcBorders>
              <w:left w:val="nil"/>
              <w:right w:val="nil"/>
            </w:tcBorders>
            <w:shd w:val="clear" w:color="auto" w:fill="D7D7D7" w:themeFill="background1" w:themeFillShade="D8"/>
            <w:vAlign w:val="center"/>
          </w:tcPr>
          <w:p>
            <w:pPr>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sz w:val="18"/>
                <w:szCs w:val="18"/>
                <w:highlight w:val="none"/>
                <w:lang w:val="en-US" w:eastAsia="zh-CN"/>
              </w:rPr>
              <w:t>statistics</w:t>
            </w:r>
          </w:p>
        </w:tc>
        <w:tc>
          <w:tcPr>
            <w:tcW w:w="5748" w:type="dxa"/>
            <w:gridSpan w:val="8"/>
            <w:tcBorders>
              <w:left w:val="nil"/>
              <w:bottom w:val="single" w:color="auto" w:sz="4" w:space="0"/>
            </w:tcBorders>
            <w:shd w:val="clear" w:color="auto" w:fill="D7D7D7" w:themeFill="background1" w:themeFillShade="D8"/>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Items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tcBorders>
            <w:shd w:val="clear" w:color="auto" w:fill="D7D7D7" w:themeFill="background1" w:themeFillShade="D8"/>
          </w:tcPr>
          <w:p>
            <w:pPr>
              <w:jc w:val="center"/>
              <w:rPr>
                <w:rFonts w:ascii="Times New Roman" w:hAnsi="Times New Roman" w:cs="Times New Roman"/>
                <w:sz w:val="18"/>
                <w:szCs w:val="18"/>
                <w:highlight w:val="none"/>
              </w:rPr>
            </w:pPr>
          </w:p>
        </w:tc>
        <w:tc>
          <w:tcPr>
            <w:tcW w:w="766" w:type="dxa"/>
            <w:vMerge w:val="continue"/>
            <w:tcBorders>
              <w:top w:val="single" w:color="auto" w:sz="2" w:space="0"/>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p>
        </w:tc>
        <w:tc>
          <w:tcPr>
            <w:tcW w:w="1513" w:type="dxa"/>
            <w:vMerge w:val="continue"/>
            <w:tcBorders>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p>
        </w:tc>
        <w:tc>
          <w:tcPr>
            <w:tcW w:w="68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As</w:t>
            </w:r>
          </w:p>
        </w:tc>
        <w:tc>
          <w:tcPr>
            <w:tcW w:w="68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Cd</w:t>
            </w:r>
          </w:p>
        </w:tc>
        <w:tc>
          <w:tcPr>
            <w:tcW w:w="80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Cr</w:t>
            </w:r>
          </w:p>
        </w:tc>
        <w:tc>
          <w:tcPr>
            <w:tcW w:w="71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Cu</w:t>
            </w:r>
          </w:p>
        </w:tc>
        <w:tc>
          <w:tcPr>
            <w:tcW w:w="68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Hg</w:t>
            </w:r>
          </w:p>
        </w:tc>
        <w:tc>
          <w:tcPr>
            <w:tcW w:w="68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Ni</w:t>
            </w:r>
          </w:p>
        </w:tc>
        <w:tc>
          <w:tcPr>
            <w:tcW w:w="711" w:type="dxa"/>
            <w:tcBorders>
              <w:top w:val="single" w:color="auto" w:sz="4" w:space="0"/>
              <w:left w:val="nil"/>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Pb</w:t>
            </w:r>
          </w:p>
        </w:tc>
        <w:tc>
          <w:tcPr>
            <w:tcW w:w="801" w:type="dxa"/>
            <w:tcBorders>
              <w:top w:val="single" w:color="auto" w:sz="4" w:space="0"/>
              <w:left w:val="nil"/>
              <w:bottom w:val="single" w:color="auto" w:sz="4" w:space="0"/>
            </w:tcBorders>
            <w:shd w:val="clear" w:color="auto" w:fill="D7D7D7" w:themeFill="background1" w:themeFillShade="D8"/>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Zn</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Jianghai</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5</w:t>
            </w:r>
          </w:p>
        </w:tc>
        <w:tc>
          <w:tcPr>
            <w:tcW w:w="1513" w:type="dxa"/>
            <w:tcBorders>
              <w:left w:val="nil"/>
              <w:bottom w:val="nil"/>
              <w:right w:val="nil"/>
            </w:tcBorders>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11.9</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0.79</w:t>
            </w:r>
          </w:p>
        </w:tc>
        <w:tc>
          <w:tcPr>
            <w:tcW w:w="80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485</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54.6</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0.13</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39.6</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60.4</w:t>
            </w:r>
          </w:p>
        </w:tc>
        <w:tc>
          <w:tcPr>
            <w:tcW w:w="801" w:type="dxa"/>
            <w:tcBorders>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tcPr>
          <w:p>
            <w:pPr>
              <w:jc w:val="center"/>
              <w:rPr>
                <w:rFonts w:ascii="Times New Roman" w:hAnsi="Times New Roman" w:cs="Times New Roman"/>
                <w:sz w:val="18"/>
                <w:szCs w:val="18"/>
                <w:highlight w:val="none"/>
              </w:rPr>
            </w:pPr>
          </w:p>
        </w:tc>
        <w:tc>
          <w:tcPr>
            <w:tcW w:w="1513" w:type="dxa"/>
            <w:tcBorders>
              <w:top w:val="nil"/>
              <w:left w:val="nil"/>
              <w:bottom w:val="nil"/>
              <w:right w:val="nil"/>
            </w:tcBorders>
          </w:tcPr>
          <w:p>
            <w:pP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2.50</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2154</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87.9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84.9</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85.5</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tcPr>
          <w:p>
            <w:pPr>
              <w:jc w:val="center"/>
              <w:rPr>
                <w:rFonts w:ascii="Times New Roman" w:hAnsi="Times New Roman" w:cs="Times New Roman"/>
                <w:sz w:val="18"/>
                <w:szCs w:val="18"/>
                <w:highlight w:val="none"/>
              </w:rPr>
            </w:pPr>
          </w:p>
        </w:tc>
        <w:tc>
          <w:tcPr>
            <w:tcW w:w="1513" w:type="dxa"/>
            <w:tcBorders>
              <w:top w:val="nil"/>
              <w:left w:val="nil"/>
              <w:bottom w:val="nil"/>
              <w:right w:val="nil"/>
            </w:tcBorders>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6.60</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0.11</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30.5</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0.03</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42.7</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45.7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tcPr>
          <w:p>
            <w:pPr>
              <w:jc w:val="center"/>
              <w:rPr>
                <w:rFonts w:ascii="Times New Roman" w:hAnsi="Times New Roman" w:cs="Times New Roman"/>
                <w:sz w:val="18"/>
                <w:szCs w:val="18"/>
                <w:highlight w:val="none"/>
              </w:rPr>
            </w:pPr>
          </w:p>
        </w:tc>
        <w:tc>
          <w:tcPr>
            <w:tcW w:w="1513" w:type="dxa"/>
            <w:tcBorders>
              <w:top w:val="nil"/>
              <w:left w:val="nil"/>
              <w:bottom w:val="nil"/>
              <w:right w:val="nil"/>
            </w:tcBorders>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3.13</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0.98</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934</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27.7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0.06</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30.3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17.6</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right w:val="nil"/>
            </w:tcBorders>
            <w:shd w:val="clear" w:color="auto" w:fill="D7D7D7" w:themeFill="background1" w:themeFillShade="D8"/>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eastAsia="微软雅黑" w:cs="Times New Roman"/>
                <w:color w:val="000000"/>
                <w:sz w:val="18"/>
                <w:szCs w:val="18"/>
                <w:highlight w:val="none"/>
                <w:lang w:val="en-US" w:eastAsia="zh-CN"/>
              </w:rPr>
              <w:t>26</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125</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193</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51</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49</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77</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29</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Pengjiang</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9</w:t>
            </w:r>
          </w:p>
        </w:tc>
        <w:tc>
          <w:tcPr>
            <w:tcW w:w="1513"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16.2</w:t>
            </w:r>
          </w:p>
        </w:tc>
        <w:tc>
          <w:tcPr>
            <w:tcW w:w="68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0.38</w:t>
            </w:r>
          </w:p>
        </w:tc>
        <w:tc>
          <w:tcPr>
            <w:tcW w:w="80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44.8</w:t>
            </w:r>
          </w:p>
        </w:tc>
        <w:tc>
          <w:tcPr>
            <w:tcW w:w="71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41.4</w:t>
            </w:r>
          </w:p>
        </w:tc>
        <w:tc>
          <w:tcPr>
            <w:tcW w:w="68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0.26</w:t>
            </w:r>
          </w:p>
        </w:tc>
        <w:tc>
          <w:tcPr>
            <w:tcW w:w="68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19.1</w:t>
            </w:r>
          </w:p>
        </w:tc>
        <w:tc>
          <w:tcPr>
            <w:tcW w:w="711"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60.5</w:t>
            </w:r>
          </w:p>
        </w:tc>
        <w:tc>
          <w:tcPr>
            <w:tcW w:w="801" w:type="dxa"/>
            <w:tcBorders>
              <w:top w:val="single" w:color="auto" w:sz="4" w:space="0"/>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226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29.1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1.55</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91.3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157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1.00</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50.8</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173</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1188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7.29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0.02</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17.8</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0.00</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7.34</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22.3</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6.97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0.47</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20.8</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44.8</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0.35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13.2</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44.3</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370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43</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122</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47</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108</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133</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69</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73</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164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Xinhui</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16</w:t>
            </w:r>
          </w:p>
        </w:tc>
        <w:tc>
          <w:tcPr>
            <w:tcW w:w="1513"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11.5</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0.28</w:t>
            </w:r>
          </w:p>
        </w:tc>
        <w:tc>
          <w:tcPr>
            <w:tcW w:w="80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58.3</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42.2</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0.18</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21.5</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62.7</w:t>
            </w:r>
          </w:p>
        </w:tc>
        <w:tc>
          <w:tcPr>
            <w:tcW w:w="801" w:type="dxa"/>
            <w:tcBorders>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22.7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0.57</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146</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140</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45.9</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146</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3.55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0.05</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9.46</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4.52</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12.1</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17.0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7.24</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0.17</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38.6</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37.8</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0.34</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14.7</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32.2</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64.7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63</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61</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66</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90</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182</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68</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51</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Taishan</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33</w:t>
            </w:r>
          </w:p>
        </w:tc>
        <w:tc>
          <w:tcPr>
            <w:tcW w:w="1513"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12.4</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0.15</w:t>
            </w:r>
          </w:p>
        </w:tc>
        <w:tc>
          <w:tcPr>
            <w:tcW w:w="80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32.4</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18.0</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10.4</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41.6</w:t>
            </w:r>
          </w:p>
        </w:tc>
        <w:tc>
          <w:tcPr>
            <w:tcW w:w="801" w:type="dxa"/>
            <w:tcBorders>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67.8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54.2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1.53</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86.9</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66.6</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0.69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29.0</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125</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206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2.34</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0.03</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9.54</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6.72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3.39</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13.2</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29.3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0.25</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21.0</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14.3</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6.07</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22.8</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35.2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variable coefficient</w:t>
            </w:r>
            <w:r>
              <w:rPr>
                <w:rFonts w:hint="eastAsia" w:ascii="Times New Roman" w:hAnsi="Times New Roman" w:cs="Times New Roman"/>
                <w:sz w:val="18"/>
                <w:szCs w:val="18"/>
                <w:highlight w:val="none"/>
                <w:lang w:val="en-US" w:eastAsia="zh-CN"/>
              </w:rPr>
              <w:t xml:space="preserve"> (%)</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112</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164</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65</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80</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107</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58</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55</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Kaiping</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19</w:t>
            </w:r>
          </w:p>
        </w:tc>
        <w:tc>
          <w:tcPr>
            <w:tcW w:w="1513"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8.77</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0.12</w:t>
            </w:r>
          </w:p>
        </w:tc>
        <w:tc>
          <w:tcPr>
            <w:tcW w:w="80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42.2</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33.3</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0.08</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13.0</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36.3</w:t>
            </w:r>
          </w:p>
        </w:tc>
        <w:tc>
          <w:tcPr>
            <w:tcW w:w="801" w:type="dxa"/>
            <w:tcBorders>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81.9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53.2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0.44</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101</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277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0.23</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43.0</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92.4</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2.09</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0.02</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18.1</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7.08</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4.84</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11.7</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17.8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0.09</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24.5</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60.5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0.06</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9.40</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24.3</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77.5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131</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78</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58</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181</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72</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72</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67</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95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Enping</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17</w:t>
            </w:r>
          </w:p>
        </w:tc>
        <w:tc>
          <w:tcPr>
            <w:tcW w:w="1513" w:type="dxa"/>
            <w:tcBorders>
              <w:top w:val="single" w:color="auto" w:sz="4" w:space="0"/>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7.44</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0.16</w:t>
            </w:r>
          </w:p>
        </w:tc>
        <w:tc>
          <w:tcPr>
            <w:tcW w:w="80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41.4</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16.0</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0.06</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10.0</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42.0</w:t>
            </w:r>
          </w:p>
        </w:tc>
        <w:tc>
          <w:tcPr>
            <w:tcW w:w="801" w:type="dxa"/>
            <w:tcBorders>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56.1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18.2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0.74</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89.3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33.5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23.8</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117</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0.03</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14.2</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7.72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5.50</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8.74</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19.3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5.06</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0.16</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22.3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5.93</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0.03</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4.42</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25.0</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23.9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68</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105</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54</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37</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hint="eastAsia" w:ascii="Times New Roman" w:hAnsi="Times New Roman" w:eastAsia="微软雅黑" w:cs="Times New Roman"/>
                <w:color w:val="000000"/>
                <w:sz w:val="18"/>
                <w:szCs w:val="18"/>
                <w:highlight w:val="none"/>
                <w:lang w:val="en-US" w:eastAsia="zh-CN"/>
              </w:rPr>
              <w:t>5</w:t>
            </w:r>
            <w:r>
              <w:rPr>
                <w:rFonts w:ascii="Times New Roman" w:hAnsi="Times New Roman" w:eastAsia="微软雅黑" w:cs="Times New Roman"/>
                <w:color w:val="000000"/>
                <w:sz w:val="18"/>
                <w:szCs w:val="18"/>
                <w:highlight w:val="none"/>
              </w:rPr>
              <w:t>5</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44</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59</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Heshan</w:t>
            </w:r>
          </w:p>
        </w:tc>
        <w:tc>
          <w:tcPr>
            <w:tcW w:w="766" w:type="dxa"/>
            <w:vMerge w:val="restart"/>
            <w:tcBorders>
              <w:top w:val="single" w:color="auto" w:sz="4" w:space="0"/>
              <w:left w:val="nil"/>
              <w:bottom w:val="single" w:color="auto" w:sz="2" w:space="0"/>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14</w:t>
            </w:r>
          </w:p>
        </w:tc>
        <w:tc>
          <w:tcPr>
            <w:tcW w:w="1513"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10.9</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0.13</w:t>
            </w:r>
          </w:p>
        </w:tc>
        <w:tc>
          <w:tcPr>
            <w:tcW w:w="80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40.7</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26.4</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0.04</w:t>
            </w:r>
          </w:p>
        </w:tc>
        <w:tc>
          <w:tcPr>
            <w:tcW w:w="68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13.6</w:t>
            </w:r>
          </w:p>
        </w:tc>
        <w:tc>
          <w:tcPr>
            <w:tcW w:w="711" w:type="dxa"/>
            <w:tcBorders>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65.2</w:t>
            </w:r>
          </w:p>
        </w:tc>
        <w:tc>
          <w:tcPr>
            <w:tcW w:w="801" w:type="dxa"/>
            <w:tcBorders>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79.5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19.7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0.34</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80.7</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136</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0.07</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24.9</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160</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243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4.75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0.03</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19.1</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11.0</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0.01</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7.43</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32.3</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34.3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2"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4.45</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0.10</w:t>
            </w:r>
          </w:p>
        </w:tc>
        <w:tc>
          <w:tcPr>
            <w:tcW w:w="80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19.0</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32.0</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0.02</w:t>
            </w:r>
          </w:p>
        </w:tc>
        <w:tc>
          <w:tcPr>
            <w:tcW w:w="68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5.72</w:t>
            </w:r>
          </w:p>
        </w:tc>
        <w:tc>
          <w:tcPr>
            <w:tcW w:w="711" w:type="dxa"/>
            <w:tcBorders>
              <w:top w:val="nil"/>
              <w:left w:val="nil"/>
              <w:bottom w:val="nil"/>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30.4</w:t>
            </w:r>
          </w:p>
        </w:tc>
        <w:tc>
          <w:tcPr>
            <w:tcW w:w="801" w:type="dxa"/>
            <w:tcBorders>
              <w:top w:val="nil"/>
              <w:left w:val="nil"/>
              <w:bottom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51.3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right w:val="nil"/>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2" w:space="0"/>
              <w:left w:val="nil"/>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41</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72</w:t>
            </w:r>
          </w:p>
        </w:tc>
        <w:tc>
          <w:tcPr>
            <w:tcW w:w="80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47</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121</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49</w:t>
            </w:r>
          </w:p>
        </w:tc>
        <w:tc>
          <w:tcPr>
            <w:tcW w:w="68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42</w:t>
            </w:r>
          </w:p>
        </w:tc>
        <w:tc>
          <w:tcPr>
            <w:tcW w:w="711" w:type="dxa"/>
            <w:tcBorders>
              <w:top w:val="nil"/>
              <w:left w:val="nil"/>
              <w:bottom w:val="single" w:color="auto" w:sz="4" w:space="0"/>
              <w:right w:val="nil"/>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47</w:t>
            </w:r>
          </w:p>
        </w:tc>
        <w:tc>
          <w:tcPr>
            <w:tcW w:w="801" w:type="dxa"/>
            <w:tcBorders>
              <w:top w:val="nil"/>
              <w:left w:val="nil"/>
              <w:bottom w:val="single" w:color="auto" w:sz="4" w:space="0"/>
            </w:tcBorders>
            <w:vAlign w:val="center"/>
          </w:tcPr>
          <w:p>
            <w:pPr>
              <w:jc w:val="center"/>
              <w:rPr>
                <w:rFonts w:ascii="Times New Roman" w:hAnsi="Times New Roman" w:cs="Times New Roman"/>
                <w:sz w:val="18"/>
                <w:szCs w:val="18"/>
                <w:highlight w:val="none"/>
              </w:rPr>
            </w:pPr>
            <w:r>
              <w:rPr>
                <w:rFonts w:ascii="Times New Roman" w:hAnsi="Times New Roman" w:eastAsia="微软雅黑" w:cs="Times New Roman"/>
                <w:color w:val="000000"/>
                <w:sz w:val="18"/>
                <w:szCs w:val="18"/>
                <w:highlight w:val="none"/>
              </w:rPr>
              <w:t>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restart"/>
            <w:tcBorders>
              <w:top w:val="single" w:color="auto" w:sz="4" w:space="0"/>
              <w:bottom w:val="single" w:color="auto" w:sz="2" w:space="0"/>
              <w:right w:val="nil"/>
            </w:tcBorders>
            <w:shd w:val="clear" w:color="auto" w:fill="D7D7D7" w:themeFill="background1" w:themeFillShade="D8"/>
            <w:vAlign w:val="center"/>
          </w:tcPr>
          <w:p>
            <w:pPr>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sz w:val="18"/>
                <w:szCs w:val="18"/>
                <w:highlight w:val="none"/>
                <w:lang w:val="en-US" w:eastAsia="zh-CN"/>
              </w:rPr>
              <w:t>Jiangmen city</w:t>
            </w:r>
          </w:p>
        </w:tc>
        <w:tc>
          <w:tcPr>
            <w:tcW w:w="766" w:type="dxa"/>
            <w:vMerge w:val="restart"/>
            <w:tcBorders>
              <w:top w:val="single" w:color="auto" w:sz="4" w:space="0"/>
              <w:left w:val="nil"/>
              <w:bottom w:val="single" w:color="auto" w:sz="4" w:space="0"/>
              <w:right w:val="nil"/>
            </w:tcBorders>
            <w:vAlign w:val="center"/>
          </w:tcPr>
          <w:p>
            <w:pPr>
              <w:jc w:val="center"/>
              <w:rPr>
                <w:rFonts w:hint="default" w:ascii="Times New Roman" w:hAnsi="Times New Roman" w:cs="Times New Roman" w:eastAsiaTheme="minorEastAsia"/>
                <w:sz w:val="18"/>
                <w:szCs w:val="18"/>
                <w:highlight w:val="none"/>
                <w:lang w:val="en-US" w:eastAsia="zh-CN"/>
              </w:rPr>
            </w:pPr>
            <w:r>
              <w:rPr>
                <w:rFonts w:hint="eastAsia" w:ascii="Times New Roman" w:hAnsi="Times New Roman" w:cs="Times New Roman"/>
                <w:sz w:val="18"/>
                <w:szCs w:val="18"/>
                <w:highlight w:val="none"/>
                <w:lang w:val="en-US" w:eastAsia="zh-CN"/>
              </w:rPr>
              <w:t>113</w:t>
            </w:r>
          </w:p>
        </w:tc>
        <w:tc>
          <w:tcPr>
            <w:tcW w:w="1513" w:type="dxa"/>
            <w:tcBorders>
              <w:top w:val="single" w:color="auto" w:sz="4" w:space="0"/>
              <w:left w:val="nil"/>
              <w:bottom w:val="nil"/>
              <w:right w:val="nil"/>
            </w:tcBorders>
            <w:vAlign w:val="center"/>
          </w:tcPr>
          <w:p>
            <w:pPr>
              <w:jc w:val="center"/>
              <w:rPr>
                <w:rFonts w:ascii="Times New Roman" w:hAnsi="Times New Roman" w:cs="Times New Roman" w:eastAsiaTheme="minorEastAsia"/>
                <w:kern w:val="2"/>
                <w:sz w:val="18"/>
                <w:szCs w:val="18"/>
                <w:highlight w:val="none"/>
                <w:lang w:val="en-US" w:eastAsia="zh-CN" w:bidi="ar-SA"/>
              </w:rPr>
            </w:pPr>
            <w:r>
              <w:rPr>
                <w:rFonts w:ascii="Times New Roman" w:hAnsi="Times New Roman" w:cs="Times New Roman"/>
                <w:sz w:val="18"/>
                <w:szCs w:val="18"/>
                <w:highlight w:val="none"/>
              </w:rPr>
              <w:t>average/mg·kg</w:t>
            </w:r>
            <w:r>
              <w:rPr>
                <w:rFonts w:ascii="Times New Roman" w:hAnsi="Times New Roman" w:cs="Times New Roman"/>
                <w:sz w:val="18"/>
                <w:szCs w:val="18"/>
                <w:highlight w:val="none"/>
                <w:vertAlign w:val="superscript"/>
              </w:rPr>
              <w:t>-1</w:t>
            </w:r>
          </w:p>
        </w:tc>
        <w:tc>
          <w:tcPr>
            <w:tcW w:w="681" w:type="dxa"/>
            <w:tcBorders>
              <w:top w:val="single" w:color="auto" w:sz="4" w:space="0"/>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11.0</w:t>
            </w:r>
            <w:r>
              <w:rPr>
                <w:rFonts w:hint="eastAsia" w:ascii="Times New Roman" w:hAnsi="Times New Roman" w:eastAsia="宋体" w:cs="Times New Roman"/>
                <w:color w:val="000000"/>
                <w:kern w:val="0"/>
                <w:sz w:val="18"/>
                <w:szCs w:val="18"/>
                <w:highlight w:val="none"/>
                <w:lang w:val="en-US" w:eastAsia="zh-CN"/>
              </w:rPr>
              <w:t>0</w:t>
            </w:r>
          </w:p>
        </w:tc>
        <w:tc>
          <w:tcPr>
            <w:tcW w:w="681" w:type="dxa"/>
            <w:tcBorders>
              <w:top w:val="single" w:color="auto" w:sz="4" w:space="0"/>
              <w:left w:val="nil"/>
              <w:bottom w:val="nil"/>
              <w:right w:val="nil"/>
            </w:tcBorders>
            <w:vAlign w:val="center"/>
          </w:tcPr>
          <w:p>
            <w:pPr>
              <w:widowControl/>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0.</w:t>
            </w:r>
            <w:r>
              <w:rPr>
                <w:rFonts w:hint="eastAsia" w:ascii="Times New Roman" w:hAnsi="Times New Roman" w:eastAsia="宋体" w:cs="Times New Roman"/>
                <w:color w:val="000000"/>
                <w:kern w:val="0"/>
                <w:sz w:val="18"/>
                <w:szCs w:val="18"/>
                <w:highlight w:val="none"/>
                <w:lang w:val="en-US" w:eastAsia="zh-CN"/>
              </w:rPr>
              <w:t>21</w:t>
            </w:r>
          </w:p>
        </w:tc>
        <w:tc>
          <w:tcPr>
            <w:tcW w:w="801" w:type="dxa"/>
            <w:tcBorders>
              <w:top w:val="single" w:color="auto" w:sz="4" w:space="0"/>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61.09</w:t>
            </w:r>
          </w:p>
        </w:tc>
        <w:tc>
          <w:tcPr>
            <w:tcW w:w="711" w:type="dxa"/>
            <w:tcBorders>
              <w:top w:val="single" w:color="auto" w:sz="4" w:space="0"/>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28.2</w:t>
            </w:r>
            <w:r>
              <w:rPr>
                <w:rFonts w:hint="eastAsia" w:ascii="Times New Roman" w:hAnsi="Times New Roman" w:eastAsia="宋体" w:cs="Times New Roman"/>
                <w:color w:val="000000"/>
                <w:kern w:val="0"/>
                <w:sz w:val="18"/>
                <w:szCs w:val="18"/>
                <w:highlight w:val="none"/>
                <w:lang w:val="en-US" w:eastAsia="zh-CN"/>
              </w:rPr>
              <w:t>2</w:t>
            </w:r>
          </w:p>
        </w:tc>
        <w:tc>
          <w:tcPr>
            <w:tcW w:w="681" w:type="dxa"/>
            <w:tcBorders>
              <w:top w:val="single" w:color="auto" w:sz="4" w:space="0"/>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0.1</w:t>
            </w:r>
            <w:r>
              <w:rPr>
                <w:rFonts w:hint="eastAsia" w:ascii="Times New Roman" w:hAnsi="Times New Roman" w:eastAsia="宋体" w:cs="Times New Roman"/>
                <w:color w:val="000000"/>
                <w:kern w:val="0"/>
                <w:sz w:val="18"/>
                <w:szCs w:val="18"/>
                <w:highlight w:val="none"/>
                <w:lang w:val="en-US" w:eastAsia="zh-CN"/>
              </w:rPr>
              <w:t>1</w:t>
            </w:r>
          </w:p>
        </w:tc>
        <w:tc>
          <w:tcPr>
            <w:tcW w:w="681" w:type="dxa"/>
            <w:tcBorders>
              <w:top w:val="single" w:color="auto" w:sz="4" w:space="0"/>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14.72</w:t>
            </w:r>
          </w:p>
        </w:tc>
        <w:tc>
          <w:tcPr>
            <w:tcW w:w="711" w:type="dxa"/>
            <w:tcBorders>
              <w:top w:val="single" w:color="auto" w:sz="4" w:space="0"/>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49.03</w:t>
            </w:r>
          </w:p>
        </w:tc>
        <w:tc>
          <w:tcPr>
            <w:tcW w:w="801" w:type="dxa"/>
            <w:tcBorders>
              <w:top w:val="single" w:color="auto" w:sz="4" w:space="0"/>
              <w:left w:val="nil"/>
              <w:bottom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92.0</w:t>
            </w:r>
            <w:r>
              <w:rPr>
                <w:rFonts w:hint="eastAsia" w:ascii="Times New Roman" w:hAnsi="Times New Roman" w:eastAsia="宋体" w:cs="Times New Roman"/>
                <w:color w:val="000000"/>
                <w:kern w:val="0"/>
                <w:sz w:val="18"/>
                <w:szCs w:val="18"/>
                <w:highlight w:val="none"/>
                <w:lang w:val="en-US" w:eastAsia="zh-CN"/>
              </w:rPr>
              <w:t>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4" w:space="0"/>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eastAsiaTheme="minorEastAsia"/>
                <w:kern w:val="2"/>
                <w:sz w:val="18"/>
                <w:szCs w:val="18"/>
                <w:highlight w:val="none"/>
                <w:lang w:val="en-US" w:eastAsia="zh-CN" w:bidi="ar-SA"/>
              </w:rPr>
            </w:pPr>
            <w:r>
              <w:rPr>
                <w:rFonts w:ascii="Times New Roman" w:hAnsi="Times New Roman" w:cs="Times New Roman"/>
                <w:sz w:val="18"/>
                <w:szCs w:val="18"/>
                <w:highlight w:val="none"/>
              </w:rPr>
              <w:t>maximun/mg·kg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54.22</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1.55</w:t>
            </w:r>
          </w:p>
        </w:tc>
        <w:tc>
          <w:tcPr>
            <w:tcW w:w="801" w:type="dxa"/>
            <w:tcBorders>
              <w:top w:val="nil"/>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2154.2</w:t>
            </w:r>
            <w:r>
              <w:rPr>
                <w:rFonts w:hint="eastAsia" w:ascii="Times New Roman" w:hAnsi="Times New Roman" w:eastAsia="宋体" w:cs="Times New Roman"/>
                <w:color w:val="000000"/>
                <w:kern w:val="0"/>
                <w:sz w:val="18"/>
                <w:szCs w:val="18"/>
                <w:highlight w:val="none"/>
                <w:lang w:val="en-US" w:eastAsia="zh-CN"/>
              </w:rPr>
              <w:t>4</w:t>
            </w:r>
          </w:p>
        </w:tc>
        <w:tc>
          <w:tcPr>
            <w:tcW w:w="71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276.67</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1.4</w:t>
            </w:r>
            <w:r>
              <w:rPr>
                <w:rFonts w:hint="eastAsia" w:ascii="Times New Roman" w:hAnsi="Times New Roman" w:eastAsia="宋体" w:cs="Times New Roman"/>
                <w:color w:val="000000"/>
                <w:kern w:val="0"/>
                <w:sz w:val="18"/>
                <w:szCs w:val="18"/>
                <w:highlight w:val="none"/>
                <w:lang w:val="en-US" w:eastAsia="zh-CN"/>
              </w:rPr>
              <w:t>2</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84.91</w:t>
            </w:r>
          </w:p>
        </w:tc>
        <w:tc>
          <w:tcPr>
            <w:tcW w:w="71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172.85</w:t>
            </w:r>
          </w:p>
        </w:tc>
        <w:tc>
          <w:tcPr>
            <w:tcW w:w="801" w:type="dxa"/>
            <w:tcBorders>
              <w:top w:val="nil"/>
              <w:left w:val="nil"/>
              <w:bottom w:val="nil"/>
            </w:tcBorders>
            <w:vAlign w:val="center"/>
          </w:tcPr>
          <w:p>
            <w:pPr>
              <w:widowControl/>
              <w:jc w:val="center"/>
              <w:rPr>
                <w:rFonts w:hint="default"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1188.2</w:t>
            </w:r>
            <w:r>
              <w:rPr>
                <w:rFonts w:hint="eastAsia" w:ascii="Times New Roman" w:hAnsi="Times New Roman" w:eastAsia="宋体" w:cs="Times New Roman"/>
                <w:color w:val="000000"/>
                <w:kern w:val="0"/>
                <w:sz w:val="18"/>
                <w:szCs w:val="18"/>
                <w:highlight w:val="none"/>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2" w:space="0"/>
            </w:tcBorders>
            <w:shd w:val="clear" w:color="auto" w:fill="D7D7D7" w:themeFill="background1" w:themeFillShade="D8"/>
            <w:vAlign w:val="center"/>
          </w:tcPr>
          <w:p>
            <w:pPr>
              <w:jc w:val="center"/>
              <w:rPr>
                <w:rFonts w:ascii="Times New Roman" w:hAnsi="Times New Roman" w:cs="Times New Roman"/>
                <w:sz w:val="18"/>
                <w:szCs w:val="18"/>
                <w:highlight w:val="none"/>
              </w:rPr>
            </w:pPr>
          </w:p>
        </w:tc>
        <w:tc>
          <w:tcPr>
            <w:tcW w:w="766" w:type="dxa"/>
            <w:vMerge w:val="continue"/>
            <w:tcBorders>
              <w:top w:val="single" w:color="auto" w:sz="4" w:space="0"/>
              <w:bottom w:val="single" w:color="auto" w:sz="4" w:space="0"/>
              <w:right w:val="nil"/>
            </w:tcBorders>
            <w:vAlign w:val="center"/>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eastAsiaTheme="minorEastAsia"/>
                <w:kern w:val="2"/>
                <w:sz w:val="18"/>
                <w:szCs w:val="18"/>
                <w:highlight w:val="none"/>
                <w:lang w:val="en-US" w:eastAsia="zh-CN" w:bidi="ar-SA"/>
              </w:rPr>
            </w:pPr>
            <w:r>
              <w:rPr>
                <w:rFonts w:ascii="Times New Roman" w:hAnsi="Times New Roman" w:cs="Times New Roman"/>
                <w:sz w:val="18"/>
                <w:szCs w:val="18"/>
                <w:highlight w:val="none"/>
              </w:rPr>
              <w:t>minimun/mg·kg</w:t>
            </w:r>
            <w:r>
              <w:rPr>
                <w:rFonts w:ascii="Times New Roman" w:hAnsi="Times New Roman" w:cs="Times New Roman"/>
                <w:sz w:val="18"/>
                <w:szCs w:val="18"/>
                <w:highlight w:val="none"/>
                <w:vertAlign w:val="superscript"/>
              </w:rPr>
              <w:t>-1</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1.35</w:t>
            </w:r>
          </w:p>
        </w:tc>
        <w:tc>
          <w:tcPr>
            <w:tcW w:w="681" w:type="dxa"/>
            <w:tcBorders>
              <w:top w:val="nil"/>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kern w:val="0"/>
                <w:sz w:val="18"/>
                <w:szCs w:val="18"/>
                <w:highlight w:val="none"/>
              </w:rPr>
              <w:t>0.0</w:t>
            </w:r>
            <w:r>
              <w:rPr>
                <w:rFonts w:hint="eastAsia" w:ascii="Times New Roman" w:hAnsi="Times New Roman" w:eastAsia="宋体" w:cs="Times New Roman"/>
                <w:color w:val="000000"/>
                <w:kern w:val="0"/>
                <w:sz w:val="18"/>
                <w:szCs w:val="18"/>
                <w:highlight w:val="none"/>
                <w:lang w:val="en-US" w:eastAsia="zh-CN"/>
              </w:rPr>
              <w:t>2</w:t>
            </w:r>
          </w:p>
        </w:tc>
        <w:tc>
          <w:tcPr>
            <w:tcW w:w="80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9.54</w:t>
            </w:r>
          </w:p>
        </w:tc>
        <w:tc>
          <w:tcPr>
            <w:tcW w:w="71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6.72</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0.0</w:t>
            </w:r>
            <w:r>
              <w:rPr>
                <w:rFonts w:hint="eastAsia" w:ascii="Times New Roman" w:hAnsi="Times New Roman" w:eastAsia="宋体" w:cs="Times New Roman"/>
                <w:color w:val="000000"/>
                <w:kern w:val="0"/>
                <w:sz w:val="18"/>
                <w:szCs w:val="18"/>
                <w:highlight w:val="none"/>
                <w:lang w:val="en-US" w:eastAsia="zh-CN"/>
              </w:rPr>
              <w:t>0</w:t>
            </w:r>
            <w:r>
              <w:rPr>
                <w:rFonts w:hint="default" w:ascii="Times New Roman" w:hAnsi="Times New Roman" w:eastAsia="宋体" w:cs="Times New Roman"/>
                <w:color w:val="000000"/>
                <w:kern w:val="0"/>
                <w:sz w:val="18"/>
                <w:szCs w:val="18"/>
                <w:highlight w:val="none"/>
              </w:rPr>
              <w:t>4</w:t>
            </w:r>
          </w:p>
        </w:tc>
        <w:tc>
          <w:tcPr>
            <w:tcW w:w="681" w:type="dxa"/>
            <w:tcBorders>
              <w:top w:val="nil"/>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3.3</w:t>
            </w:r>
            <w:r>
              <w:rPr>
                <w:rFonts w:hint="eastAsia" w:ascii="Times New Roman" w:hAnsi="Times New Roman" w:eastAsia="宋体" w:cs="Times New Roman"/>
                <w:color w:val="000000"/>
                <w:kern w:val="0"/>
                <w:sz w:val="18"/>
                <w:szCs w:val="18"/>
                <w:highlight w:val="none"/>
                <w:lang w:val="en-US" w:eastAsia="zh-CN"/>
              </w:rPr>
              <w:t>9</w:t>
            </w:r>
          </w:p>
        </w:tc>
        <w:tc>
          <w:tcPr>
            <w:tcW w:w="71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8.74</w:t>
            </w:r>
          </w:p>
        </w:tc>
        <w:tc>
          <w:tcPr>
            <w:tcW w:w="801" w:type="dxa"/>
            <w:tcBorders>
              <w:top w:val="nil"/>
              <w:left w:val="nil"/>
              <w:bottom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17.0</w:t>
            </w:r>
            <w:r>
              <w:rPr>
                <w:rFonts w:hint="eastAsia" w:ascii="Times New Roman" w:hAnsi="Times New Roman" w:eastAsia="宋体" w:cs="Times New Roman"/>
                <w:color w:val="000000"/>
                <w:kern w:val="0"/>
                <w:sz w:val="18"/>
                <w:szCs w:val="18"/>
                <w:highlight w:val="none"/>
                <w:lang w:val="en-US" w:eastAsia="zh-CN"/>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36" w:type="dxa"/>
            <w:vMerge w:val="continue"/>
            <w:tcBorders>
              <w:top w:val="single" w:color="auto" w:sz="2" w:space="0"/>
              <w:bottom w:val="single" w:color="auto" w:sz="2" w:space="0"/>
            </w:tcBorders>
          </w:tcPr>
          <w:p>
            <w:pPr>
              <w:jc w:val="center"/>
              <w:rPr>
                <w:rFonts w:ascii="Times New Roman" w:hAnsi="Times New Roman" w:cs="Times New Roman"/>
                <w:sz w:val="18"/>
                <w:szCs w:val="18"/>
                <w:highlight w:val="none"/>
              </w:rPr>
            </w:pPr>
          </w:p>
        </w:tc>
        <w:tc>
          <w:tcPr>
            <w:tcW w:w="766" w:type="dxa"/>
            <w:vMerge w:val="continue"/>
            <w:tcBorders>
              <w:top w:val="single" w:color="auto" w:sz="4" w:space="0"/>
              <w:bottom w:val="single" w:color="auto" w:sz="4" w:space="0"/>
              <w:right w:val="nil"/>
            </w:tcBorders>
          </w:tcPr>
          <w:p>
            <w:pPr>
              <w:jc w:val="center"/>
              <w:rPr>
                <w:rFonts w:ascii="Times New Roman" w:hAnsi="Times New Roman" w:cs="Times New Roman"/>
                <w:sz w:val="18"/>
                <w:szCs w:val="18"/>
                <w:highlight w:val="none"/>
              </w:rPr>
            </w:pPr>
          </w:p>
        </w:tc>
        <w:tc>
          <w:tcPr>
            <w:tcW w:w="1513" w:type="dxa"/>
            <w:tcBorders>
              <w:top w:val="nil"/>
              <w:left w:val="nil"/>
              <w:bottom w:val="nil"/>
              <w:right w:val="nil"/>
            </w:tcBorders>
            <w:vAlign w:val="center"/>
          </w:tcPr>
          <w:p>
            <w:pPr>
              <w:jc w:val="center"/>
              <w:rPr>
                <w:rFonts w:ascii="Times New Roman" w:hAnsi="Times New Roman" w:cs="Times New Roman" w:eastAsiaTheme="minorEastAsia"/>
                <w:kern w:val="2"/>
                <w:sz w:val="18"/>
                <w:szCs w:val="18"/>
                <w:highlight w:val="none"/>
                <w:lang w:val="en-US" w:eastAsia="zh-CN" w:bidi="ar-SA"/>
              </w:rPr>
            </w:pPr>
            <w:r>
              <w:rPr>
                <w:rFonts w:ascii="Times New Roman" w:hAnsi="Times New Roman" w:cs="Times New Roman"/>
                <w:sz w:val="18"/>
                <w:szCs w:val="18"/>
                <w:highlight w:val="none"/>
              </w:rPr>
              <w:t>standard deviation</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9.94</w:t>
            </w:r>
          </w:p>
        </w:tc>
        <w:tc>
          <w:tcPr>
            <w:tcW w:w="681" w:type="dxa"/>
            <w:tcBorders>
              <w:top w:val="nil"/>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0.2</w:t>
            </w:r>
            <w:r>
              <w:rPr>
                <w:rFonts w:hint="eastAsia" w:ascii="Times New Roman" w:hAnsi="Times New Roman" w:eastAsia="宋体" w:cs="Times New Roman"/>
                <w:color w:val="000000"/>
                <w:kern w:val="0"/>
                <w:sz w:val="18"/>
                <w:szCs w:val="18"/>
                <w:highlight w:val="none"/>
                <w:lang w:val="en-US" w:eastAsia="zh-CN"/>
              </w:rPr>
              <w:t>3</w:t>
            </w:r>
          </w:p>
        </w:tc>
        <w:tc>
          <w:tcPr>
            <w:tcW w:w="80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200.4</w:t>
            </w:r>
            <w:r>
              <w:rPr>
                <w:rFonts w:hint="eastAsia" w:ascii="Times New Roman" w:hAnsi="Times New Roman" w:eastAsia="宋体" w:cs="Times New Roman"/>
                <w:color w:val="000000"/>
                <w:kern w:val="0"/>
                <w:sz w:val="18"/>
                <w:szCs w:val="18"/>
                <w:highlight w:val="none"/>
                <w:lang w:val="en-US" w:eastAsia="zh-CN"/>
              </w:rPr>
              <w:t>1</w:t>
            </w:r>
          </w:p>
        </w:tc>
        <w:tc>
          <w:tcPr>
            <w:tcW w:w="711" w:type="dxa"/>
            <w:tcBorders>
              <w:top w:val="nil"/>
              <w:left w:val="nil"/>
              <w:bottom w:val="nil"/>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35.5</w:t>
            </w:r>
            <w:r>
              <w:rPr>
                <w:rFonts w:hint="eastAsia" w:ascii="Times New Roman" w:hAnsi="Times New Roman" w:eastAsia="宋体" w:cs="Times New Roman"/>
                <w:color w:val="000000"/>
                <w:kern w:val="0"/>
                <w:sz w:val="18"/>
                <w:szCs w:val="18"/>
                <w:highlight w:val="none"/>
                <w:lang w:val="en-US" w:eastAsia="zh-CN"/>
              </w:rPr>
              <w:t>6</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0.18</w:t>
            </w:r>
          </w:p>
        </w:tc>
        <w:tc>
          <w:tcPr>
            <w:tcW w:w="68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12.28</w:t>
            </w:r>
          </w:p>
        </w:tc>
        <w:tc>
          <w:tcPr>
            <w:tcW w:w="711" w:type="dxa"/>
            <w:tcBorders>
              <w:top w:val="nil"/>
              <w:left w:val="nil"/>
              <w:bottom w:val="nil"/>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29.27</w:t>
            </w:r>
          </w:p>
        </w:tc>
        <w:tc>
          <w:tcPr>
            <w:tcW w:w="801" w:type="dxa"/>
            <w:tcBorders>
              <w:top w:val="nil"/>
              <w:left w:val="nil"/>
              <w:bottom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119.31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top w:val="single" w:color="auto" w:sz="2" w:space="0"/>
              <w:bottom w:val="single" w:color="auto" w:sz="4" w:space="0"/>
            </w:tcBorders>
          </w:tcPr>
          <w:p>
            <w:pPr>
              <w:jc w:val="center"/>
              <w:rPr>
                <w:rFonts w:ascii="Times New Roman" w:hAnsi="Times New Roman" w:cs="Times New Roman"/>
                <w:sz w:val="18"/>
                <w:szCs w:val="18"/>
                <w:highlight w:val="none"/>
              </w:rPr>
            </w:pPr>
          </w:p>
        </w:tc>
        <w:tc>
          <w:tcPr>
            <w:tcW w:w="766" w:type="dxa"/>
            <w:vMerge w:val="continue"/>
            <w:tcBorders>
              <w:top w:val="single" w:color="auto" w:sz="4" w:space="0"/>
              <w:bottom w:val="single" w:color="auto" w:sz="4" w:space="0"/>
              <w:right w:val="nil"/>
            </w:tcBorders>
          </w:tcPr>
          <w:p>
            <w:pPr>
              <w:jc w:val="center"/>
              <w:rPr>
                <w:rFonts w:ascii="Times New Roman" w:hAnsi="Times New Roman" w:cs="Times New Roman"/>
                <w:sz w:val="18"/>
                <w:szCs w:val="18"/>
                <w:highlight w:val="none"/>
              </w:rPr>
            </w:pPr>
          </w:p>
        </w:tc>
        <w:tc>
          <w:tcPr>
            <w:tcW w:w="1513" w:type="dxa"/>
            <w:tcBorders>
              <w:top w:val="nil"/>
              <w:left w:val="nil"/>
              <w:bottom w:val="single" w:color="auto" w:sz="4" w:space="0"/>
              <w:right w:val="nil"/>
            </w:tcBorders>
            <w:vAlign w:val="center"/>
          </w:tcPr>
          <w:p>
            <w:pPr>
              <w:jc w:val="center"/>
              <w:rPr>
                <w:rFonts w:hint="default" w:ascii="Times New Roman" w:hAnsi="Times New Roman" w:cs="Times New Roman" w:eastAsiaTheme="minorEastAsia"/>
                <w:kern w:val="2"/>
                <w:sz w:val="18"/>
                <w:szCs w:val="18"/>
                <w:highlight w:val="none"/>
                <w:lang w:val="en-US" w:eastAsia="zh-CN" w:bidi="ar-SA"/>
              </w:rPr>
            </w:pPr>
            <w:r>
              <w:rPr>
                <w:rFonts w:ascii="Times New Roman" w:hAnsi="Times New Roman" w:cs="Times New Roman"/>
                <w:sz w:val="18"/>
                <w:szCs w:val="18"/>
                <w:highlight w:val="none"/>
              </w:rPr>
              <w:t xml:space="preserve">variable coefficient </w:t>
            </w:r>
            <w:r>
              <w:rPr>
                <w:rFonts w:hint="eastAsia" w:ascii="Times New Roman" w:hAnsi="Times New Roman" w:cs="Times New Roman"/>
                <w:sz w:val="18"/>
                <w:szCs w:val="18"/>
                <w:highlight w:val="none"/>
                <w:lang w:val="en-US" w:eastAsia="zh-CN"/>
              </w:rPr>
              <w:t>(%)</w:t>
            </w:r>
          </w:p>
        </w:tc>
        <w:tc>
          <w:tcPr>
            <w:tcW w:w="681" w:type="dxa"/>
            <w:tcBorders>
              <w:top w:val="nil"/>
              <w:left w:val="nil"/>
              <w:bottom w:val="single" w:color="auto" w:sz="4" w:space="0"/>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90</w:t>
            </w:r>
          </w:p>
        </w:tc>
        <w:tc>
          <w:tcPr>
            <w:tcW w:w="681" w:type="dxa"/>
            <w:tcBorders>
              <w:top w:val="nil"/>
              <w:left w:val="nil"/>
              <w:bottom w:val="single" w:color="auto" w:sz="4" w:space="0"/>
              <w:right w:val="nil"/>
            </w:tcBorders>
            <w:vAlign w:val="center"/>
          </w:tcPr>
          <w:p>
            <w:pPr>
              <w:widowControl/>
              <w:jc w:val="center"/>
              <w:rPr>
                <w:rFonts w:hint="eastAsia" w:ascii="Times New Roman" w:hAnsi="Times New Roman" w:eastAsia="宋体" w:cs="Times New Roman"/>
                <w:color w:val="000000"/>
                <w:sz w:val="18"/>
                <w:szCs w:val="18"/>
                <w:highlight w:val="none"/>
                <w:lang w:eastAsia="zh-CN"/>
              </w:rPr>
            </w:pPr>
            <w:r>
              <w:rPr>
                <w:rFonts w:hint="default" w:ascii="Times New Roman" w:hAnsi="Times New Roman" w:eastAsia="宋体" w:cs="Times New Roman"/>
                <w:color w:val="000000"/>
                <w:kern w:val="0"/>
                <w:sz w:val="18"/>
                <w:szCs w:val="18"/>
                <w:highlight w:val="none"/>
              </w:rPr>
              <w:t>12</w:t>
            </w:r>
            <w:r>
              <w:rPr>
                <w:rFonts w:hint="eastAsia" w:ascii="Times New Roman" w:hAnsi="Times New Roman" w:eastAsia="宋体" w:cs="Times New Roman"/>
                <w:color w:val="000000"/>
                <w:kern w:val="0"/>
                <w:sz w:val="18"/>
                <w:szCs w:val="18"/>
                <w:highlight w:val="none"/>
                <w:lang w:val="en-US" w:eastAsia="zh-CN"/>
              </w:rPr>
              <w:t>1</w:t>
            </w:r>
          </w:p>
        </w:tc>
        <w:tc>
          <w:tcPr>
            <w:tcW w:w="801" w:type="dxa"/>
            <w:tcBorders>
              <w:top w:val="nil"/>
              <w:left w:val="nil"/>
              <w:bottom w:val="single" w:color="auto" w:sz="4" w:space="0"/>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328</w:t>
            </w:r>
          </w:p>
        </w:tc>
        <w:tc>
          <w:tcPr>
            <w:tcW w:w="711" w:type="dxa"/>
            <w:tcBorders>
              <w:top w:val="nil"/>
              <w:left w:val="nil"/>
              <w:bottom w:val="single" w:color="auto" w:sz="4" w:space="0"/>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126</w:t>
            </w:r>
          </w:p>
        </w:tc>
        <w:tc>
          <w:tcPr>
            <w:tcW w:w="681" w:type="dxa"/>
            <w:tcBorders>
              <w:top w:val="nil"/>
              <w:left w:val="nil"/>
              <w:bottom w:val="single" w:color="auto" w:sz="4" w:space="0"/>
              <w:right w:val="nil"/>
            </w:tcBorders>
            <w:vAlign w:val="center"/>
          </w:tcPr>
          <w:p>
            <w:pPr>
              <w:widowControl/>
              <w:jc w:val="center"/>
              <w:rPr>
                <w:rFonts w:hint="eastAsia" w:ascii="Times New Roman" w:hAnsi="Times New Roman" w:eastAsia="宋体" w:cs="Times New Roman"/>
                <w:color w:val="000000"/>
                <w:sz w:val="18"/>
                <w:szCs w:val="18"/>
                <w:highlight w:val="none"/>
                <w:lang w:val="en-US" w:eastAsia="zh-CN"/>
              </w:rPr>
            </w:pPr>
            <w:r>
              <w:rPr>
                <w:rFonts w:hint="default" w:ascii="Times New Roman" w:hAnsi="Times New Roman" w:eastAsia="宋体" w:cs="Times New Roman"/>
                <w:color w:val="000000"/>
                <w:kern w:val="0"/>
                <w:sz w:val="18"/>
                <w:szCs w:val="18"/>
                <w:highlight w:val="none"/>
              </w:rPr>
              <w:t>2</w:t>
            </w:r>
            <w:r>
              <w:rPr>
                <w:rFonts w:hint="eastAsia" w:ascii="Times New Roman" w:hAnsi="Times New Roman" w:eastAsia="宋体" w:cs="Times New Roman"/>
                <w:color w:val="000000"/>
                <w:kern w:val="0"/>
                <w:sz w:val="18"/>
                <w:szCs w:val="18"/>
                <w:highlight w:val="none"/>
                <w:lang w:val="en-US" w:eastAsia="zh-CN"/>
              </w:rPr>
              <w:t>0</w:t>
            </w:r>
          </w:p>
        </w:tc>
        <w:tc>
          <w:tcPr>
            <w:tcW w:w="681" w:type="dxa"/>
            <w:tcBorders>
              <w:top w:val="nil"/>
              <w:left w:val="nil"/>
              <w:bottom w:val="single" w:color="auto" w:sz="4" w:space="0"/>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83</w:t>
            </w:r>
            <w:r>
              <w:rPr>
                <w:rFonts w:hint="eastAsia" w:ascii="Times New Roman" w:hAnsi="Times New Roman" w:eastAsia="宋体" w:cs="Times New Roman"/>
                <w:color w:val="000000"/>
                <w:kern w:val="0"/>
                <w:sz w:val="18"/>
                <w:szCs w:val="18"/>
                <w:highlight w:val="none"/>
                <w:lang w:val="en-US" w:eastAsia="zh-CN"/>
              </w:rPr>
              <w:t>.</w:t>
            </w:r>
            <w:r>
              <w:rPr>
                <w:rFonts w:hint="default" w:ascii="Times New Roman" w:hAnsi="Times New Roman" w:eastAsia="宋体" w:cs="Times New Roman"/>
                <w:color w:val="000000"/>
                <w:kern w:val="0"/>
                <w:sz w:val="18"/>
                <w:szCs w:val="18"/>
                <w:highlight w:val="none"/>
              </w:rPr>
              <w:t>4</w:t>
            </w:r>
          </w:p>
        </w:tc>
        <w:tc>
          <w:tcPr>
            <w:tcW w:w="711" w:type="dxa"/>
            <w:tcBorders>
              <w:top w:val="nil"/>
              <w:left w:val="nil"/>
              <w:bottom w:val="single" w:color="auto" w:sz="4" w:space="0"/>
              <w:right w:val="nil"/>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59</w:t>
            </w:r>
            <w:r>
              <w:rPr>
                <w:rFonts w:hint="eastAsia" w:ascii="Times New Roman" w:hAnsi="Times New Roman" w:eastAsia="宋体" w:cs="Times New Roman"/>
                <w:color w:val="000000"/>
                <w:kern w:val="0"/>
                <w:sz w:val="18"/>
                <w:szCs w:val="18"/>
                <w:highlight w:val="none"/>
                <w:lang w:val="en-US" w:eastAsia="zh-CN"/>
              </w:rPr>
              <w:t>.</w:t>
            </w:r>
            <w:r>
              <w:rPr>
                <w:rFonts w:hint="default" w:ascii="Times New Roman" w:hAnsi="Times New Roman" w:eastAsia="宋体" w:cs="Times New Roman"/>
                <w:color w:val="000000"/>
                <w:kern w:val="0"/>
                <w:sz w:val="18"/>
                <w:szCs w:val="18"/>
                <w:highlight w:val="none"/>
              </w:rPr>
              <w:t>7</w:t>
            </w:r>
          </w:p>
        </w:tc>
        <w:tc>
          <w:tcPr>
            <w:tcW w:w="801" w:type="dxa"/>
            <w:tcBorders>
              <w:top w:val="nil"/>
              <w:left w:val="nil"/>
              <w:bottom w:val="single" w:color="auto" w:sz="4" w:space="0"/>
            </w:tcBorders>
            <w:vAlign w:val="center"/>
          </w:tcPr>
          <w:p>
            <w:pPr>
              <w:widowControl/>
              <w:jc w:val="center"/>
              <w:rPr>
                <w:rFonts w:hint="default" w:ascii="Times New Roman" w:hAnsi="Times New Roman" w:eastAsia="微软雅黑" w:cs="Times New Roman"/>
                <w:color w:val="000000"/>
                <w:sz w:val="18"/>
                <w:szCs w:val="18"/>
                <w:highlight w:val="none"/>
              </w:rPr>
            </w:pPr>
            <w:r>
              <w:rPr>
                <w:rFonts w:hint="default" w:ascii="Times New Roman" w:hAnsi="Times New Roman" w:eastAsia="宋体" w:cs="Times New Roman"/>
                <w:color w:val="000000"/>
                <w:kern w:val="0"/>
                <w:sz w:val="18"/>
                <w:szCs w:val="18"/>
                <w:highlight w:val="none"/>
              </w:rPr>
              <w:t>129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215" w:type="dxa"/>
            <w:gridSpan w:val="3"/>
            <w:tcBorders>
              <w:top w:val="single" w:color="auto" w:sz="4" w:space="0"/>
              <w:bottom w:val="nil"/>
              <w:right w:val="nil"/>
            </w:tcBorders>
          </w:tcPr>
          <w:p>
            <w:pPr>
              <w:jc w:val="center"/>
              <w:rPr>
                <w:rFonts w:hint="default" w:ascii="Times New Roman" w:hAnsi="Times New Roman" w:cs="Times New Roman" w:eastAsiaTheme="minorEastAsia"/>
                <w:sz w:val="18"/>
                <w:szCs w:val="18"/>
                <w:highlight w:val="none"/>
                <w:vertAlign w:val="superscript"/>
                <w:lang w:val="en-US" w:eastAsia="zh-CN"/>
              </w:rPr>
            </w:pPr>
            <w:bookmarkStart w:id="1" w:name="OLE_LINK5" w:colFirst="1" w:colLast="8"/>
            <w:r>
              <w:rPr>
                <w:rFonts w:hint="eastAsia" w:ascii="Times New Roman" w:hAnsi="Times New Roman" w:cs="Times New Roman"/>
                <w:sz w:val="18"/>
                <w:szCs w:val="18"/>
                <w:highlight w:val="none"/>
                <w:lang w:val="en-US" w:eastAsia="zh-CN"/>
              </w:rPr>
              <w:t>Background value</w:t>
            </w:r>
            <w:r>
              <w:rPr>
                <w:rFonts w:hint="eastAsia" w:ascii="Times New Roman" w:hAnsi="Times New Roman" w:cs="Times New Roman"/>
                <w:sz w:val="18"/>
                <w:szCs w:val="18"/>
                <w:highlight w:val="none"/>
                <w:vertAlign w:val="superscript"/>
                <w:lang w:val="en-US" w:eastAsia="zh-CN"/>
              </w:rPr>
              <w:t>*</w:t>
            </w:r>
          </w:p>
        </w:tc>
        <w:tc>
          <w:tcPr>
            <w:tcW w:w="681" w:type="dxa"/>
            <w:tcBorders>
              <w:top w:val="single" w:color="auto" w:sz="4" w:space="0"/>
              <w:left w:val="nil"/>
              <w:bottom w:val="nil"/>
              <w:right w:val="nil"/>
            </w:tcBorders>
            <w:vAlign w:val="center"/>
          </w:tcPr>
          <w:p>
            <w:pPr>
              <w:widowControl/>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9.7</w:t>
            </w:r>
          </w:p>
        </w:tc>
        <w:tc>
          <w:tcPr>
            <w:tcW w:w="681" w:type="dxa"/>
            <w:tcBorders>
              <w:top w:val="single" w:color="auto" w:sz="4" w:space="0"/>
              <w:left w:val="nil"/>
              <w:bottom w:val="nil"/>
              <w:right w:val="nil"/>
            </w:tcBorders>
            <w:vAlign w:val="center"/>
          </w:tcPr>
          <w:p>
            <w:pPr>
              <w:widowControl/>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rPr>
              <w:t>0.0</w:t>
            </w:r>
            <w:r>
              <w:rPr>
                <w:rFonts w:hint="eastAsia" w:ascii="Times New Roman" w:hAnsi="Times New Roman" w:eastAsia="宋体" w:cs="Times New Roman"/>
                <w:color w:val="000000"/>
                <w:kern w:val="0"/>
                <w:sz w:val="18"/>
                <w:szCs w:val="18"/>
                <w:highlight w:val="none"/>
                <w:lang w:val="en-US" w:eastAsia="zh-CN"/>
              </w:rPr>
              <w:t>74</w:t>
            </w:r>
          </w:p>
        </w:tc>
        <w:tc>
          <w:tcPr>
            <w:tcW w:w="801" w:type="dxa"/>
            <w:tcBorders>
              <w:top w:val="single" w:color="auto" w:sz="4" w:space="0"/>
              <w:left w:val="nil"/>
              <w:bottom w:val="nil"/>
              <w:right w:val="nil"/>
            </w:tcBorders>
            <w:vAlign w:val="center"/>
          </w:tcPr>
          <w:p>
            <w:pPr>
              <w:widowControl/>
              <w:jc w:val="center"/>
              <w:rPr>
                <w:rFonts w:hint="default"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rPr>
              <w:t>6</w:t>
            </w:r>
            <w:r>
              <w:rPr>
                <w:rFonts w:hint="eastAsia" w:ascii="Times New Roman" w:hAnsi="Times New Roman" w:eastAsia="宋体" w:cs="Times New Roman"/>
                <w:color w:val="000000"/>
                <w:kern w:val="0"/>
                <w:sz w:val="18"/>
                <w:szCs w:val="18"/>
                <w:highlight w:val="none"/>
                <w:lang w:val="en-US" w:eastAsia="zh-CN"/>
              </w:rPr>
              <w:t>8.1</w:t>
            </w:r>
          </w:p>
        </w:tc>
        <w:tc>
          <w:tcPr>
            <w:tcW w:w="711" w:type="dxa"/>
            <w:tcBorders>
              <w:top w:val="single" w:color="auto" w:sz="4" w:space="0"/>
              <w:left w:val="nil"/>
              <w:bottom w:val="nil"/>
              <w:right w:val="nil"/>
            </w:tcBorders>
            <w:vAlign w:val="center"/>
          </w:tcPr>
          <w:p>
            <w:pPr>
              <w:widowControl/>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23.6</w:t>
            </w:r>
          </w:p>
        </w:tc>
        <w:tc>
          <w:tcPr>
            <w:tcW w:w="681" w:type="dxa"/>
            <w:tcBorders>
              <w:top w:val="single" w:color="auto" w:sz="4" w:space="0"/>
              <w:left w:val="nil"/>
              <w:bottom w:val="nil"/>
              <w:right w:val="nil"/>
            </w:tcBorders>
            <w:vAlign w:val="center"/>
          </w:tcPr>
          <w:p>
            <w:pPr>
              <w:widowControl/>
              <w:jc w:val="center"/>
              <w:rPr>
                <w:rFonts w:hint="eastAsia"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rPr>
              <w:t>0.0</w:t>
            </w:r>
            <w:r>
              <w:rPr>
                <w:rFonts w:hint="eastAsia" w:ascii="Times New Roman" w:hAnsi="Times New Roman" w:eastAsia="宋体" w:cs="Times New Roman"/>
                <w:color w:val="000000"/>
                <w:kern w:val="0"/>
                <w:sz w:val="18"/>
                <w:szCs w:val="18"/>
                <w:highlight w:val="none"/>
                <w:lang w:val="en-US" w:eastAsia="zh-CN"/>
              </w:rPr>
              <w:t>7</w:t>
            </w:r>
          </w:p>
        </w:tc>
        <w:tc>
          <w:tcPr>
            <w:tcW w:w="681" w:type="dxa"/>
            <w:tcBorders>
              <w:top w:val="single" w:color="auto" w:sz="4" w:space="0"/>
              <w:left w:val="nil"/>
              <w:bottom w:val="nil"/>
              <w:right w:val="nil"/>
            </w:tcBorders>
            <w:vAlign w:val="center"/>
          </w:tcPr>
          <w:p>
            <w:pPr>
              <w:widowControl/>
              <w:jc w:val="center"/>
              <w:rPr>
                <w:rFonts w:hint="eastAsia" w:ascii="Times New Roman" w:hAnsi="Times New Roman" w:eastAsia="宋体" w:cs="Times New Roman"/>
                <w:color w:val="000000"/>
                <w:kern w:val="0"/>
                <w:sz w:val="18"/>
                <w:szCs w:val="18"/>
                <w:highlight w:val="none"/>
                <w:lang w:val="en-US" w:eastAsia="zh-CN"/>
              </w:rPr>
            </w:pPr>
            <w:r>
              <w:rPr>
                <w:rFonts w:hint="default" w:ascii="Times New Roman" w:hAnsi="Times New Roman" w:eastAsia="宋体" w:cs="Times New Roman"/>
                <w:color w:val="000000"/>
                <w:kern w:val="0"/>
                <w:sz w:val="18"/>
                <w:szCs w:val="18"/>
                <w:highlight w:val="none"/>
              </w:rPr>
              <w:t>2</w:t>
            </w:r>
            <w:r>
              <w:rPr>
                <w:rFonts w:hint="eastAsia" w:ascii="Times New Roman" w:hAnsi="Times New Roman" w:eastAsia="宋体" w:cs="Times New Roman"/>
                <w:color w:val="000000"/>
                <w:kern w:val="0"/>
                <w:sz w:val="18"/>
                <w:szCs w:val="18"/>
                <w:highlight w:val="none"/>
                <w:lang w:val="en-US" w:eastAsia="zh-CN"/>
              </w:rPr>
              <w:t>9</w:t>
            </w:r>
          </w:p>
        </w:tc>
        <w:tc>
          <w:tcPr>
            <w:tcW w:w="711" w:type="dxa"/>
            <w:tcBorders>
              <w:top w:val="single" w:color="auto" w:sz="4" w:space="0"/>
              <w:left w:val="nil"/>
              <w:bottom w:val="nil"/>
              <w:right w:val="nil"/>
            </w:tcBorders>
            <w:vAlign w:val="center"/>
          </w:tcPr>
          <w:p>
            <w:pPr>
              <w:widowControl/>
              <w:jc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宋体" w:cs="Times New Roman"/>
                <w:color w:val="000000"/>
                <w:kern w:val="0"/>
                <w:sz w:val="18"/>
                <w:szCs w:val="18"/>
                <w:highlight w:val="none"/>
              </w:rPr>
              <w:t>2</w:t>
            </w:r>
            <w:r>
              <w:rPr>
                <w:rFonts w:hint="eastAsia" w:ascii="Times New Roman" w:hAnsi="Times New Roman" w:eastAsia="宋体" w:cs="Times New Roman"/>
                <w:color w:val="000000"/>
                <w:kern w:val="0"/>
                <w:sz w:val="18"/>
                <w:szCs w:val="18"/>
                <w:highlight w:val="none"/>
                <w:lang w:val="en-US" w:eastAsia="zh-CN"/>
              </w:rPr>
              <w:t>5.4</w:t>
            </w:r>
            <w:r>
              <w:rPr>
                <w:rFonts w:hint="default" w:ascii="Times New Roman" w:hAnsi="Times New Roman" w:eastAsia="宋体" w:cs="Times New Roman"/>
                <w:color w:val="000000"/>
                <w:kern w:val="0"/>
                <w:sz w:val="18"/>
                <w:szCs w:val="18"/>
                <w:highlight w:val="none"/>
              </w:rPr>
              <w:t>0</w:t>
            </w:r>
          </w:p>
        </w:tc>
        <w:tc>
          <w:tcPr>
            <w:tcW w:w="801" w:type="dxa"/>
            <w:tcBorders>
              <w:top w:val="single" w:color="auto" w:sz="4" w:space="0"/>
              <w:left w:val="nil"/>
              <w:bottom w:val="nil"/>
            </w:tcBorders>
            <w:vAlign w:val="center"/>
          </w:tcPr>
          <w:p>
            <w:pPr>
              <w:widowControl/>
              <w:jc w:val="center"/>
              <w:rPr>
                <w:rFonts w:hint="default" w:ascii="Times New Roman" w:hAnsi="Times New Roman" w:eastAsia="宋体" w:cs="Times New Roman"/>
                <w:color w:val="000000"/>
                <w:kern w:val="0"/>
                <w:sz w:val="18"/>
                <w:szCs w:val="18"/>
                <w:highlight w:val="none"/>
                <w:lang w:val="en-US" w:eastAsia="zh-CN"/>
              </w:rPr>
            </w:pPr>
            <w:r>
              <w:rPr>
                <w:rFonts w:hint="eastAsia" w:ascii="Times New Roman" w:hAnsi="Times New Roman" w:eastAsia="宋体" w:cs="Times New Roman"/>
                <w:color w:val="000000"/>
                <w:kern w:val="0"/>
                <w:sz w:val="18"/>
                <w:szCs w:val="18"/>
                <w:highlight w:val="none"/>
                <w:lang w:val="en-US" w:eastAsia="zh-CN"/>
              </w:rPr>
              <w:t>102.6</w:t>
            </w:r>
          </w:p>
        </w:tc>
      </w:tr>
      <w:bookmarkEnd w:id="1"/>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215" w:type="dxa"/>
            <w:gridSpan w:val="3"/>
            <w:tcBorders>
              <w:top w:val="nil"/>
              <w:bottom w:val="single" w:color="auto" w:sz="4" w:space="0"/>
              <w:right w:val="nil"/>
            </w:tcBorders>
          </w:tcPr>
          <w:p>
            <w:pPr>
              <w:jc w:val="center"/>
              <w:rPr>
                <w:rFonts w:hint="eastAsia" w:ascii="Times New Roman" w:hAnsi="Times New Roman" w:cs="Times New Roman"/>
                <w:sz w:val="18"/>
                <w:szCs w:val="18"/>
                <w:highlight w:val="none"/>
                <w:lang w:val="en-US" w:eastAsia="zh-CN"/>
              </w:rPr>
            </w:pPr>
            <w:r>
              <w:rPr>
                <w:rFonts w:hint="eastAsia" w:ascii="Times New Roman" w:hAnsi="Times New Roman" w:eastAsia="等线" w:cs="Times New Roman"/>
                <w:color w:val="000000"/>
                <w:kern w:val="0"/>
                <w:sz w:val="18"/>
                <w:szCs w:val="18"/>
                <w:highlight w:val="none"/>
                <w:lang w:val="en-US" w:eastAsia="zh-CN" w:bidi="ar"/>
              </w:rPr>
              <w:t>P</w:t>
            </w:r>
            <w:r>
              <w:rPr>
                <w:rFonts w:ascii="Times New Roman" w:hAnsi="Times New Roman" w:eastAsia="等线" w:cs="Times New Roman"/>
                <w:color w:val="000000"/>
                <w:kern w:val="0"/>
                <w:sz w:val="18"/>
                <w:szCs w:val="18"/>
                <w:highlight w:val="none"/>
                <w:lang w:bidi="ar"/>
              </w:rPr>
              <w:t xml:space="preserve">ercentage </w:t>
            </w:r>
            <w:r>
              <w:rPr>
                <w:rFonts w:hint="eastAsia" w:ascii="Times New Roman" w:hAnsi="Times New Roman" w:eastAsia="等线" w:cs="Times New Roman"/>
                <w:color w:val="000000"/>
                <w:kern w:val="0"/>
                <w:sz w:val="18"/>
                <w:szCs w:val="18"/>
                <w:highlight w:val="none"/>
                <w:lang w:val="en-US" w:eastAsia="zh-CN" w:bidi="ar"/>
              </w:rPr>
              <w:t>exceed b</w:t>
            </w:r>
            <w:r>
              <w:rPr>
                <w:rFonts w:ascii="Times New Roman" w:hAnsi="Times New Roman" w:eastAsia="等线" w:cs="Times New Roman"/>
                <w:color w:val="000000"/>
                <w:kern w:val="0"/>
                <w:sz w:val="18"/>
                <w:szCs w:val="18"/>
                <w:highlight w:val="none"/>
                <w:lang w:bidi="ar"/>
              </w:rPr>
              <w:t xml:space="preserve">ackground </w:t>
            </w:r>
            <w:r>
              <w:rPr>
                <w:rFonts w:hint="eastAsia" w:ascii="Times New Roman" w:hAnsi="Times New Roman" w:eastAsia="等线" w:cs="Times New Roman"/>
                <w:color w:val="000000"/>
                <w:kern w:val="0"/>
                <w:sz w:val="18"/>
                <w:szCs w:val="18"/>
                <w:highlight w:val="none"/>
                <w:lang w:val="en-US" w:eastAsia="zh-CN" w:bidi="ar"/>
              </w:rPr>
              <w:t>v</w:t>
            </w:r>
            <w:r>
              <w:rPr>
                <w:rFonts w:ascii="Times New Roman" w:hAnsi="Times New Roman" w:eastAsia="等线" w:cs="Times New Roman"/>
                <w:color w:val="000000"/>
                <w:kern w:val="0"/>
                <w:sz w:val="18"/>
                <w:szCs w:val="18"/>
                <w:highlight w:val="none"/>
                <w:lang w:bidi="ar"/>
              </w:rPr>
              <w:t>alues</w:t>
            </w:r>
          </w:p>
        </w:tc>
        <w:tc>
          <w:tcPr>
            <w:tcW w:w="68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eastAsia" w:ascii="Times New Roman" w:hAnsi="Times New Roman" w:eastAsia="微软雅黑" w:cs="Times New Roman"/>
                <w:i w:val="0"/>
                <w:iCs w:val="0"/>
                <w:color w:val="000000"/>
                <w:kern w:val="0"/>
                <w:sz w:val="18"/>
                <w:szCs w:val="18"/>
                <w:highlight w:val="none"/>
                <w:u w:val="none"/>
                <w:lang w:val="en-US" w:eastAsia="zh-CN" w:bidi="ar"/>
              </w:rPr>
              <w:t>42.5</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c>
          <w:tcPr>
            <w:tcW w:w="68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eastAsia" w:ascii="Times New Roman" w:hAnsi="Times New Roman" w:eastAsia="微软雅黑" w:cs="Times New Roman"/>
                <w:i w:val="0"/>
                <w:iCs w:val="0"/>
                <w:color w:val="000000"/>
                <w:kern w:val="0"/>
                <w:sz w:val="18"/>
                <w:szCs w:val="18"/>
                <w:highlight w:val="none"/>
                <w:u w:val="none"/>
                <w:lang w:val="en-US" w:eastAsia="zh-CN" w:bidi="ar"/>
              </w:rPr>
              <w:t>78.8</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c>
          <w:tcPr>
            <w:tcW w:w="80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eastAsia" w:ascii="Times New Roman" w:hAnsi="Times New Roman" w:eastAsia="微软雅黑" w:cs="Times New Roman"/>
                <w:i w:val="0"/>
                <w:iCs w:val="0"/>
                <w:color w:val="000000"/>
                <w:kern w:val="0"/>
                <w:sz w:val="18"/>
                <w:szCs w:val="18"/>
                <w:highlight w:val="none"/>
                <w:u w:val="none"/>
                <w:lang w:val="en-US" w:eastAsia="zh-CN" w:bidi="ar"/>
              </w:rPr>
              <w:t>18.6</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c>
          <w:tcPr>
            <w:tcW w:w="71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微软雅黑" w:cs="Times New Roman"/>
                <w:i w:val="0"/>
                <w:iCs w:val="0"/>
                <w:color w:val="000000"/>
                <w:kern w:val="0"/>
                <w:sz w:val="18"/>
                <w:szCs w:val="18"/>
                <w:highlight w:val="none"/>
                <w:u w:val="none"/>
                <w:lang w:val="en-US" w:eastAsia="zh-CN" w:bidi="ar"/>
              </w:rPr>
              <w:t>3</w:t>
            </w:r>
            <w:r>
              <w:rPr>
                <w:rFonts w:hint="eastAsia" w:ascii="Times New Roman" w:hAnsi="Times New Roman" w:eastAsia="微软雅黑" w:cs="Times New Roman"/>
                <w:i w:val="0"/>
                <w:iCs w:val="0"/>
                <w:color w:val="000000"/>
                <w:kern w:val="0"/>
                <w:sz w:val="18"/>
                <w:szCs w:val="18"/>
                <w:highlight w:val="none"/>
                <w:u w:val="none"/>
                <w:lang w:val="en-US" w:eastAsia="zh-CN" w:bidi="ar"/>
              </w:rPr>
              <w:t>0.1</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c>
          <w:tcPr>
            <w:tcW w:w="68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eastAsia" w:ascii="Times New Roman" w:hAnsi="Times New Roman" w:eastAsia="微软雅黑" w:cs="Times New Roman"/>
                <w:i w:val="0"/>
                <w:iCs w:val="0"/>
                <w:color w:val="000000"/>
                <w:kern w:val="0"/>
                <w:sz w:val="18"/>
                <w:szCs w:val="18"/>
                <w:highlight w:val="none"/>
                <w:u w:val="none"/>
                <w:lang w:val="en-US" w:eastAsia="zh-CN" w:bidi="ar"/>
              </w:rPr>
              <w:t>46.9</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c>
          <w:tcPr>
            <w:tcW w:w="68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微软雅黑" w:cs="Times New Roman"/>
                <w:i w:val="0"/>
                <w:iCs w:val="0"/>
                <w:color w:val="000000"/>
                <w:kern w:val="0"/>
                <w:sz w:val="18"/>
                <w:szCs w:val="18"/>
                <w:highlight w:val="none"/>
                <w:u w:val="none"/>
                <w:lang w:val="en-US" w:eastAsia="zh-CN" w:bidi="ar"/>
              </w:rPr>
              <w:t>1</w:t>
            </w:r>
            <w:r>
              <w:rPr>
                <w:rFonts w:hint="eastAsia" w:ascii="Times New Roman" w:hAnsi="Times New Roman" w:eastAsia="微软雅黑" w:cs="Times New Roman"/>
                <w:i w:val="0"/>
                <w:iCs w:val="0"/>
                <w:color w:val="000000"/>
                <w:kern w:val="0"/>
                <w:sz w:val="18"/>
                <w:szCs w:val="18"/>
                <w:highlight w:val="none"/>
                <w:u w:val="none"/>
                <w:lang w:val="en-US" w:eastAsia="zh-CN" w:bidi="ar"/>
              </w:rPr>
              <w:t>2.4</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c>
          <w:tcPr>
            <w:tcW w:w="711" w:type="dxa"/>
            <w:tcBorders>
              <w:top w:val="nil"/>
              <w:left w:val="nil"/>
              <w:bottom w:val="single" w:color="auto" w:sz="4" w:space="0"/>
              <w:right w:val="nil"/>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default" w:ascii="Times New Roman" w:hAnsi="Times New Roman" w:eastAsia="微软雅黑" w:cs="Times New Roman"/>
                <w:i w:val="0"/>
                <w:iCs w:val="0"/>
                <w:color w:val="000000"/>
                <w:kern w:val="0"/>
                <w:sz w:val="18"/>
                <w:szCs w:val="18"/>
                <w:highlight w:val="none"/>
                <w:u w:val="none"/>
                <w:lang w:val="en-US" w:eastAsia="zh-CN" w:bidi="ar"/>
              </w:rPr>
              <w:t>80.5%</w:t>
            </w:r>
          </w:p>
        </w:tc>
        <w:tc>
          <w:tcPr>
            <w:tcW w:w="801" w:type="dxa"/>
            <w:tcBorders>
              <w:top w:val="nil"/>
              <w:left w:val="nil"/>
              <w:bottom w:val="single" w:color="auto" w:sz="4" w:space="0"/>
            </w:tcBorders>
            <w:vAlign w:val="center"/>
          </w:tcPr>
          <w:p>
            <w:pPr>
              <w:keepNext w:val="0"/>
              <w:keepLines w:val="0"/>
              <w:widowControl/>
              <w:suppressLineNumbers w:val="0"/>
              <w:jc w:val="right"/>
              <w:textAlignment w:val="center"/>
              <w:rPr>
                <w:rFonts w:hint="default" w:ascii="Times New Roman" w:hAnsi="Times New Roman" w:eastAsia="宋体" w:cs="Times New Roman"/>
                <w:color w:val="000000"/>
                <w:kern w:val="0"/>
                <w:sz w:val="18"/>
                <w:szCs w:val="18"/>
                <w:highlight w:val="none"/>
              </w:rPr>
            </w:pPr>
            <w:r>
              <w:rPr>
                <w:rFonts w:hint="eastAsia" w:ascii="Times New Roman" w:hAnsi="Times New Roman" w:eastAsia="微软雅黑" w:cs="Times New Roman"/>
                <w:i w:val="0"/>
                <w:iCs w:val="0"/>
                <w:color w:val="000000"/>
                <w:kern w:val="0"/>
                <w:sz w:val="18"/>
                <w:szCs w:val="18"/>
                <w:highlight w:val="none"/>
                <w:u w:val="none"/>
                <w:lang w:val="en-US" w:eastAsia="zh-CN" w:bidi="ar"/>
              </w:rPr>
              <w:t>23</w:t>
            </w:r>
            <w:r>
              <w:rPr>
                <w:rFonts w:hint="default" w:ascii="Times New Roman" w:hAnsi="Times New Roman" w:eastAsia="微软雅黑" w:cs="Times New Roman"/>
                <w:i w:val="0"/>
                <w:iCs w:val="0"/>
                <w:color w:val="000000"/>
                <w:kern w:val="0"/>
                <w:sz w:val="18"/>
                <w:szCs w:val="18"/>
                <w:highlight w:val="none"/>
                <w:u w:val="none"/>
                <w:lang w:val="en-US" w:eastAsia="zh-CN" w:bidi="ar"/>
              </w:rPr>
              <w:t>%</w:t>
            </w:r>
          </w:p>
        </w:tc>
      </w:tr>
    </w:tbl>
    <w:p>
      <w:pPr>
        <w:spacing w:line="360" w:lineRule="auto"/>
        <w:rPr>
          <w:rFonts w:ascii="Times New Roman" w:hAnsi="Times New Roman"/>
          <w:sz w:val="24"/>
          <w:highlight w:val="none"/>
        </w:rPr>
      </w:pPr>
    </w:p>
    <w:p>
      <w:pPr>
        <w:spacing w:line="360" w:lineRule="auto"/>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Table S3 Classification criterions for Nemerow synthetical pollution index (Pn) and Potential ecological risk index (RI).</w:t>
      </w:r>
    </w:p>
    <w:p>
      <w:pPr>
        <w:rPr>
          <w:rFonts w:ascii="Times New Roman" w:hAnsi="Times New Roman" w:cs="Times New Roman"/>
          <w:sz w:val="18"/>
          <w:szCs w:val="18"/>
        </w:rPr>
      </w:pPr>
    </w:p>
    <w:tbl>
      <w:tblPr>
        <w:tblStyle w:val="4"/>
        <w:tblW w:w="9598" w:type="dxa"/>
        <w:jc w:val="center"/>
        <w:tblLayout w:type="autofit"/>
        <w:tblCellMar>
          <w:top w:w="0" w:type="dxa"/>
          <w:left w:w="108" w:type="dxa"/>
          <w:bottom w:w="0" w:type="dxa"/>
          <w:right w:w="108" w:type="dxa"/>
        </w:tblCellMar>
      </w:tblPr>
      <w:tblGrid>
        <w:gridCol w:w="526"/>
        <w:gridCol w:w="1560"/>
        <w:gridCol w:w="2393"/>
        <w:gridCol w:w="1150"/>
        <w:gridCol w:w="1886"/>
        <w:gridCol w:w="2083"/>
      </w:tblGrid>
      <w:tr>
        <w:tblPrEx>
          <w:tblCellMar>
            <w:top w:w="0" w:type="dxa"/>
            <w:left w:w="108" w:type="dxa"/>
            <w:bottom w:w="0" w:type="dxa"/>
            <w:right w:w="108" w:type="dxa"/>
          </w:tblCellMar>
        </w:tblPrEx>
        <w:trPr>
          <w:trHeight w:val="276" w:hRule="atLeast"/>
          <w:jc w:val="center"/>
        </w:trPr>
        <w:tc>
          <w:tcPr>
            <w:tcW w:w="4479" w:type="dxa"/>
            <w:gridSpan w:val="3"/>
            <w:tcBorders>
              <w:top w:val="single" w:color="auto" w:sz="4" w:space="0"/>
              <w:bottom w:val="single" w:color="auto" w:sz="4" w:space="0"/>
            </w:tcBorders>
            <w:shd w:val="clear" w:color="auto" w:fill="D7D7D7" w:themeFill="background1" w:themeFillShade="D8"/>
            <w:noWrap/>
            <w:vAlign w:val="bottom"/>
          </w:tcPr>
          <w:p>
            <w:pPr>
              <w:jc w:val="center"/>
              <w:rPr>
                <w:rFonts w:ascii="Times New Roman" w:hAnsi="Times New Roman" w:cs="Times New Roman"/>
                <w:szCs w:val="21"/>
              </w:rPr>
            </w:pPr>
            <w:r>
              <w:rPr>
                <w:rFonts w:ascii="Times New Roman" w:hAnsi="Times New Roman" w:cs="Times New Roman"/>
                <w:szCs w:val="21"/>
              </w:rPr>
              <w:t>Nemerow synthetical pollution index (Pn)</w:t>
            </w:r>
          </w:p>
        </w:tc>
        <w:tc>
          <w:tcPr>
            <w:tcW w:w="5119" w:type="dxa"/>
            <w:gridSpan w:val="3"/>
            <w:tcBorders>
              <w:top w:val="single" w:color="auto" w:sz="4" w:space="0"/>
              <w:bottom w:val="single" w:color="auto" w:sz="4" w:space="0"/>
            </w:tcBorders>
            <w:shd w:val="clear" w:color="auto" w:fill="D7D7D7" w:themeFill="background1" w:themeFillShade="D8"/>
            <w:noWrap/>
            <w:vAlign w:val="bottom"/>
          </w:tcPr>
          <w:p>
            <w:pPr>
              <w:jc w:val="center"/>
              <w:rPr>
                <w:rFonts w:ascii="Times New Roman" w:hAnsi="Times New Roman" w:cs="Times New Roman"/>
                <w:szCs w:val="21"/>
              </w:rPr>
            </w:pPr>
            <w:r>
              <w:rPr>
                <w:rFonts w:ascii="Times New Roman" w:hAnsi="Times New Roman" w:cs="Times New Roman"/>
                <w:szCs w:val="21"/>
              </w:rPr>
              <w:t>Potential ecological risk index (RI)</w:t>
            </w:r>
          </w:p>
        </w:tc>
      </w:tr>
      <w:tr>
        <w:tblPrEx>
          <w:tblCellMar>
            <w:top w:w="0" w:type="dxa"/>
            <w:left w:w="108" w:type="dxa"/>
            <w:bottom w:w="0" w:type="dxa"/>
            <w:right w:w="108" w:type="dxa"/>
          </w:tblCellMar>
        </w:tblPrEx>
        <w:trPr>
          <w:trHeight w:val="276" w:hRule="atLeast"/>
          <w:jc w:val="center"/>
        </w:trPr>
        <w:tc>
          <w:tcPr>
            <w:tcW w:w="2086" w:type="dxa"/>
            <w:gridSpan w:val="2"/>
            <w:tcBorders>
              <w:top w:val="single" w:color="auto" w:sz="4" w:space="0"/>
            </w:tcBorders>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Grade</w:t>
            </w:r>
          </w:p>
        </w:tc>
        <w:tc>
          <w:tcPr>
            <w:tcW w:w="2393" w:type="dxa"/>
            <w:tcBorders>
              <w:top w:val="single" w:color="auto" w:sz="4" w:space="0"/>
            </w:tcBorders>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Appraisal result</w:t>
            </w:r>
          </w:p>
        </w:tc>
        <w:tc>
          <w:tcPr>
            <w:tcW w:w="3036" w:type="dxa"/>
            <w:gridSpan w:val="2"/>
            <w:tcBorders>
              <w:top w:val="single" w:color="auto" w:sz="4" w:space="0"/>
            </w:tcBorders>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Grade</w:t>
            </w:r>
          </w:p>
        </w:tc>
        <w:tc>
          <w:tcPr>
            <w:tcW w:w="2083" w:type="dxa"/>
            <w:tcBorders>
              <w:top w:val="single" w:color="auto" w:sz="4" w:space="0"/>
            </w:tcBorders>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Appraisal result</w:t>
            </w:r>
          </w:p>
        </w:tc>
      </w:tr>
      <w:tr>
        <w:tblPrEx>
          <w:tblCellMar>
            <w:top w:w="0" w:type="dxa"/>
            <w:left w:w="108" w:type="dxa"/>
            <w:bottom w:w="0" w:type="dxa"/>
            <w:right w:w="108" w:type="dxa"/>
          </w:tblCellMar>
        </w:tblPrEx>
        <w:trPr>
          <w:trHeight w:val="300" w:hRule="atLeast"/>
          <w:jc w:val="center"/>
        </w:trPr>
        <w:tc>
          <w:tcPr>
            <w:tcW w:w="52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1</w:t>
            </w:r>
          </w:p>
        </w:tc>
        <w:tc>
          <w:tcPr>
            <w:tcW w:w="1560" w:type="dxa"/>
            <w:shd w:val="clear" w:color="auto" w:fill="auto"/>
            <w:noWrap/>
            <w:vAlign w:val="bottom"/>
          </w:tcPr>
          <w:p>
            <w:pPr>
              <w:jc w:val="center"/>
              <w:rPr>
                <w:rFonts w:ascii="Times New Roman" w:hAnsi="Times New Roman" w:cs="Times New Roman"/>
                <w:i/>
                <w:iCs/>
                <w:szCs w:val="21"/>
              </w:rPr>
            </w:pPr>
            <w:r>
              <w:rPr>
                <w:rFonts w:ascii="Times New Roman" w:hAnsi="Times New Roman" w:cs="Times New Roman"/>
                <w:i/>
                <w:iCs/>
                <w:szCs w:val="21"/>
              </w:rPr>
              <w:t>P</w:t>
            </w:r>
            <w:r>
              <w:rPr>
                <w:rFonts w:ascii="Times New Roman" w:hAnsi="Times New Roman" w:cs="Times New Roman"/>
                <w:i/>
                <w:iCs/>
                <w:szCs w:val="21"/>
                <w:vertAlign w:val="subscript"/>
              </w:rPr>
              <w:t xml:space="preserve">n </w:t>
            </w:r>
            <w:r>
              <w:rPr>
                <w:rFonts w:ascii="Times New Roman" w:hAnsi="Times New Roman" w:cs="Times New Roman"/>
                <w:szCs w:val="21"/>
              </w:rPr>
              <w:t>≤ 0.7</w:t>
            </w:r>
          </w:p>
        </w:tc>
        <w:tc>
          <w:tcPr>
            <w:tcW w:w="239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Safety</w:t>
            </w:r>
          </w:p>
        </w:tc>
        <w:tc>
          <w:tcPr>
            <w:tcW w:w="115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1</w:t>
            </w:r>
          </w:p>
        </w:tc>
        <w:tc>
          <w:tcPr>
            <w:tcW w:w="188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RI ≤ 150</w:t>
            </w:r>
          </w:p>
        </w:tc>
        <w:tc>
          <w:tcPr>
            <w:tcW w:w="208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Low risk</w:t>
            </w:r>
          </w:p>
        </w:tc>
      </w:tr>
      <w:tr>
        <w:tblPrEx>
          <w:tblCellMar>
            <w:top w:w="0" w:type="dxa"/>
            <w:left w:w="108" w:type="dxa"/>
            <w:bottom w:w="0" w:type="dxa"/>
            <w:right w:w="108" w:type="dxa"/>
          </w:tblCellMar>
        </w:tblPrEx>
        <w:trPr>
          <w:trHeight w:val="300" w:hRule="atLeast"/>
          <w:jc w:val="center"/>
        </w:trPr>
        <w:tc>
          <w:tcPr>
            <w:tcW w:w="52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2</w:t>
            </w:r>
          </w:p>
        </w:tc>
        <w:tc>
          <w:tcPr>
            <w:tcW w:w="156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0.7＜</w:t>
            </w:r>
            <w:r>
              <w:rPr>
                <w:rFonts w:ascii="Times New Roman" w:hAnsi="Times New Roman" w:cs="Times New Roman"/>
                <w:i/>
                <w:iCs/>
                <w:szCs w:val="21"/>
              </w:rPr>
              <w:t>P</w:t>
            </w:r>
            <w:r>
              <w:rPr>
                <w:rFonts w:ascii="Times New Roman" w:hAnsi="Times New Roman" w:cs="Times New Roman"/>
                <w:i/>
                <w:iCs/>
                <w:szCs w:val="21"/>
                <w:vertAlign w:val="subscript"/>
              </w:rPr>
              <w:t xml:space="preserve">n </w:t>
            </w:r>
            <w:r>
              <w:rPr>
                <w:rFonts w:ascii="Times New Roman" w:hAnsi="Times New Roman" w:cs="Times New Roman"/>
                <w:szCs w:val="21"/>
              </w:rPr>
              <w:t>≤ 1.0</w:t>
            </w:r>
          </w:p>
        </w:tc>
        <w:tc>
          <w:tcPr>
            <w:tcW w:w="239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Precaution</w:t>
            </w:r>
          </w:p>
        </w:tc>
        <w:tc>
          <w:tcPr>
            <w:tcW w:w="115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2</w:t>
            </w:r>
          </w:p>
        </w:tc>
        <w:tc>
          <w:tcPr>
            <w:tcW w:w="188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150＜RI ≤ 300</w:t>
            </w:r>
          </w:p>
        </w:tc>
        <w:tc>
          <w:tcPr>
            <w:tcW w:w="208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Moderate risk</w:t>
            </w:r>
          </w:p>
        </w:tc>
      </w:tr>
      <w:tr>
        <w:tblPrEx>
          <w:tblCellMar>
            <w:top w:w="0" w:type="dxa"/>
            <w:left w:w="108" w:type="dxa"/>
            <w:bottom w:w="0" w:type="dxa"/>
            <w:right w:w="108" w:type="dxa"/>
          </w:tblCellMar>
        </w:tblPrEx>
        <w:trPr>
          <w:trHeight w:val="300" w:hRule="atLeast"/>
          <w:jc w:val="center"/>
        </w:trPr>
        <w:tc>
          <w:tcPr>
            <w:tcW w:w="52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3</w:t>
            </w:r>
          </w:p>
        </w:tc>
        <w:tc>
          <w:tcPr>
            <w:tcW w:w="156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1.0＜</w:t>
            </w:r>
            <w:r>
              <w:rPr>
                <w:rFonts w:ascii="Times New Roman" w:hAnsi="Times New Roman" w:cs="Times New Roman"/>
                <w:i/>
                <w:iCs/>
                <w:szCs w:val="21"/>
              </w:rPr>
              <w:t>P</w:t>
            </w:r>
            <w:r>
              <w:rPr>
                <w:rFonts w:ascii="Times New Roman" w:hAnsi="Times New Roman" w:cs="Times New Roman"/>
                <w:i/>
                <w:iCs/>
                <w:szCs w:val="21"/>
                <w:vertAlign w:val="subscript"/>
              </w:rPr>
              <w:t xml:space="preserve">n </w:t>
            </w:r>
            <w:r>
              <w:rPr>
                <w:rFonts w:ascii="Times New Roman" w:hAnsi="Times New Roman" w:cs="Times New Roman"/>
                <w:szCs w:val="21"/>
              </w:rPr>
              <w:t>≤ 2.0</w:t>
            </w:r>
          </w:p>
        </w:tc>
        <w:tc>
          <w:tcPr>
            <w:tcW w:w="239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Slightly polluted</w:t>
            </w:r>
          </w:p>
        </w:tc>
        <w:tc>
          <w:tcPr>
            <w:tcW w:w="115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3</w:t>
            </w:r>
          </w:p>
        </w:tc>
        <w:tc>
          <w:tcPr>
            <w:tcW w:w="188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300＜RI ≤ 600</w:t>
            </w:r>
          </w:p>
        </w:tc>
        <w:tc>
          <w:tcPr>
            <w:tcW w:w="208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Considerable risk</w:t>
            </w:r>
          </w:p>
        </w:tc>
      </w:tr>
      <w:tr>
        <w:tblPrEx>
          <w:tblCellMar>
            <w:top w:w="0" w:type="dxa"/>
            <w:left w:w="108" w:type="dxa"/>
            <w:bottom w:w="0" w:type="dxa"/>
            <w:right w:w="108" w:type="dxa"/>
          </w:tblCellMar>
        </w:tblPrEx>
        <w:trPr>
          <w:trHeight w:val="300" w:hRule="atLeast"/>
          <w:jc w:val="center"/>
        </w:trPr>
        <w:tc>
          <w:tcPr>
            <w:tcW w:w="52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4</w:t>
            </w:r>
          </w:p>
        </w:tc>
        <w:tc>
          <w:tcPr>
            <w:tcW w:w="156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2.0＜</w:t>
            </w:r>
            <w:r>
              <w:rPr>
                <w:rFonts w:ascii="Times New Roman" w:hAnsi="Times New Roman" w:cs="Times New Roman"/>
                <w:i/>
                <w:iCs/>
                <w:szCs w:val="21"/>
              </w:rPr>
              <w:t>P</w:t>
            </w:r>
            <w:r>
              <w:rPr>
                <w:rFonts w:ascii="Times New Roman" w:hAnsi="Times New Roman" w:cs="Times New Roman"/>
                <w:i/>
                <w:iCs/>
                <w:szCs w:val="21"/>
                <w:vertAlign w:val="subscript"/>
              </w:rPr>
              <w:t xml:space="preserve">n </w:t>
            </w:r>
            <w:r>
              <w:rPr>
                <w:rFonts w:ascii="Times New Roman" w:hAnsi="Times New Roman" w:cs="Times New Roman"/>
                <w:szCs w:val="21"/>
              </w:rPr>
              <w:t>≤ 3.0</w:t>
            </w:r>
          </w:p>
        </w:tc>
        <w:tc>
          <w:tcPr>
            <w:tcW w:w="239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Moderately polluted</w:t>
            </w:r>
          </w:p>
        </w:tc>
        <w:tc>
          <w:tcPr>
            <w:tcW w:w="1150"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4</w:t>
            </w:r>
          </w:p>
        </w:tc>
        <w:tc>
          <w:tcPr>
            <w:tcW w:w="1886"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RI &gt; 600</w:t>
            </w:r>
          </w:p>
        </w:tc>
        <w:tc>
          <w:tcPr>
            <w:tcW w:w="2083" w:type="dxa"/>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High risk</w:t>
            </w:r>
          </w:p>
        </w:tc>
      </w:tr>
      <w:tr>
        <w:tblPrEx>
          <w:tblCellMar>
            <w:top w:w="0" w:type="dxa"/>
            <w:left w:w="108" w:type="dxa"/>
            <w:bottom w:w="0" w:type="dxa"/>
            <w:right w:w="108" w:type="dxa"/>
          </w:tblCellMar>
        </w:tblPrEx>
        <w:trPr>
          <w:trHeight w:val="300" w:hRule="atLeast"/>
          <w:jc w:val="center"/>
        </w:trPr>
        <w:tc>
          <w:tcPr>
            <w:tcW w:w="526" w:type="dxa"/>
            <w:tcBorders>
              <w:bottom w:val="single" w:color="auto" w:sz="4" w:space="0"/>
            </w:tcBorders>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5</w:t>
            </w:r>
          </w:p>
        </w:tc>
        <w:tc>
          <w:tcPr>
            <w:tcW w:w="1560" w:type="dxa"/>
            <w:tcBorders>
              <w:bottom w:val="single" w:color="auto" w:sz="4" w:space="0"/>
            </w:tcBorders>
            <w:shd w:val="clear" w:color="auto" w:fill="auto"/>
            <w:noWrap/>
            <w:vAlign w:val="bottom"/>
          </w:tcPr>
          <w:p>
            <w:pPr>
              <w:jc w:val="center"/>
              <w:rPr>
                <w:rFonts w:ascii="Times New Roman" w:hAnsi="Times New Roman" w:cs="Times New Roman"/>
                <w:i/>
                <w:iCs/>
                <w:szCs w:val="21"/>
              </w:rPr>
            </w:pPr>
            <w:r>
              <w:rPr>
                <w:rFonts w:ascii="Times New Roman" w:hAnsi="Times New Roman" w:cs="Times New Roman"/>
                <w:i/>
                <w:iCs/>
                <w:szCs w:val="21"/>
              </w:rPr>
              <w:t>P</w:t>
            </w:r>
            <w:r>
              <w:rPr>
                <w:rFonts w:ascii="Times New Roman" w:hAnsi="Times New Roman" w:cs="Times New Roman"/>
                <w:i/>
                <w:iCs/>
                <w:szCs w:val="21"/>
                <w:vertAlign w:val="subscript"/>
              </w:rPr>
              <w:t>n</w:t>
            </w:r>
            <w:r>
              <w:rPr>
                <w:rFonts w:ascii="Times New Roman" w:hAnsi="Times New Roman" w:cs="Times New Roman"/>
                <w:szCs w:val="21"/>
              </w:rPr>
              <w:t xml:space="preserve"> &gt; 3.0</w:t>
            </w:r>
          </w:p>
        </w:tc>
        <w:tc>
          <w:tcPr>
            <w:tcW w:w="2393" w:type="dxa"/>
            <w:tcBorders>
              <w:bottom w:val="single" w:color="auto" w:sz="4" w:space="0"/>
            </w:tcBorders>
            <w:shd w:val="clear" w:color="auto" w:fill="auto"/>
            <w:noWrap/>
            <w:vAlign w:val="bottom"/>
          </w:tcPr>
          <w:p>
            <w:pPr>
              <w:jc w:val="center"/>
              <w:rPr>
                <w:rFonts w:ascii="Times New Roman" w:hAnsi="Times New Roman" w:cs="Times New Roman"/>
                <w:szCs w:val="21"/>
              </w:rPr>
            </w:pPr>
            <w:r>
              <w:rPr>
                <w:rFonts w:ascii="Times New Roman" w:hAnsi="Times New Roman" w:cs="Times New Roman"/>
                <w:szCs w:val="21"/>
              </w:rPr>
              <w:t>Severely polluted</w:t>
            </w:r>
          </w:p>
        </w:tc>
        <w:tc>
          <w:tcPr>
            <w:tcW w:w="1150" w:type="dxa"/>
            <w:tcBorders>
              <w:bottom w:val="single" w:color="auto" w:sz="4" w:space="0"/>
            </w:tcBorders>
            <w:shd w:val="clear" w:color="auto" w:fill="auto"/>
            <w:noWrap/>
            <w:vAlign w:val="bottom"/>
          </w:tcPr>
          <w:p>
            <w:pPr>
              <w:jc w:val="center"/>
              <w:rPr>
                <w:rFonts w:ascii="Times New Roman" w:hAnsi="Times New Roman" w:cs="Times New Roman"/>
                <w:szCs w:val="21"/>
              </w:rPr>
            </w:pPr>
          </w:p>
        </w:tc>
        <w:tc>
          <w:tcPr>
            <w:tcW w:w="1886" w:type="dxa"/>
            <w:tcBorders>
              <w:bottom w:val="single" w:color="auto" w:sz="4" w:space="0"/>
            </w:tcBorders>
            <w:shd w:val="clear" w:color="auto" w:fill="auto"/>
            <w:noWrap/>
            <w:vAlign w:val="bottom"/>
          </w:tcPr>
          <w:p>
            <w:pPr>
              <w:jc w:val="center"/>
              <w:rPr>
                <w:rFonts w:ascii="Times New Roman" w:hAnsi="Times New Roman" w:cs="Times New Roman"/>
                <w:szCs w:val="21"/>
              </w:rPr>
            </w:pPr>
          </w:p>
        </w:tc>
        <w:tc>
          <w:tcPr>
            <w:tcW w:w="2083" w:type="dxa"/>
            <w:tcBorders>
              <w:bottom w:val="single" w:color="auto" w:sz="4" w:space="0"/>
            </w:tcBorders>
            <w:shd w:val="clear" w:color="auto" w:fill="auto"/>
            <w:noWrap/>
            <w:vAlign w:val="bottom"/>
          </w:tcPr>
          <w:p>
            <w:pPr>
              <w:jc w:val="center"/>
              <w:rPr>
                <w:rFonts w:ascii="Times New Roman" w:hAnsi="Times New Roman" w:cs="Times New Roman"/>
                <w:szCs w:val="21"/>
              </w:rPr>
            </w:pPr>
          </w:p>
        </w:tc>
      </w:tr>
    </w:tbl>
    <w:p>
      <w:pPr>
        <w:spacing w:line="360" w:lineRule="auto"/>
        <w:rPr>
          <w:rFonts w:ascii="Times New Roman" w:hAnsi="Times New Roman"/>
          <w:sz w:val="24"/>
          <w:highlight w:val="none"/>
        </w:rPr>
      </w:pPr>
    </w:p>
    <w:p>
      <w:pPr>
        <w:spacing w:line="360" w:lineRule="auto"/>
        <w:jc w:val="center"/>
        <w:rPr>
          <w:rFonts w:hint="eastAsia"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Table S4</w:t>
      </w:r>
      <w:bookmarkStart w:id="3" w:name="_GoBack"/>
      <w:bookmarkEnd w:id="3"/>
      <w:r>
        <w:rPr>
          <w:rFonts w:hint="eastAsia" w:ascii="Times New Roman" w:hAnsi="Times New Roman"/>
          <w:sz w:val="21"/>
          <w:szCs w:val="21"/>
          <w:highlight w:val="none"/>
          <w:lang w:val="en-US" w:eastAsia="zh-CN"/>
        </w:rPr>
        <w:t xml:space="preserve"> Hazard quotients and lifelong carcinogenic risk for the metal(loid)s analyzed in this study</w:t>
      </w:r>
    </w:p>
    <w:tbl>
      <w:tblPr>
        <w:tblStyle w:val="4"/>
        <w:tblW w:w="80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8"/>
        <w:gridCol w:w="1487"/>
        <w:gridCol w:w="1487"/>
        <w:gridCol w:w="1487"/>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098" w:type="dxa"/>
            <w:vMerge w:val="restart"/>
            <w:tcBorders>
              <w:top w:val="single" w:color="auto" w:sz="8" w:space="0"/>
              <w:left w:val="nil"/>
              <w:right w:val="nil"/>
            </w:tcBorders>
            <w:shd w:val="clear" w:color="auto" w:fill="D7D7D7" w:themeFill="background1" w:themeFillShade="D8"/>
            <w:noWrap/>
            <w:vAlign w:val="center"/>
          </w:tcPr>
          <w:p>
            <w:pPr>
              <w:jc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Pollution source</w:t>
            </w:r>
          </w:p>
        </w:tc>
        <w:tc>
          <w:tcPr>
            <w:tcW w:w="2974" w:type="dxa"/>
            <w:gridSpan w:val="2"/>
            <w:tcBorders>
              <w:top w:val="single" w:color="auto" w:sz="8" w:space="0"/>
              <w:left w:val="nil"/>
              <w:bottom w:val="single" w:color="auto" w:sz="4" w:space="0"/>
              <w:right w:val="nil"/>
            </w:tcBorders>
            <w:shd w:val="clear" w:color="auto" w:fill="D7D7D7" w:themeFill="background1" w:themeFillShade="D8"/>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HQ</w:t>
            </w:r>
          </w:p>
        </w:tc>
        <w:tc>
          <w:tcPr>
            <w:tcW w:w="2974" w:type="dxa"/>
            <w:gridSpan w:val="2"/>
            <w:tcBorders>
              <w:top w:val="single" w:color="auto" w:sz="8" w:space="0"/>
              <w:left w:val="nil"/>
              <w:bottom w:val="single" w:color="auto" w:sz="4" w:space="0"/>
              <w:right w:val="nil"/>
            </w:tcBorders>
            <w:shd w:val="clear" w:color="auto" w:fill="D7D7D7" w:themeFill="background1" w:themeFillShade="D8"/>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098" w:type="dxa"/>
            <w:vMerge w:val="continue"/>
            <w:tcBorders>
              <w:left w:val="nil"/>
              <w:bottom w:val="single" w:color="auto" w:sz="8" w:space="0"/>
              <w:right w:val="nil"/>
            </w:tcBorders>
            <w:shd w:val="clear" w:color="auto" w:fill="D7D7D7" w:themeFill="background1" w:themeFillShade="D8"/>
            <w:noWrap/>
            <w:vAlign w:val="center"/>
          </w:tcPr>
          <w:p>
            <w:pPr>
              <w:jc w:val="center"/>
              <w:rPr>
                <w:rFonts w:hint="default" w:ascii="Times New Roman" w:hAnsi="Times New Roman" w:cs="Times New Roman"/>
                <w:i w:val="0"/>
                <w:iCs w:val="0"/>
                <w:color w:val="000000"/>
                <w:sz w:val="21"/>
                <w:szCs w:val="21"/>
                <w:u w:val="none"/>
              </w:rPr>
            </w:pPr>
          </w:p>
        </w:tc>
        <w:tc>
          <w:tcPr>
            <w:tcW w:w="0" w:type="auto"/>
            <w:tcBorders>
              <w:top w:val="single" w:color="auto" w:sz="4" w:space="0"/>
              <w:left w:val="nil"/>
              <w:bottom w:val="single" w:color="auto" w:sz="8" w:space="0"/>
              <w:right w:val="nil"/>
            </w:tcBorders>
            <w:shd w:val="clear" w:color="auto" w:fill="D7D7D7" w:themeFill="background1" w:themeFillShade="D8"/>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children</w:t>
            </w:r>
          </w:p>
        </w:tc>
        <w:tc>
          <w:tcPr>
            <w:tcW w:w="0" w:type="auto"/>
            <w:tcBorders>
              <w:top w:val="single" w:color="auto" w:sz="4" w:space="0"/>
              <w:left w:val="nil"/>
              <w:bottom w:val="single" w:color="auto" w:sz="8" w:space="0"/>
              <w:right w:val="nil"/>
            </w:tcBorders>
            <w:shd w:val="clear" w:color="auto" w:fill="D7D7D7" w:themeFill="background1" w:themeFillShade="D8"/>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adult</w:t>
            </w:r>
          </w:p>
        </w:tc>
        <w:tc>
          <w:tcPr>
            <w:tcW w:w="0" w:type="auto"/>
            <w:tcBorders>
              <w:top w:val="single" w:color="auto" w:sz="4" w:space="0"/>
              <w:left w:val="nil"/>
              <w:bottom w:val="single" w:color="auto" w:sz="8" w:space="0"/>
              <w:right w:val="nil"/>
            </w:tcBorders>
            <w:shd w:val="clear" w:color="auto" w:fill="D7D7D7" w:themeFill="background1" w:themeFillShade="D8"/>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children</w:t>
            </w:r>
          </w:p>
        </w:tc>
        <w:tc>
          <w:tcPr>
            <w:tcW w:w="0" w:type="auto"/>
            <w:tcBorders>
              <w:top w:val="single" w:color="auto" w:sz="4" w:space="0"/>
              <w:left w:val="nil"/>
              <w:bottom w:val="single" w:color="auto" w:sz="8" w:space="0"/>
              <w:right w:val="nil"/>
            </w:tcBorders>
            <w:shd w:val="clear" w:color="auto" w:fill="D7D7D7" w:themeFill="background1" w:themeFillShade="D8"/>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adult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098" w:type="dxa"/>
            <w:tcBorders>
              <w:top w:val="single" w:color="auto" w:sz="8" w:space="0"/>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Traffic</w:t>
            </w:r>
            <w:r>
              <w:rPr>
                <w:rFonts w:hint="eastAsia" w:ascii="Times New Roman" w:hAnsi="Times New Roman" w:eastAsia="宋体" w:cs="Times New Roman"/>
                <w:i w:val="0"/>
                <w:iCs w:val="0"/>
                <w:color w:val="000000"/>
                <w:kern w:val="0"/>
                <w:sz w:val="21"/>
                <w:szCs w:val="21"/>
                <w:u w:val="none"/>
                <w:lang w:val="en-US" w:eastAsia="zh-CN" w:bidi="ar"/>
              </w:rPr>
              <w:t xml:space="preserve"> and ship </w:t>
            </w:r>
            <w:r>
              <w:rPr>
                <w:rFonts w:hint="default" w:ascii="Times New Roman" w:hAnsi="Times New Roman" w:eastAsia="宋体" w:cs="Times New Roman"/>
                <w:i w:val="0"/>
                <w:iCs w:val="0"/>
                <w:color w:val="000000"/>
                <w:kern w:val="0"/>
                <w:sz w:val="21"/>
                <w:szCs w:val="21"/>
                <w:u w:val="none"/>
                <w:lang w:val="en-US" w:eastAsia="zh-CN" w:bidi="ar"/>
              </w:rPr>
              <w:t>emission</w:t>
            </w:r>
            <w:r>
              <w:rPr>
                <w:rFonts w:hint="eastAsia" w:ascii="Times New Roman" w:hAnsi="Times New Roman" w:eastAsia="宋体" w:cs="Times New Roman"/>
                <w:i w:val="0"/>
                <w:iCs w:val="0"/>
                <w:color w:val="000000"/>
                <w:kern w:val="0"/>
                <w:sz w:val="21"/>
                <w:szCs w:val="21"/>
                <w:u w:val="none"/>
                <w:lang w:val="en-US" w:eastAsia="zh-CN" w:bidi="ar"/>
              </w:rPr>
              <w:t>s</w:t>
            </w:r>
          </w:p>
        </w:tc>
        <w:tc>
          <w:tcPr>
            <w:tcW w:w="0" w:type="auto"/>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5.44E-0</w:t>
            </w:r>
            <w:r>
              <w:rPr>
                <w:rFonts w:hint="eastAsia" w:ascii="Times New Roman" w:hAnsi="Times New Roman" w:eastAsia="宋体" w:cs="Times New Roman"/>
                <w:i w:val="0"/>
                <w:iCs w:val="0"/>
                <w:color w:val="000000"/>
                <w:kern w:val="0"/>
                <w:sz w:val="21"/>
                <w:szCs w:val="21"/>
                <w:u w:val="none"/>
                <w:lang w:val="en-US" w:eastAsia="zh-CN" w:bidi="ar"/>
              </w:rPr>
              <w:t>3</w:t>
            </w:r>
          </w:p>
        </w:tc>
        <w:tc>
          <w:tcPr>
            <w:tcW w:w="0" w:type="auto"/>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4.59E-02</w:t>
            </w:r>
          </w:p>
        </w:tc>
        <w:tc>
          <w:tcPr>
            <w:tcW w:w="0" w:type="auto"/>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1.69E-08</w:t>
            </w:r>
          </w:p>
        </w:tc>
        <w:tc>
          <w:tcPr>
            <w:tcW w:w="0" w:type="auto"/>
            <w:tcBorders>
              <w:top w:val="single" w:color="auto" w:sz="8" w:space="0"/>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3.81E-08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098"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Industrial emission</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8.78E-0</w:t>
            </w:r>
            <w:r>
              <w:rPr>
                <w:rFonts w:hint="eastAsia"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7.40E-02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2.73E-08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6.15E-08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098" w:type="dxa"/>
            <w:tcBorders>
              <w:top w:val="nil"/>
              <w:left w:val="nil"/>
              <w:bottom w:val="nil"/>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Mixed source</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3.34E-0</w:t>
            </w:r>
            <w:r>
              <w:rPr>
                <w:rFonts w:hint="eastAsia" w:ascii="Times New Roman" w:hAnsi="Times New Roman" w:eastAsia="宋体" w:cs="Times New Roman"/>
                <w:i w:val="0"/>
                <w:iCs w:val="0"/>
                <w:color w:val="000000"/>
                <w:kern w:val="0"/>
                <w:sz w:val="21"/>
                <w:szCs w:val="21"/>
                <w:u w:val="none"/>
                <w:lang w:val="en-US" w:eastAsia="zh-CN" w:bidi="ar"/>
              </w:rPr>
              <w:t>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2.81E-02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1.04E-08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2.34E-08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2098" w:type="dxa"/>
            <w:tcBorders>
              <w:top w:val="nil"/>
              <w:left w:val="nil"/>
              <w:bottom w:val="single" w:color="auto" w:sz="8" w:space="0"/>
              <w:right w:val="nil"/>
            </w:tcBorders>
            <w:shd w:val="clear" w:color="auto" w:fill="D7D7D7" w:themeFill="background1" w:themeFillShade="D8"/>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Total</w:t>
            </w:r>
          </w:p>
        </w:tc>
        <w:tc>
          <w:tcPr>
            <w:tcW w:w="0" w:type="auto"/>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1.76E-0</w:t>
            </w:r>
            <w:r>
              <w:rPr>
                <w:rFonts w:hint="eastAsia" w:ascii="Times New Roman" w:hAnsi="Times New Roman" w:eastAsia="宋体" w:cs="Times New Roman"/>
                <w:i w:val="0"/>
                <w:iCs w:val="0"/>
                <w:color w:val="000000"/>
                <w:kern w:val="0"/>
                <w:sz w:val="21"/>
                <w:szCs w:val="21"/>
                <w:u w:val="none"/>
                <w:lang w:val="en-US" w:eastAsia="zh-CN" w:bidi="ar"/>
              </w:rPr>
              <w:t>2</w:t>
            </w:r>
          </w:p>
        </w:tc>
        <w:tc>
          <w:tcPr>
            <w:tcW w:w="0" w:type="auto"/>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1.48E-01</w:t>
            </w:r>
          </w:p>
        </w:tc>
        <w:tc>
          <w:tcPr>
            <w:tcW w:w="0" w:type="auto"/>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5.45E-08</w:t>
            </w:r>
          </w:p>
        </w:tc>
        <w:tc>
          <w:tcPr>
            <w:tcW w:w="0" w:type="auto"/>
            <w:tcBorders>
              <w:top w:val="nil"/>
              <w:left w:val="nil"/>
              <w:bottom w:val="single" w:color="auto"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1.23E-07</w:t>
            </w:r>
          </w:p>
        </w:tc>
      </w:tr>
    </w:tbl>
    <w:p>
      <w:pPr>
        <w:spacing w:line="360" w:lineRule="auto"/>
        <w:rPr>
          <w:rFonts w:ascii="Times New Roman" w:hAnsi="Times New Roman"/>
          <w:sz w:val="24"/>
          <w:highlight w:val="none"/>
        </w:rPr>
      </w:pPr>
    </w:p>
    <w:p>
      <w:pPr>
        <w:spacing w:line="360" w:lineRule="auto"/>
        <w:ind w:left="0" w:leftChars="0" w:firstLine="0" w:firstLineChars="0"/>
        <w:rPr>
          <w:rFonts w:hint="eastAsia" w:ascii="Times New Roman" w:hAnsi="Times New Roman" w:eastAsiaTheme="minorEastAsia"/>
          <w:sz w:val="24"/>
          <w:highlight w:val="none"/>
          <w:lang w:eastAsia="zh-CN"/>
        </w:rPr>
      </w:pPr>
      <w:r>
        <w:rPr>
          <w:rFonts w:hint="eastAsia" w:ascii="Times New Roman" w:hAnsi="Times New Roman" w:eastAsiaTheme="minorEastAsia"/>
          <w:sz w:val="24"/>
          <w:highlight w:val="none"/>
          <w:lang w:eastAsia="zh-CN"/>
        </w:rPr>
        <w:drawing>
          <wp:inline distT="0" distB="0" distL="114300" distR="114300">
            <wp:extent cx="4986020" cy="3507105"/>
            <wp:effectExtent l="0" t="0" r="5080" b="7620"/>
            <wp:docPr id="6" name="图片 6" descr="演示文稿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演示文稿1_02"/>
                    <pic:cNvPicPr>
                      <a:picLocks noChangeAspect="1"/>
                    </pic:cNvPicPr>
                  </pic:nvPicPr>
                  <pic:blipFill>
                    <a:blip r:embed="rId28"/>
                    <a:srcRect l="9863" r="10164"/>
                    <a:stretch>
                      <a:fillRect/>
                    </a:stretch>
                  </pic:blipFill>
                  <pic:spPr>
                    <a:xfrm>
                      <a:off x="0" y="0"/>
                      <a:ext cx="4986020" cy="3507105"/>
                    </a:xfrm>
                    <a:prstGeom prst="rect">
                      <a:avLst/>
                    </a:prstGeom>
                  </pic:spPr>
                </pic:pic>
              </a:graphicData>
            </a:graphic>
          </wp:inline>
        </w:drawing>
      </w:r>
    </w:p>
    <w:p>
      <w:pPr>
        <w:spacing w:line="360" w:lineRule="auto"/>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Fig. S1 Factor profiles and source contributions of toxic elements from the PMF model.</w:t>
      </w:r>
    </w:p>
    <w:p>
      <w:pPr>
        <w:spacing w:line="360" w:lineRule="auto"/>
        <w:jc w:val="center"/>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drawing>
          <wp:inline distT="0" distB="0" distL="114300" distR="114300">
            <wp:extent cx="3816350" cy="4059555"/>
            <wp:effectExtent l="0" t="0" r="3175" b="7620"/>
            <wp:docPr id="1" name="图片 1" descr="江门路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江门路网"/>
                    <pic:cNvPicPr>
                      <a:picLocks noChangeAspect="1"/>
                    </pic:cNvPicPr>
                  </pic:nvPicPr>
                  <pic:blipFill>
                    <a:blip r:embed="rId29"/>
                    <a:stretch>
                      <a:fillRect/>
                    </a:stretch>
                  </pic:blipFill>
                  <pic:spPr>
                    <a:xfrm>
                      <a:off x="0" y="0"/>
                      <a:ext cx="3816350" cy="4059555"/>
                    </a:xfrm>
                    <a:prstGeom prst="rect">
                      <a:avLst/>
                    </a:prstGeom>
                  </pic:spPr>
                </pic:pic>
              </a:graphicData>
            </a:graphic>
          </wp:inline>
        </w:drawing>
      </w:r>
      <w:r>
        <w:rPr>
          <w:rFonts w:hint="default" w:ascii="Times New Roman" w:hAnsi="Times New Roman"/>
          <w:sz w:val="24"/>
          <w:highlight w:val="none"/>
          <w:lang w:val="en-US" w:eastAsia="zh-CN"/>
        </w:rPr>
        <w:drawing>
          <wp:inline distT="0" distB="0" distL="114300" distR="114300">
            <wp:extent cx="3620135" cy="3810000"/>
            <wp:effectExtent l="0" t="0" r="8890" b="0"/>
            <wp:docPr id="3" name="图片 3" descr="企业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企业分布"/>
                    <pic:cNvPicPr>
                      <a:picLocks noChangeAspect="1"/>
                    </pic:cNvPicPr>
                  </pic:nvPicPr>
                  <pic:blipFill>
                    <a:blip r:embed="rId30"/>
                    <a:stretch>
                      <a:fillRect/>
                    </a:stretch>
                  </pic:blipFill>
                  <pic:spPr>
                    <a:xfrm>
                      <a:off x="0" y="0"/>
                      <a:ext cx="3620135" cy="3810000"/>
                    </a:xfrm>
                    <a:prstGeom prst="rect">
                      <a:avLst/>
                    </a:prstGeom>
                  </pic:spPr>
                </pic:pic>
              </a:graphicData>
            </a:graphic>
          </wp:inline>
        </w:drawing>
      </w:r>
    </w:p>
    <w:p>
      <w:pPr>
        <w:spacing w:line="360" w:lineRule="auto"/>
        <w:jc w:val="center"/>
        <w:rPr>
          <w:rFonts w:hint="eastAsia" w:ascii="Times New Roman" w:hAnsi="Times New Roman"/>
          <w:sz w:val="24"/>
          <w:highlight w:val="none"/>
          <w:lang w:val="en-US" w:eastAsia="zh-CN"/>
        </w:rPr>
      </w:pPr>
      <w:bookmarkStart w:id="2" w:name="_Hlk13171193"/>
      <w:r>
        <w:rPr>
          <w:rFonts w:hint="eastAsia" w:ascii="Times New Roman" w:hAnsi="Times New Roman"/>
          <w:sz w:val="24"/>
          <w:highlight w:val="none"/>
          <w:lang w:val="en-US" w:eastAsia="zh-CN"/>
        </w:rPr>
        <w:t>Fig. S2 Spatial distribution of roads, factories and sampling sites in Jiangmen city.</w:t>
      </w:r>
      <w:bookmarkEnd w:id="2"/>
    </w:p>
    <w:p>
      <w:pPr>
        <w:spacing w:line="360" w:lineRule="auto"/>
        <w:jc w:val="center"/>
        <w:rPr>
          <w:rFonts w:hint="default" w:ascii="Times New Roman" w:hAnsi="Times New Roman"/>
          <w:sz w:val="24"/>
          <w:highlight w:val="none"/>
          <w:lang w:val="en-US" w:eastAsia="zh-CN"/>
        </w:rPr>
      </w:pPr>
    </w:p>
    <w:p>
      <w:pPr>
        <w:spacing w:line="360" w:lineRule="auto"/>
        <w:rPr>
          <w:rFonts w:hint="default" w:ascii="Times New Roman" w:hAnsi="Times New Roman" w:eastAsiaTheme="minorEastAsia"/>
          <w:b/>
          <w:bCs/>
          <w:sz w:val="24"/>
          <w:highlight w:val="none"/>
          <w:lang w:val="en-US" w:eastAsia="zh-CN"/>
        </w:rPr>
      </w:pPr>
      <w:r>
        <w:rPr>
          <w:rFonts w:hint="eastAsia" w:ascii="Times New Roman" w:hAnsi="Times New Roman"/>
          <w:b/>
          <w:bCs/>
          <w:sz w:val="24"/>
          <w:highlight w:val="none"/>
          <w:lang w:val="en-US" w:eastAsia="zh-CN"/>
        </w:rPr>
        <w:t>Reference</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Chen J W, Wang S L, Hsieh D, et al.</w:t>
      </w:r>
      <w:r>
        <w:rPr>
          <w:rFonts w:hint="eastAsia" w:ascii="Times New Roman" w:hAnsi="Times New Roman"/>
          <w:sz w:val="24"/>
          <w:highlight w:val="none"/>
          <w:lang w:val="en-US" w:eastAsia="zh-CN"/>
        </w:rPr>
        <w:t>, 2012.</w:t>
      </w:r>
      <w:r>
        <w:rPr>
          <w:rFonts w:hint="default" w:ascii="Times New Roman" w:hAnsi="Times New Roman"/>
          <w:sz w:val="24"/>
          <w:highlight w:val="none"/>
          <w:lang w:val="en-US" w:eastAsia="zh-CN"/>
        </w:rPr>
        <w:t xml:space="preserve"> Carcinogenic potencies of polycyclic aromatic hydrocarbons for back-door neighbors of restaurants with cooking emissions. Sci. Total Environ. 417: 68-75. </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China National Environmental Monitoring Centre. Background Value of Soil Elements in China. Beijing: China Environmental Science Press, 1990.</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Hothorn, T., Hornik, K., Zeileis, A., 2006. Unbiased recursive partitioning: A conditional inference framework. J. Comput. J</w:t>
      </w:r>
      <w:r>
        <w:rPr>
          <w:rFonts w:hint="eastAsia" w:ascii="Times New Roman" w:hAnsi="Times New Roman"/>
          <w:sz w:val="24"/>
          <w:highlight w:val="none"/>
          <w:lang w:val="en-US" w:eastAsia="zh-CN"/>
        </w:rPr>
        <w:t>. Comput. Craph. Stat</w:t>
      </w:r>
      <w:r>
        <w:rPr>
          <w:rFonts w:hint="default" w:ascii="Times New Roman" w:hAnsi="Times New Roman"/>
          <w:sz w:val="24"/>
          <w:highlight w:val="none"/>
          <w:lang w:val="en-US" w:eastAsia="zh-CN"/>
        </w:rPr>
        <w:t>. 15</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 xml:space="preserve"> 651</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674.</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Liu Q Y, Zhao W H, Ma J, 2022. Spatial clustering and source-specific risk of combined pollutants in soils from an industrial area in Shanxi Province, China. Environ. Pollut. 299: 118925.</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ascii="Times New Roman" w:hAnsi="Times New Roman"/>
          <w:sz w:val="24"/>
          <w:highlight w:val="none"/>
        </w:rPr>
      </w:pPr>
      <w:r>
        <w:rPr>
          <w:rFonts w:ascii="Times New Roman" w:hAnsi="Times New Roman"/>
          <w:sz w:val="24"/>
          <w:highlight w:val="none"/>
        </w:rPr>
        <w:t>MEP (Ministry of Environmental Protection of China), 2014. Technical Guidelines for Risk Assessment of Contaminated Sites. HJ 25.3-2014. Ministry of Environ- mental Protection of China (in Chinese).</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 xml:space="preserve">Shi, G.T., Chen, Z.L., Bi, C.J., Wang, L., </w:t>
      </w:r>
      <w:r>
        <w:rPr>
          <w:rFonts w:hint="eastAsia" w:ascii="Times New Roman" w:hAnsi="Times New Roman"/>
          <w:sz w:val="24"/>
          <w:highlight w:val="none"/>
          <w:lang w:val="en-US" w:eastAsia="zh-CN"/>
        </w:rPr>
        <w:t>et al.,</w:t>
      </w:r>
      <w:r>
        <w:rPr>
          <w:rFonts w:hint="default" w:ascii="Times New Roman" w:hAnsi="Times New Roman"/>
          <w:sz w:val="24"/>
          <w:highlight w:val="none"/>
          <w:lang w:val="en-US" w:eastAsia="zh-CN"/>
        </w:rPr>
        <w:t xml:space="preserve"> 2011. A comparative study of health risk of potentially toxic metals in urban and suburban road dust in the most populated city of China. Atmos. Environ. 45, 764</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771.</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 xml:space="preserve">Strobl, C., et al., 2007. Bias in random forest variable importance measures: illustrations, sources and a solution. BMC Bioinformatics. 8. </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US DOE (United States Department of Energy), 2011. In: The Risk Assessment Information System (RAIS). U. U.S Department of Energy’s Oak Ridge Operations Office (ORO).</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Wang, Q., et al., 2016. Identification and apportionment of the drivers of land use change on a regional scale: Unbiased recursive partitioning-based stochastic model application. Agr</w:t>
      </w:r>
      <w:r>
        <w:rPr>
          <w:rFonts w:hint="eastAsia" w:ascii="Times New Roman" w:hAnsi="Times New Roman"/>
          <w:sz w:val="24"/>
          <w:highlight w:val="none"/>
          <w:lang w:val="en-US" w:eastAsia="zh-CN"/>
        </w:rPr>
        <w:t>. Ecosyst. Environ</w:t>
      </w:r>
      <w:r>
        <w:rPr>
          <w:rFonts w:hint="default" w:ascii="Times New Roman" w:hAnsi="Times New Roman"/>
          <w:sz w:val="24"/>
          <w:highlight w:val="none"/>
          <w:lang w:val="en-US" w:eastAsia="zh-CN"/>
        </w:rPr>
        <w:t>. 217</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 xml:space="preserve"> 99</w:t>
      </w:r>
      <w:r>
        <w:rPr>
          <w:rFonts w:hint="eastAsia" w:ascii="Times New Roman" w:hAnsi="Times New Roman"/>
          <w:sz w:val="24"/>
          <w:highlight w:val="none"/>
          <w:lang w:val="en-US" w:eastAsia="zh-CN"/>
        </w:rPr>
        <w:t>-</w:t>
      </w:r>
      <w:r>
        <w:rPr>
          <w:rFonts w:hint="default" w:ascii="Times New Roman" w:hAnsi="Times New Roman"/>
          <w:sz w:val="24"/>
          <w:highlight w:val="none"/>
          <w:lang w:val="en-US" w:eastAsia="zh-CN"/>
        </w:rPr>
        <w:t xml:space="preserve">110. </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Wu H W, Liu Q Y, Ma J, et al., 2020. Heavy Metal(loids) in typical Chinese tobacco-growing soils: Concentrations, influence factors and potential health risks. Chemosphere. 245: 125591.</w:t>
      </w:r>
    </w:p>
    <w:p>
      <w:pPr>
        <w:keepNext w:val="0"/>
        <w:keepLines w:val="0"/>
        <w:pageBreakBefore w:val="0"/>
        <w:widowControl w:val="0"/>
        <w:kinsoku/>
        <w:wordWrap/>
        <w:overflowPunct/>
        <w:topLinePunct w:val="0"/>
        <w:autoSpaceDE/>
        <w:autoSpaceDN/>
        <w:bidi w:val="0"/>
        <w:adjustRightInd/>
        <w:snapToGrid/>
        <w:spacing w:line="360" w:lineRule="auto"/>
        <w:ind w:left="480" w:hanging="480" w:hangingChars="200"/>
        <w:textAlignment w:val="auto"/>
        <w:rPr>
          <w:rFonts w:hint="default" w:ascii="Times New Roman" w:hAnsi="Times New Roman"/>
          <w:sz w:val="24"/>
          <w:highlight w:val="none"/>
          <w:lang w:val="en-US" w:eastAsia="zh-CN"/>
        </w:rPr>
      </w:pPr>
      <w:r>
        <w:rPr>
          <w:rFonts w:hint="default" w:ascii="Times New Roman" w:hAnsi="Times New Roman"/>
          <w:sz w:val="24"/>
          <w:highlight w:val="none"/>
          <w:lang w:val="en-US" w:eastAsia="zh-CN"/>
        </w:rPr>
        <w:t>Yang W, Lang Y, Li G</w:t>
      </w:r>
      <w:r>
        <w:rPr>
          <w:rFonts w:hint="eastAsia" w:ascii="Times New Roman" w:hAnsi="Times New Roman"/>
          <w:sz w:val="24"/>
          <w:highlight w:val="none"/>
          <w:lang w:val="en-US" w:eastAsia="zh-CN"/>
        </w:rPr>
        <w:t>, 2014.</w:t>
      </w:r>
      <w:r>
        <w:rPr>
          <w:rFonts w:hint="default" w:ascii="Times New Roman" w:hAnsi="Times New Roman"/>
          <w:sz w:val="24"/>
          <w:highlight w:val="none"/>
          <w:lang w:val="en-US" w:eastAsia="zh-CN"/>
        </w:rPr>
        <w:t xml:space="preserve"> Cancer risk of polycyclic aromatic hydrocarbons (PAHs) in the soils from Jiaozhou Bay wetland. Chemosphere</w:t>
      </w:r>
      <w:r>
        <w:rPr>
          <w:rFonts w:hint="eastAsia" w:ascii="Times New Roman" w:hAnsi="Times New Roman"/>
          <w:sz w:val="24"/>
          <w:highlight w:val="none"/>
          <w:lang w:val="en-US" w:eastAsia="zh-CN"/>
        </w:rPr>
        <w:t xml:space="preserve">. </w:t>
      </w:r>
      <w:r>
        <w:rPr>
          <w:rFonts w:hint="default" w:ascii="Times New Roman" w:hAnsi="Times New Roman"/>
          <w:sz w:val="24"/>
          <w:highlight w:val="none"/>
          <w:lang w:val="en-US" w:eastAsia="zh-CN"/>
        </w:rPr>
        <w:t xml:space="preserve">112: 289-295.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
    <w:altName w:val="Times New Roman"/>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0Mzc0NmIzN2MwOGI3OGVjMjhlNzQ5MjM5YjU5MzYifQ=="/>
  </w:docVars>
  <w:rsids>
    <w:rsidRoot w:val="00000000"/>
    <w:rsid w:val="014A102B"/>
    <w:rsid w:val="073B0028"/>
    <w:rsid w:val="09644C54"/>
    <w:rsid w:val="0D171B67"/>
    <w:rsid w:val="0E6E1608"/>
    <w:rsid w:val="0F0547E3"/>
    <w:rsid w:val="0F7556F1"/>
    <w:rsid w:val="163634D4"/>
    <w:rsid w:val="193975E7"/>
    <w:rsid w:val="1AE80F5D"/>
    <w:rsid w:val="1E005185"/>
    <w:rsid w:val="1E407429"/>
    <w:rsid w:val="359F2181"/>
    <w:rsid w:val="40101EEB"/>
    <w:rsid w:val="47A7379B"/>
    <w:rsid w:val="496F29A9"/>
    <w:rsid w:val="497F4108"/>
    <w:rsid w:val="59C64145"/>
    <w:rsid w:val="61B168CD"/>
    <w:rsid w:val="71EC5676"/>
    <w:rsid w:val="75874D3A"/>
    <w:rsid w:val="78A26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Arial" w:hAnsi="Arial" w:eastAsia="Arial" w:cs="Arial"/>
      <w:sz w:val="20"/>
      <w:szCs w:val="20"/>
    </w:r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qFormat/>
    <w:uiPriority w:val="0"/>
    <w:rPr>
      <w:rFonts w:hint="default" w:ascii="Times New Roman" w:hAnsi="Times New Roman" w:cs="Times New Roman"/>
      <w:color w:val="000000"/>
      <w:sz w:val="22"/>
      <w:szCs w:val="22"/>
      <w:u w:val="none"/>
      <w:vertAlign w:val="subscript"/>
    </w:rPr>
  </w:style>
  <w:style w:type="character" w:customStyle="1" w:styleId="8">
    <w:name w:val="font21"/>
    <w:basedOn w:val="6"/>
    <w:qFormat/>
    <w:uiPriority w:val="0"/>
    <w:rPr>
      <w:rFonts w:hint="default" w:ascii="Times New Roman" w:hAnsi="Times New Roman" w:cs="Times New Roman"/>
      <w:color w:val="007FAC"/>
      <w:sz w:val="22"/>
      <w:szCs w:val="22"/>
      <w:u w:val="none"/>
    </w:rPr>
  </w:style>
  <w:style w:type="paragraph" w:styleId="9">
    <w:name w:val="No Spacing"/>
    <w:qFormat/>
    <w:uiPriority w:val="1"/>
    <w:pPr>
      <w:widowControl w:val="0"/>
      <w:jc w:val="both"/>
    </w:pPr>
    <w:rPr>
      <w:rFonts w:ascii="Times New Roman" w:hAnsi="Times New Roman" w:eastAsia="宋体" w:cstheme="minorBidi"/>
      <w:kern w:val="2"/>
      <w:sz w:val="21"/>
      <w:szCs w:val="22"/>
      <w:lang w:val="en-US" w:eastAsia="zh-CN" w:bidi="ar-SA"/>
    </w:rPr>
  </w:style>
  <w:style w:type="character" w:customStyle="1" w:styleId="10">
    <w:name w:val="font11"/>
    <w:basedOn w:val="6"/>
    <w:qFormat/>
    <w:uiPriority w:val="0"/>
    <w:rPr>
      <w:rFonts w:hint="default" w:ascii="Times New Roman" w:hAnsi="Times New Roman" w:cs="Times New Roman"/>
      <w:color w:val="000000"/>
      <w:sz w:val="22"/>
      <w:szCs w:val="22"/>
      <w:u w:val="none"/>
    </w:rPr>
  </w:style>
  <w:style w:type="character" w:customStyle="1" w:styleId="11">
    <w:name w:val="font61"/>
    <w:qFormat/>
    <w:uiPriority w:val="0"/>
    <w:rPr>
      <w:rFonts w:hint="default" w:ascii="Times New Roman" w:hAnsi="Times New Roman" w:cs="Times New Roman"/>
      <w:color w:val="000000"/>
      <w:sz w:val="22"/>
      <w:szCs w:val="22"/>
      <w:u w:val="none"/>
    </w:rPr>
  </w:style>
  <w:style w:type="character" w:customStyle="1" w:styleId="12">
    <w:name w:val="font71"/>
    <w:qFormat/>
    <w:uiPriority w:val="0"/>
    <w:rPr>
      <w:rFonts w:hint="default" w:ascii="Times New Roman" w:hAnsi="Times New Roman" w:cs="Times New Roman"/>
      <w:color w:val="2F75B5"/>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1" Type="http://schemas.openxmlformats.org/officeDocument/2006/relationships/fontTable" Target="fontTable.xml"/><Relationship Id="rId30" Type="http://schemas.openxmlformats.org/officeDocument/2006/relationships/image" Target="media/image15.png"/><Relationship Id="rId3" Type="http://schemas.openxmlformats.org/officeDocument/2006/relationships/theme" Target="theme/theme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1378</Words>
  <Characters>7601</Characters>
  <Lines>0</Lines>
  <Paragraphs>0</Paragraphs>
  <TotalTime>1</TotalTime>
  <ScaleCrop>false</ScaleCrop>
  <LinksUpToDate>false</LinksUpToDate>
  <CharactersWithSpaces>8589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2022-12-22T09:07:00Z</dcterms:created>
  <dc:creator>Qiyuan</dc:creator>
  <cp:lastModifiedBy>奇缘</cp:lastModifiedBy>
  <dcterms:modified xsi:type="dcterms:W3CDTF">2023-04-12T07:35:51Z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A7A0D62D36BF403883E4B04DF812FD44</vt:lpwstr>
  </property>
</Properties>
</file>