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F50BD" w14:textId="77777777" w:rsidR="00307D7A" w:rsidRPr="00A0417C" w:rsidRDefault="00307D7A" w:rsidP="00307D7A">
      <w:pPr>
        <w:spacing w:after="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CpG methylation changes associated with hyperglycemia in type 1 </w:t>
      </w:r>
      <w:r w:rsidRPr="00A0417C">
        <w:rPr>
          <w:rFonts w:ascii="Arial" w:hAnsi="Arial" w:cs="Arial"/>
          <w:b/>
          <w:bCs/>
        </w:rPr>
        <w:t xml:space="preserve">diabetes </w:t>
      </w:r>
      <w:r>
        <w:rPr>
          <w:rFonts w:ascii="Arial" w:hAnsi="Arial" w:cs="Arial"/>
          <w:b/>
          <w:bCs/>
        </w:rPr>
        <w:t xml:space="preserve">occur </w:t>
      </w:r>
      <w:r w:rsidRPr="00A0417C">
        <w:rPr>
          <w:rFonts w:ascii="Arial" w:hAnsi="Arial" w:cs="Arial"/>
          <w:b/>
          <w:bCs/>
        </w:rPr>
        <w:t>at angiogenic</w:t>
      </w:r>
      <w:r>
        <w:rPr>
          <w:rFonts w:ascii="Arial" w:hAnsi="Arial" w:cs="Arial"/>
          <w:b/>
          <w:bCs/>
        </w:rPr>
        <w:t xml:space="preserve"> </w:t>
      </w:r>
      <w:r w:rsidRPr="00A0417C">
        <w:rPr>
          <w:rFonts w:ascii="Arial" w:hAnsi="Arial" w:cs="Arial"/>
          <w:b/>
          <w:bCs/>
        </w:rPr>
        <w:t>glomerular and retinal gene loci</w:t>
      </w:r>
      <w:r>
        <w:rPr>
          <w:rFonts w:ascii="Arial" w:hAnsi="Arial" w:cs="Arial"/>
          <w:b/>
          <w:bCs/>
        </w:rPr>
        <w:t>.</w:t>
      </w:r>
    </w:p>
    <w:p w14:paraId="16A94259" w14:textId="77777777" w:rsidR="00307D7A" w:rsidRDefault="00307D7A" w:rsidP="00307D7A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76630215" w14:textId="77777777" w:rsidR="00307D7A" w:rsidRPr="00022613" w:rsidRDefault="00307D7A" w:rsidP="00307D7A">
      <w:pPr>
        <w:spacing w:after="0" w:line="360" w:lineRule="auto"/>
        <w:jc w:val="both"/>
        <w:rPr>
          <w:rFonts w:ascii="Arial" w:hAnsi="Arial" w:cs="Arial"/>
          <w:b/>
          <w:bCs/>
          <w:lang w:val="fr-FR"/>
        </w:rPr>
      </w:pPr>
      <w:r w:rsidRPr="00022613">
        <w:rPr>
          <w:rFonts w:ascii="Arial" w:hAnsi="Arial" w:cs="Arial"/>
          <w:b/>
          <w:bCs/>
          <w:lang w:val="fr-FR"/>
        </w:rPr>
        <w:t>Xiaojian Shao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1,2</w:t>
      </w:r>
      <w:r w:rsidRPr="00022613">
        <w:rPr>
          <w:rFonts w:ascii="Arial" w:hAnsi="Arial" w:cs="Arial"/>
          <w:b/>
          <w:bCs/>
          <w:lang w:val="fr-FR"/>
        </w:rPr>
        <w:t xml:space="preserve">, </w:t>
      </w:r>
      <w:bookmarkStart w:id="0" w:name="_Hlk147504292"/>
      <w:r w:rsidRPr="00022613">
        <w:rPr>
          <w:rFonts w:ascii="Arial" w:hAnsi="Arial" w:cs="Arial"/>
          <w:b/>
          <w:bCs/>
          <w:lang w:val="fr-FR"/>
        </w:rPr>
        <w:t>Sophie Le Fur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3</w:t>
      </w:r>
      <w:bookmarkEnd w:id="0"/>
      <w:r w:rsidRPr="00022613">
        <w:rPr>
          <w:rFonts w:ascii="Arial" w:hAnsi="Arial" w:cs="Arial"/>
          <w:b/>
          <w:bCs/>
          <w:lang w:val="fr-FR"/>
        </w:rPr>
        <w:t>, Warren Cheung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4</w:t>
      </w:r>
      <w:r w:rsidRPr="00022613">
        <w:rPr>
          <w:rFonts w:ascii="Arial" w:hAnsi="Arial" w:cs="Arial"/>
          <w:b/>
          <w:bCs/>
          <w:lang w:val="fr-FR"/>
        </w:rPr>
        <w:t xml:space="preserve">, </w:t>
      </w:r>
      <w:bookmarkStart w:id="1" w:name="_Hlk147504260"/>
      <w:r w:rsidRPr="00022613">
        <w:rPr>
          <w:rFonts w:ascii="Arial" w:hAnsi="Arial" w:cs="Arial"/>
          <w:b/>
          <w:bCs/>
          <w:lang w:val="fr-FR"/>
        </w:rPr>
        <w:t>Marie-Pierre Belot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3</w:t>
      </w:r>
      <w:r w:rsidRPr="00022613">
        <w:rPr>
          <w:rFonts w:ascii="Arial" w:hAnsi="Arial" w:cs="Arial"/>
          <w:b/>
          <w:bCs/>
          <w:lang w:val="fr-FR"/>
        </w:rPr>
        <w:t>, Kevin Perge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5</w:t>
      </w:r>
      <w:r w:rsidRPr="00022613">
        <w:rPr>
          <w:rFonts w:ascii="Arial" w:hAnsi="Arial" w:cs="Arial"/>
          <w:b/>
          <w:bCs/>
          <w:lang w:val="fr-FR"/>
        </w:rPr>
        <w:t>, Natacha Bouhours-Nouet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6</w:t>
      </w:r>
      <w:r w:rsidRPr="00022613">
        <w:rPr>
          <w:rFonts w:ascii="Arial" w:hAnsi="Arial" w:cs="Arial"/>
          <w:b/>
          <w:bCs/>
          <w:lang w:val="fr-FR"/>
        </w:rPr>
        <w:t>, Candace Bensignor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7</w:t>
      </w:r>
      <w:r w:rsidRPr="00022613">
        <w:rPr>
          <w:rFonts w:ascii="Arial" w:hAnsi="Arial" w:cs="Arial"/>
          <w:b/>
          <w:bCs/>
          <w:lang w:val="fr-FR"/>
        </w:rPr>
        <w:t>, Lucie Levaillant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6</w:t>
      </w:r>
      <w:bookmarkEnd w:id="1"/>
      <w:r w:rsidRPr="00022613">
        <w:rPr>
          <w:rFonts w:ascii="Arial" w:hAnsi="Arial" w:cs="Arial"/>
          <w:b/>
          <w:bCs/>
          <w:lang w:val="fr-FR"/>
        </w:rPr>
        <w:t xml:space="preserve">, </w:t>
      </w:r>
      <w:r>
        <w:rPr>
          <w:rFonts w:ascii="Arial" w:hAnsi="Arial" w:cs="Arial"/>
          <w:b/>
          <w:bCs/>
          <w:lang w:val="fr-FR"/>
        </w:rPr>
        <w:t>Bing Ge</w:t>
      </w:r>
      <w:r w:rsidRPr="00FA6E1E">
        <w:rPr>
          <w:rFonts w:ascii="Arial" w:hAnsi="Arial" w:cs="Arial"/>
          <w:b/>
          <w:bCs/>
          <w:vertAlign w:val="superscript"/>
          <w:lang w:val="fr-FR"/>
        </w:rPr>
        <w:t>8</w:t>
      </w:r>
      <w:r>
        <w:rPr>
          <w:rFonts w:ascii="Arial" w:hAnsi="Arial" w:cs="Arial"/>
          <w:b/>
          <w:bCs/>
          <w:lang w:val="fr-FR"/>
        </w:rPr>
        <w:t xml:space="preserve">, </w:t>
      </w:r>
      <w:r w:rsidRPr="00022613">
        <w:rPr>
          <w:rFonts w:ascii="Arial" w:hAnsi="Arial" w:cs="Arial"/>
          <w:b/>
          <w:bCs/>
          <w:lang w:val="fr-FR"/>
        </w:rPr>
        <w:t>Tony Kwan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8</w:t>
      </w:r>
      <w:r w:rsidRPr="00022613">
        <w:rPr>
          <w:rFonts w:ascii="Arial" w:hAnsi="Arial" w:cs="Arial"/>
          <w:b/>
          <w:bCs/>
          <w:lang w:val="fr-FR"/>
        </w:rPr>
        <w:t>, Mark Lathrop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8</w:t>
      </w:r>
      <w:r w:rsidRPr="00022613">
        <w:rPr>
          <w:rFonts w:ascii="Arial" w:hAnsi="Arial" w:cs="Arial"/>
          <w:b/>
          <w:bCs/>
          <w:lang w:val="fr-FR"/>
        </w:rPr>
        <w:t>, Tomi Pastinen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4</w:t>
      </w:r>
      <w:r w:rsidRPr="00022613">
        <w:rPr>
          <w:rFonts w:ascii="Arial" w:hAnsi="Arial" w:cs="Arial"/>
          <w:b/>
          <w:bCs/>
          <w:lang w:val="fr-FR"/>
        </w:rPr>
        <w:t>, Pierre Bougnères</w:t>
      </w:r>
      <w:r w:rsidRPr="00022613">
        <w:rPr>
          <w:rFonts w:ascii="Arial" w:hAnsi="Arial" w:cs="Arial"/>
          <w:b/>
          <w:bCs/>
          <w:vertAlign w:val="superscript"/>
          <w:lang w:val="fr-FR"/>
        </w:rPr>
        <w:t>3</w:t>
      </w:r>
    </w:p>
    <w:p w14:paraId="4F53D0D8" w14:textId="77777777" w:rsidR="00307D7A" w:rsidRPr="00022613" w:rsidRDefault="00307D7A" w:rsidP="00307D7A">
      <w:pPr>
        <w:spacing w:after="0" w:line="360" w:lineRule="auto"/>
        <w:jc w:val="both"/>
        <w:rPr>
          <w:rFonts w:ascii="Arial" w:hAnsi="Arial" w:cs="Arial"/>
          <w:b/>
          <w:lang w:val="fr-FR"/>
        </w:rPr>
      </w:pPr>
    </w:p>
    <w:p w14:paraId="5D7FD9FD" w14:textId="77777777" w:rsidR="00307D7A" w:rsidRPr="00A0417C" w:rsidRDefault="00307D7A" w:rsidP="00307D7A">
      <w:pPr>
        <w:spacing w:after="0" w:line="360" w:lineRule="auto"/>
        <w:jc w:val="both"/>
        <w:rPr>
          <w:rFonts w:ascii="Arial" w:hAnsi="Arial" w:cs="Arial"/>
          <w:b/>
        </w:rPr>
      </w:pPr>
      <w:r w:rsidRPr="00A0417C">
        <w:rPr>
          <w:rFonts w:ascii="Arial" w:hAnsi="Arial" w:cs="Arial"/>
          <w:b/>
        </w:rPr>
        <w:t>Affiliations</w:t>
      </w:r>
    </w:p>
    <w:p w14:paraId="0CDAB1DB" w14:textId="77777777" w:rsidR="00307D7A" w:rsidRPr="00A0417C" w:rsidRDefault="00307D7A" w:rsidP="00307D7A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A0417C">
        <w:rPr>
          <w:rFonts w:ascii="Arial" w:hAnsi="Arial" w:cs="Arial"/>
          <w:lang w:val="en-US"/>
        </w:rPr>
        <w:t xml:space="preserve">1 Digital Technologies Research Center, National Research Council Canada, Ottawa, ON, Canada, K1A 0R6 </w:t>
      </w:r>
    </w:p>
    <w:p w14:paraId="3CE5C419" w14:textId="77777777" w:rsidR="00307D7A" w:rsidRPr="00A0417C" w:rsidRDefault="00307D7A" w:rsidP="00307D7A">
      <w:pPr>
        <w:spacing w:after="0" w:line="360" w:lineRule="auto"/>
        <w:jc w:val="both"/>
        <w:rPr>
          <w:rFonts w:ascii="Arial" w:hAnsi="Arial" w:cs="Arial"/>
        </w:rPr>
      </w:pPr>
      <w:r w:rsidRPr="00A0417C">
        <w:rPr>
          <w:rFonts w:ascii="Arial" w:hAnsi="Arial" w:cs="Arial"/>
          <w:lang w:val="en-US"/>
        </w:rPr>
        <w:t>2 Department of Biochemistry, Microbiology and Immunology, University of Ottawa, Ottawa, ON, Canada, K1H 8M5</w:t>
      </w:r>
    </w:p>
    <w:p w14:paraId="55A0CCFF" w14:textId="77777777" w:rsidR="00307D7A" w:rsidRDefault="00307D7A" w:rsidP="00307D7A">
      <w:pPr>
        <w:spacing w:after="0" w:line="360" w:lineRule="auto"/>
        <w:jc w:val="both"/>
        <w:rPr>
          <w:rFonts w:ascii="Arial" w:hAnsi="Arial" w:cs="Arial"/>
          <w:lang w:val="fr-CA"/>
        </w:rPr>
      </w:pPr>
      <w:r w:rsidRPr="00A0417C">
        <w:rPr>
          <w:rFonts w:ascii="Arial" w:hAnsi="Arial" w:cs="Arial"/>
          <w:lang w:val="fr-CA"/>
        </w:rPr>
        <w:t>3 Groupe d’Études Diabète-Obésité-Croissance, Hôpital Bicêtre, 94276 Le Kremlin</w:t>
      </w:r>
      <w:r>
        <w:rPr>
          <w:rFonts w:ascii="Arial" w:hAnsi="Arial" w:cs="Arial"/>
          <w:lang w:val="fr-CA"/>
        </w:rPr>
        <w:t xml:space="preserve">-Bicêtre, </w:t>
      </w:r>
    </w:p>
    <w:p w14:paraId="14E52B48" w14:textId="77777777" w:rsidR="00307D7A" w:rsidRPr="00A0417C" w:rsidRDefault="00307D7A" w:rsidP="00307D7A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A0417C">
        <w:rPr>
          <w:rFonts w:ascii="Arial" w:hAnsi="Arial" w:cs="Arial"/>
          <w:lang w:val="en-US"/>
        </w:rPr>
        <w:t>4 Genomic Medicine Center, Children’s Mercy - Kansas City and Children’s Mercy Research Institute, Kansas City, MO 64108</w:t>
      </w:r>
    </w:p>
    <w:p w14:paraId="36BA1810" w14:textId="77777777" w:rsidR="00307D7A" w:rsidRDefault="00307D7A" w:rsidP="00307D7A">
      <w:pPr>
        <w:spacing w:after="0" w:line="360" w:lineRule="auto"/>
        <w:jc w:val="both"/>
        <w:rPr>
          <w:rFonts w:ascii="Arial" w:hAnsi="Arial" w:cs="Arial"/>
          <w:lang w:val="fr-CA"/>
        </w:rPr>
      </w:pPr>
      <w:r w:rsidRPr="00A0417C">
        <w:rPr>
          <w:rFonts w:ascii="Arial" w:hAnsi="Arial" w:cs="Arial"/>
          <w:lang w:val="fr-CA"/>
        </w:rPr>
        <w:t>5 Endocrinologie Pédiatrique, Hôpital Mère Enfant, Lyon, 69677 Bron</w:t>
      </w:r>
    </w:p>
    <w:p w14:paraId="1C39EC6A" w14:textId="77777777" w:rsidR="00307D7A" w:rsidRPr="00903D00" w:rsidRDefault="00307D7A" w:rsidP="00307D7A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1D2ABF">
        <w:rPr>
          <w:rFonts w:ascii="Arial" w:hAnsi="Arial" w:cs="Arial"/>
        </w:rPr>
        <w:t xml:space="preserve">6 </w:t>
      </w:r>
      <w:r w:rsidRPr="00903D00">
        <w:rPr>
          <w:rFonts w:ascii="Arial" w:hAnsi="Arial" w:cs="Arial"/>
          <w:lang w:val="en-US"/>
        </w:rPr>
        <w:t>Pediatric endocrinology and Diabetology</w:t>
      </w:r>
      <w:r>
        <w:rPr>
          <w:rFonts w:ascii="Arial" w:hAnsi="Arial" w:cs="Arial"/>
          <w:lang w:val="en-US"/>
        </w:rPr>
        <w:t xml:space="preserve">, University Hospital, </w:t>
      </w:r>
      <w:r w:rsidRPr="00903D00">
        <w:rPr>
          <w:rFonts w:ascii="Arial" w:hAnsi="Arial" w:cs="Arial"/>
          <w:lang w:val="en-US"/>
        </w:rPr>
        <w:t>Angers, , 49100 Angers</w:t>
      </w:r>
      <w:r>
        <w:rPr>
          <w:rFonts w:ascii="Arial" w:hAnsi="Arial" w:cs="Arial"/>
          <w:lang w:val="en-US"/>
        </w:rPr>
        <w:t>, France</w:t>
      </w:r>
    </w:p>
    <w:p w14:paraId="752F66BC" w14:textId="77777777" w:rsidR="00307D7A" w:rsidRPr="00A0417C" w:rsidRDefault="00307D7A" w:rsidP="00307D7A">
      <w:pPr>
        <w:spacing w:after="0" w:line="360" w:lineRule="auto"/>
        <w:jc w:val="both"/>
        <w:rPr>
          <w:rFonts w:ascii="Arial" w:hAnsi="Arial" w:cs="Arial"/>
          <w:lang w:val="fr-CA"/>
        </w:rPr>
      </w:pPr>
      <w:r>
        <w:rPr>
          <w:rFonts w:ascii="Arial" w:hAnsi="Arial" w:cs="Arial"/>
          <w:lang w:val="fr-CA"/>
        </w:rPr>
        <w:t xml:space="preserve">7 CHU Dijon Bourgogne, Hôpital d’enfants, 21000 Dijon </w:t>
      </w:r>
    </w:p>
    <w:p w14:paraId="36853E65" w14:textId="77777777" w:rsidR="00307D7A" w:rsidRPr="00A0417C" w:rsidRDefault="00307D7A" w:rsidP="00307D7A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lang w:val="en-US"/>
        </w:rPr>
        <w:t>8</w:t>
      </w:r>
      <w:r w:rsidRPr="00A0417C">
        <w:rPr>
          <w:rFonts w:ascii="Arial" w:hAnsi="Arial" w:cs="Arial"/>
          <w:lang w:val="en-US"/>
        </w:rPr>
        <w:t xml:space="preserve"> Department of Human Genetics, McGill University and McGill Genome Center, Montreal, QC, Canada H3A 0G1</w:t>
      </w:r>
    </w:p>
    <w:p w14:paraId="30B78B86" w14:textId="77777777" w:rsidR="00307D7A" w:rsidRPr="00A0417C" w:rsidRDefault="00307D7A" w:rsidP="00307D7A">
      <w:pPr>
        <w:spacing w:after="0" w:line="360" w:lineRule="auto"/>
        <w:jc w:val="both"/>
        <w:rPr>
          <w:rFonts w:ascii="Arial" w:hAnsi="Arial" w:cs="Arial"/>
        </w:rPr>
      </w:pPr>
    </w:p>
    <w:p w14:paraId="0C705D90" w14:textId="77777777" w:rsidR="00307D7A" w:rsidRPr="00022613" w:rsidRDefault="00307D7A" w:rsidP="00307D7A">
      <w:p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</w:t>
      </w:r>
      <w:r w:rsidRPr="00022613">
        <w:rPr>
          <w:rFonts w:ascii="Arial" w:hAnsi="Arial" w:cs="Arial"/>
          <w:b/>
        </w:rPr>
        <w:t>orresponding authors</w:t>
      </w:r>
    </w:p>
    <w:p w14:paraId="4DC21489" w14:textId="77777777" w:rsidR="00307D7A" w:rsidRPr="00022613" w:rsidRDefault="00307D7A" w:rsidP="00307D7A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022613">
        <w:rPr>
          <w:rFonts w:ascii="Arial" w:hAnsi="Arial" w:cs="Arial"/>
          <w:lang w:val="en-US"/>
        </w:rPr>
        <w:t>Xiaojian Shao</w:t>
      </w:r>
      <w:r>
        <w:rPr>
          <w:rFonts w:ascii="Arial" w:hAnsi="Arial" w:cs="Arial"/>
          <w:vertAlign w:val="superscript"/>
          <w:lang w:val="en-US"/>
        </w:rPr>
        <w:tab/>
      </w:r>
      <w:r>
        <w:rPr>
          <w:rFonts w:ascii="Arial" w:hAnsi="Arial" w:cs="Arial"/>
          <w:vertAlign w:val="superscript"/>
          <w:lang w:val="en-US"/>
        </w:rPr>
        <w:tab/>
      </w:r>
      <w:r w:rsidRPr="00022613">
        <w:rPr>
          <w:rFonts w:ascii="Arial" w:hAnsi="Arial" w:cs="Arial"/>
          <w:lang w:val="en-US"/>
        </w:rPr>
        <w:t xml:space="preserve"> </w:t>
      </w:r>
      <w:hyperlink r:id="rId4" w:history="1">
        <w:r w:rsidRPr="00A8602D">
          <w:rPr>
            <w:rStyle w:val="Hyperlink"/>
            <w:rFonts w:ascii="Arial" w:hAnsi="Arial" w:cs="Arial"/>
            <w:lang w:val="en-US"/>
          </w:rPr>
          <w:t>Xiaojian.Shao@nrc-cnrc.gc.ca</w:t>
        </w:r>
      </w:hyperlink>
    </w:p>
    <w:p w14:paraId="299AA097" w14:textId="77777777" w:rsidR="00307D7A" w:rsidRPr="003468F1" w:rsidRDefault="00307D7A" w:rsidP="00307D7A">
      <w:pPr>
        <w:spacing w:after="0" w:line="360" w:lineRule="auto"/>
        <w:jc w:val="both"/>
        <w:rPr>
          <w:rFonts w:ascii="Arial" w:hAnsi="Arial" w:cs="Arial"/>
        </w:rPr>
      </w:pPr>
      <w:r w:rsidRPr="003468F1">
        <w:rPr>
          <w:rFonts w:ascii="Arial" w:hAnsi="Arial" w:cs="Arial"/>
        </w:rPr>
        <w:t xml:space="preserve">Pierre </w:t>
      </w:r>
      <w:proofErr w:type="spellStart"/>
      <w:r w:rsidRPr="003468F1">
        <w:rPr>
          <w:rFonts w:ascii="Arial" w:hAnsi="Arial" w:cs="Arial"/>
        </w:rPr>
        <w:t>Bougnères</w:t>
      </w:r>
      <w:proofErr w:type="spellEnd"/>
      <w:r w:rsidRPr="003468F1">
        <w:rPr>
          <w:rFonts w:ascii="Arial" w:hAnsi="Arial" w:cs="Arial"/>
          <w:vertAlign w:val="superscript"/>
        </w:rPr>
        <w:tab/>
      </w:r>
      <w:r w:rsidRPr="003468F1">
        <w:rPr>
          <w:rFonts w:ascii="Arial" w:hAnsi="Arial" w:cs="Arial"/>
        </w:rPr>
        <w:t xml:space="preserve"> </w:t>
      </w:r>
      <w:hyperlink r:id="rId5" w:history="1">
        <w:r w:rsidRPr="003468F1">
          <w:rPr>
            <w:rStyle w:val="Hyperlink"/>
            <w:rFonts w:ascii="Arial" w:hAnsi="Arial" w:cs="Arial"/>
          </w:rPr>
          <w:t>pierre@bougneres.fr</w:t>
        </w:r>
      </w:hyperlink>
    </w:p>
    <w:p w14:paraId="2C0F8C03" w14:textId="77777777" w:rsidR="00307D7A" w:rsidRDefault="00307D7A" w:rsidP="00307D7A">
      <w:pPr>
        <w:spacing w:after="0" w:line="360" w:lineRule="auto"/>
        <w:jc w:val="both"/>
        <w:rPr>
          <w:rFonts w:ascii="Arial" w:hAnsi="Arial" w:cs="Arial"/>
          <w:b/>
        </w:rPr>
      </w:pPr>
    </w:p>
    <w:p w14:paraId="6B7B09AE" w14:textId="77777777" w:rsidR="00307D7A" w:rsidRPr="003468F1" w:rsidRDefault="00307D7A" w:rsidP="00307D7A">
      <w:pPr>
        <w:spacing w:after="0" w:line="360" w:lineRule="auto"/>
        <w:jc w:val="both"/>
        <w:rPr>
          <w:rFonts w:ascii="Arial" w:hAnsi="Arial" w:cs="Arial"/>
          <w:b/>
        </w:rPr>
      </w:pPr>
      <w:r w:rsidRPr="00FC4924">
        <w:rPr>
          <w:rFonts w:ascii="Arial" w:hAnsi="Arial" w:cs="Arial"/>
          <w:b/>
        </w:rPr>
        <w:t xml:space="preserve">Classification: </w:t>
      </w:r>
      <w:r w:rsidRPr="00E93691">
        <w:rPr>
          <w:rFonts w:ascii="Arial" w:hAnsi="Arial" w:cs="Arial"/>
          <w:bCs/>
        </w:rPr>
        <w:t>Biological Sciences</w:t>
      </w:r>
      <w:r w:rsidRPr="00E93691">
        <w:t xml:space="preserve"> </w:t>
      </w:r>
      <w:r>
        <w:t xml:space="preserve">- </w:t>
      </w:r>
      <w:r w:rsidRPr="00E93691">
        <w:rPr>
          <w:rFonts w:ascii="Arial" w:hAnsi="Arial" w:cs="Arial"/>
          <w:bCs/>
        </w:rPr>
        <w:t>Medical Sciences</w:t>
      </w:r>
    </w:p>
    <w:p w14:paraId="156A8842" w14:textId="5919966C" w:rsidR="00ED6ED9" w:rsidRDefault="00ED6ED9">
      <w:r>
        <w:br w:type="page"/>
      </w:r>
    </w:p>
    <w:p w14:paraId="52A4DA1A" w14:textId="77777777" w:rsidR="00716582" w:rsidRDefault="00716582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7636E83" wp14:editId="40F859EB">
            <wp:extent cx="59436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009CA" w14:textId="77777777" w:rsidR="00716582" w:rsidRPr="00CF29CE" w:rsidRDefault="00716582" w:rsidP="00716582">
      <w:pPr>
        <w:rPr>
          <w:rFonts w:ascii="Arial" w:hAnsi="Arial" w:cs="Arial"/>
          <w:b/>
          <w:bCs/>
        </w:rPr>
      </w:pPr>
      <w:r w:rsidRPr="00CF29CE">
        <w:rPr>
          <w:rFonts w:ascii="Arial" w:hAnsi="Arial" w:cs="Arial"/>
          <w:b/>
          <w:bCs/>
        </w:rPr>
        <w:t xml:space="preserve">Figure S1. Distribution of average HbA1c level in this study. </w:t>
      </w:r>
    </w:p>
    <w:p w14:paraId="6E70326B" w14:textId="44036E22" w:rsidR="00716582" w:rsidRDefault="00716582">
      <w:pPr>
        <w:rPr>
          <w:noProof/>
        </w:rPr>
      </w:pPr>
      <w:r>
        <w:rPr>
          <w:noProof/>
        </w:rPr>
        <w:br w:type="page"/>
      </w:r>
    </w:p>
    <w:p w14:paraId="45AC85E0" w14:textId="2E9444E7" w:rsidR="00307D7A" w:rsidRDefault="00716582">
      <w:r>
        <w:rPr>
          <w:noProof/>
        </w:rPr>
        <w:lastRenderedPageBreak/>
        <w:drawing>
          <wp:inline distT="0" distB="0" distL="0" distR="0" wp14:anchorId="19B7DB3D" wp14:editId="0B88BB53">
            <wp:extent cx="5943600" cy="3564890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FC3F6" w14:textId="4F7A6140" w:rsidR="00716582" w:rsidRPr="00CF29CE" w:rsidRDefault="00716582" w:rsidP="00716582">
      <w:pPr>
        <w:rPr>
          <w:rFonts w:ascii="Arial" w:hAnsi="Arial" w:cs="Arial"/>
          <w:b/>
          <w:bCs/>
        </w:rPr>
      </w:pPr>
      <w:r w:rsidRPr="00CF29CE">
        <w:rPr>
          <w:rFonts w:ascii="Arial" w:hAnsi="Arial" w:cs="Arial"/>
          <w:b/>
          <w:bCs/>
        </w:rPr>
        <w:t>Figure S2. Sequencing Statistics and Quality Control. (A). Distribution of mean read coverage of samples. (</w:t>
      </w:r>
      <w:r>
        <w:rPr>
          <w:rFonts w:ascii="Arial" w:hAnsi="Arial" w:cs="Arial"/>
          <w:b/>
          <w:bCs/>
        </w:rPr>
        <w:t>B</w:t>
      </w:r>
      <w:r w:rsidRPr="00CF29CE">
        <w:rPr>
          <w:rFonts w:ascii="Arial" w:hAnsi="Arial" w:cs="Arial"/>
          <w:b/>
          <w:bCs/>
        </w:rPr>
        <w:t xml:space="preserve">). Hierarchical clustering based on top 1% variable </w:t>
      </w:r>
      <w:proofErr w:type="spellStart"/>
      <w:r w:rsidRPr="00CF29CE">
        <w:rPr>
          <w:rFonts w:ascii="Arial" w:hAnsi="Arial" w:cs="Arial"/>
          <w:b/>
          <w:bCs/>
        </w:rPr>
        <w:t>CpGs</w:t>
      </w:r>
      <w:proofErr w:type="spellEnd"/>
      <w:r w:rsidRPr="00CF29CE">
        <w:rPr>
          <w:rFonts w:ascii="Arial" w:hAnsi="Arial" w:cs="Arial"/>
          <w:b/>
          <w:bCs/>
        </w:rPr>
        <w:t xml:space="preserve"> in chr1. </w:t>
      </w:r>
    </w:p>
    <w:p w14:paraId="09242671" w14:textId="24F1A33A" w:rsidR="00716582" w:rsidRDefault="00716582">
      <w:r>
        <w:br w:type="page"/>
      </w:r>
    </w:p>
    <w:p w14:paraId="650FACC7" w14:textId="05563F52" w:rsidR="00716582" w:rsidRDefault="00716582">
      <w:r>
        <w:rPr>
          <w:noProof/>
        </w:rPr>
        <w:lastRenderedPageBreak/>
        <w:drawing>
          <wp:inline distT="0" distB="0" distL="0" distR="0" wp14:anchorId="25CB7708" wp14:editId="546D6F5E">
            <wp:extent cx="6048375" cy="4032250"/>
            <wp:effectExtent l="0" t="0" r="952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387" cy="4032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7DBEB" w14:textId="79DF3CEC" w:rsidR="00716582" w:rsidRPr="00716582" w:rsidRDefault="00716582">
      <w:pPr>
        <w:rPr>
          <w:b/>
          <w:bCs/>
        </w:rPr>
      </w:pPr>
      <w:r w:rsidRPr="00716582">
        <w:rPr>
          <w:b/>
          <w:bCs/>
        </w:rPr>
        <w:t xml:space="preserve">Figure S3. </w:t>
      </w:r>
      <w:r w:rsidRPr="00716582">
        <w:rPr>
          <w:b/>
          <w:bCs/>
        </w:rPr>
        <w:t>Distribution of the DNA methylation changes</w:t>
      </w:r>
      <w:r w:rsidRPr="00716582">
        <w:rPr>
          <w:b/>
          <w:bCs/>
        </w:rPr>
        <w:t xml:space="preserve"> between two time points for both male and female.</w:t>
      </w:r>
    </w:p>
    <w:sectPr w:rsidR="00716582" w:rsidRPr="007165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D7A"/>
    <w:rsid w:val="002C5906"/>
    <w:rsid w:val="00307D7A"/>
    <w:rsid w:val="00716582"/>
    <w:rsid w:val="00ED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E6D3C"/>
  <w15:chartTrackingRefBased/>
  <w15:docId w15:val="{3C949F59-8D53-4896-A5BC-EE0836DCE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D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7D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pierre@bougneres.fr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Xiaojian.Shao@nrc-cnrc.gc.c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Xiaojian Shao</dc:creator>
  <cp:keywords/>
  <dc:description/>
  <cp:lastModifiedBy>Xiaojian Shao</cp:lastModifiedBy>
  <cp:revision>3</cp:revision>
  <dcterms:created xsi:type="dcterms:W3CDTF">2023-11-28T17:07:00Z</dcterms:created>
  <dcterms:modified xsi:type="dcterms:W3CDTF">2023-11-29T16:51:00Z</dcterms:modified>
</cp:coreProperties>
</file>