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>Supplementary Table 1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 A complete list of all primers used.</w:t>
      </w:r>
    </w:p>
    <w:tbl>
      <w:tblPr>
        <w:tblStyle w:val="2"/>
        <w:tblW w:w="5591" w:type="pct"/>
        <w:jc w:val="center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8"/>
        <w:gridCol w:w="4392"/>
        <w:gridCol w:w="2629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6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left="0" w:right="0"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/>
              </w:rPr>
              <w:t>Gene</w:t>
            </w:r>
          </w:p>
        </w:tc>
        <w:tc>
          <w:tcPr>
            <w:tcW w:w="2304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left="0" w:right="0"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/>
              </w:rPr>
              <w:t>Sequence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</w:rPr>
              <w:t>5'-3'）</w:t>
            </w:r>
          </w:p>
        </w:tc>
        <w:tc>
          <w:tcPr>
            <w:tcW w:w="1379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left="0" w:right="0" w:firstLine="44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1"/>
              </w:rPr>
              <w:t>PCR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1"/>
                <w:lang w:val="en-US" w:eastAsia="zh-CN"/>
              </w:rPr>
              <w:t xml:space="preserve"> product size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iNOS(mouse)-RT-F</w:t>
            </w:r>
          </w:p>
        </w:tc>
        <w:tc>
          <w:tcPr>
            <w:tcW w:w="2304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TCTTGGAGCGAGTTGTGGATTG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130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iNOS(mouse)-RT-R</w:t>
            </w:r>
          </w:p>
        </w:tc>
        <w:tc>
          <w:tcPr>
            <w:tcW w:w="2304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TAGGTGAGGGCTTGGCTGAGTG</w:t>
            </w:r>
          </w:p>
        </w:tc>
        <w:tc>
          <w:tcPr>
            <w:tcW w:w="1379" w:type="pct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CD86(mouse)-RT-F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AGCTTCAGTTACTGTGGCCCTCCTC</w:t>
            </w:r>
          </w:p>
        </w:tc>
        <w:tc>
          <w:tcPr>
            <w:tcW w:w="1379" w:type="pct"/>
            <w:vMerge w:val="restart"/>
            <w:tcBorders>
              <w:top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131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CD86(mouse)-RT-R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TCTCTCTGTCAGCGTTACTATCCCG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CD206(mouse)-RT-F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TGGCTTATGGGATGTTTTGAGTTG</w:t>
            </w:r>
          </w:p>
        </w:tc>
        <w:tc>
          <w:tcPr>
            <w:tcW w:w="1379" w:type="pct"/>
            <w:vMerge w:val="restart"/>
            <w:tcBorders>
              <w:top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CD206(mouse)-RT-R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ATTTGGGTTCAGGAGTTGTTGTGG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TREM-2(mouse)-RT-F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TACTGGTGGAGGTGCTGGAGGA</w:t>
            </w:r>
          </w:p>
        </w:tc>
        <w:tc>
          <w:tcPr>
            <w:tcW w:w="1379" w:type="pct"/>
            <w:vMerge w:val="restart"/>
            <w:tcBorders>
              <w:top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TREM-2(mouse)-RT-R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GAAGAATGGAGGTGGGTGGGAA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 w:rightChars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HDAC5(mouse)-RT-F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GTAAATGTGGCGTGGACAGGAG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133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 w:rightChars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HDAC5(mouse)-RT-R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CAAACCCAGCGGAGACTAGGAC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200" w:afterAutospacing="0" w:line="360" w:lineRule="auto"/>
              <w:ind w:left="0" w:right="0"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AMPK(mouse)-RT-F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CGATGACGAAGCCTTGAA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126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AMPK(mouse)-RT-R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TTGTCTATGATGAGGTGGTAG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GSK3β(mouse)-RT-F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TACCACTCAAGAACTGTCAA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131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GSK3β(mouse)-RT-R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CACGGTCTCCAGCATTAG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MHCII(mouse)-RT-F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AGGTGAAGACGACATTGAG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MHCII(mouse)-RT-R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CCAAGTCCACATAGAACAAC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AKT(mouse)-RT-F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GGCAGGATGTGTATGAGAA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140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AKT(mouse)-RT-R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GCTGAGTAGGAGAACTTGAT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TGF-β(mouse)-RT-F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CAACAACGCCATCTATGAG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TGF-β(mouse)-RT-R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CAAGGTAACGCCAGGAAT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 xml:space="preserve">Arg1(mouse)-RT-F 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AAGGTCTCTACATCACAGAAG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147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Arg1(mouse)-RT-R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CGAAGCAAGCCAAGGTTA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TNF-α(mouse)-RT-F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GTGGAACTGGCAGAAGAG</w:t>
            </w:r>
          </w:p>
        </w:tc>
        <w:tc>
          <w:tcPr>
            <w:tcW w:w="137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123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TNF-α(mouse)-RT-R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TAGACAGAAGAGCGTGGT</w:t>
            </w:r>
          </w:p>
        </w:tc>
        <w:tc>
          <w:tcPr>
            <w:tcW w:w="1379" w:type="pct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GAPDH(mouse)-RT-F</w:t>
            </w:r>
          </w:p>
        </w:tc>
        <w:tc>
          <w:tcPr>
            <w:tcW w:w="2304" w:type="pct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GGTGAAGGTCGGTGTGAACG</w:t>
            </w:r>
          </w:p>
        </w:tc>
        <w:tc>
          <w:tcPr>
            <w:tcW w:w="1379" w:type="pct"/>
            <w:vMerge w:val="restart"/>
            <w:tcBorders>
              <w:top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233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6" w:type="pct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GAPDH(mouse)-RT-R</w:t>
            </w:r>
          </w:p>
        </w:tc>
        <w:tc>
          <w:tcPr>
            <w:tcW w:w="2304" w:type="pct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  <w:t>CTCGCTCCTGGAAGATGGTG</w:t>
            </w:r>
          </w:p>
        </w:tc>
        <w:tc>
          <w:tcPr>
            <w:tcW w:w="1379" w:type="pct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Autospacing="0" w:after="0" w:afterAutospacing="0" w:line="360" w:lineRule="auto"/>
              <w:ind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br w:type="page"/>
      </w:r>
    </w:p>
    <w:p>
      <w:pPr>
        <w:widowControl/>
        <w:spacing w:line="480" w:lineRule="auto"/>
        <w:jc w:val="left"/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Figure</w:t>
      </w: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 xml:space="preserve"> 1</w:t>
      </w:r>
    </w:p>
    <w:p>
      <w:pPr>
        <w:widowControl/>
        <w:spacing w:line="480" w:lineRule="auto"/>
        <w:jc w:val="center"/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drawing>
          <wp:inline distT="0" distB="0" distL="114300" distR="114300">
            <wp:extent cx="3715385" cy="4480560"/>
            <wp:effectExtent l="0" t="0" r="5715" b="2540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5385" cy="448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both"/>
        <w:rPr>
          <w:rFonts w:hint="eastAsia" w:ascii="Times New Roman" w:hAnsi="Times New Roman" w:eastAsia="MS Mincho" w:cs="Times New Roman"/>
          <w:kern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Fig. S1 </w:t>
      </w:r>
      <w:r>
        <w:rPr>
          <w:rFonts w:ascii="Times New Roman" w:hAnsi="Times New Roman" w:eastAsia="MS Mincho" w:cs="Times New Roman"/>
          <w:b w:val="0"/>
          <w:bCs w:val="0"/>
          <w:kern w:val="0"/>
          <w:sz w:val="24"/>
        </w:rPr>
        <w:t>H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vertAlign w:val="subscript"/>
          <w:lang w:val="en-US" w:eastAsia="zh-CN"/>
        </w:rPr>
        <w:t>2</w:t>
      </w:r>
      <w:r>
        <w:rPr>
          <w:rFonts w:ascii="Times New Roman" w:hAnsi="Times New Roman" w:eastAsia="MS Mincho" w:cs="Times New Roman"/>
          <w:b w:val="0"/>
          <w:bCs w:val="0"/>
          <w:kern w:val="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>promote</w:t>
      </w:r>
      <w:r>
        <w:rPr>
          <w:rFonts w:ascii="Times New Roman" w:hAnsi="Times New Roman" w:eastAsia="MS Mincho" w:cs="Times New Roman"/>
          <w:b w:val="0"/>
          <w:bCs w:val="0"/>
          <w:kern w:val="0"/>
          <w:sz w:val="24"/>
        </w:rPr>
        <w:t>s microglial M2 polarization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 xml:space="preserve"> and inhibits </w:t>
      </w:r>
      <w:r>
        <w:rPr>
          <w:rFonts w:ascii="Times New Roman" w:hAnsi="Times New Roman" w:eastAsia="MS Mincho" w:cs="Times New Roman"/>
          <w:b w:val="0"/>
          <w:bCs w:val="0"/>
          <w:kern w:val="0"/>
          <w:sz w:val="24"/>
        </w:rPr>
        <w:t xml:space="preserve">neuroinflammation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>after</w:t>
      </w:r>
      <w:r>
        <w:rPr>
          <w:rFonts w:ascii="Times New Roman" w:hAnsi="Times New Roman" w:eastAsia="MS Mincho" w:cs="Times New Roman"/>
          <w:b w:val="0"/>
          <w:bCs w:val="0"/>
          <w:kern w:val="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 xml:space="preserve">TBI </w:t>
      </w:r>
      <w:r>
        <w:rPr>
          <w:rFonts w:ascii="Times New Roman" w:hAnsi="Times New Roman" w:eastAsia="MS Mincho" w:cs="Times New Roman"/>
          <w:b w:val="0"/>
          <w:bCs w:val="0"/>
          <w:kern w:val="0"/>
          <w:sz w:val="24"/>
        </w:rPr>
        <w:t>via AMPK-dependent mediation of HDAC5.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 xml:space="preserve"> a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 xml:space="preserve">Body weight change in 14 days after TBI in mice (n = 5).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 xml:space="preserve"> Brain water content of ipsilateral damaged brain tissue at 14 d (n = 5).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 xml:space="preserve"> Quantification of fluorescence intensity of </w:t>
      </w:r>
      <w:r>
        <w:rPr>
          <w:rFonts w:ascii="Times New Roman" w:hAnsi="Times New Roman" w:eastAsia="MS Mincho" w:cs="Times New Roman"/>
          <w:kern w:val="0"/>
          <w:sz w:val="24"/>
        </w:rPr>
        <w:t xml:space="preserve">iNOS-positive 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and TREM-2</w:t>
      </w:r>
      <w:r>
        <w:rPr>
          <w:rFonts w:ascii="Times New Roman" w:hAnsi="Times New Roman" w:eastAsia="MS Mincho" w:cs="Times New Roman"/>
          <w:kern w:val="0"/>
          <w:sz w:val="24"/>
        </w:rPr>
        <w:t>-positive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</w:rPr>
        <w:t>proportion of ipsilateral damaged brain tissue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  <w:t xml:space="preserve">(n = 3).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 xml:space="preserve">d </w:t>
      </w:r>
      <w:r>
        <w:rPr>
          <w:rFonts w:hint="eastAsia" w:ascii="Times New Roman" w:hAnsi="Times New Roman" w:eastAsia="MS Mincho" w:cs="Times New Roman"/>
          <w:kern w:val="0"/>
          <w:sz w:val="24"/>
          <w:lang w:val="en-US" w:eastAsia="zh-CN"/>
        </w:rPr>
        <w:t>R</w:t>
      </w:r>
      <w:r>
        <w:rPr>
          <w:rFonts w:hint="default" w:ascii="Times New Roman" w:hAnsi="Times New Roman" w:eastAsia="MS Mincho" w:cs="Times New Roman"/>
          <w:kern w:val="0"/>
          <w:sz w:val="24"/>
          <w:lang w:val="en-US" w:eastAsia="zh-CN"/>
        </w:rPr>
        <w:t>T-qPCR results of mRNA levels of M1, M2 phenotype markers and AMPK, GSK3β, a</w:t>
      </w:r>
      <w:r>
        <w:rPr>
          <w:rFonts w:hint="eastAsia" w:ascii="Times New Roman" w:hAnsi="Times New Roman" w:eastAsia="MS Mincho" w:cs="Times New Roman"/>
          <w:kern w:val="0"/>
          <w:sz w:val="24"/>
          <w:lang w:val="en-US" w:eastAsia="zh-CN"/>
        </w:rPr>
        <w:t>nd AKT in ipsilateral damaged brain tissue (n = 3).</w:t>
      </w:r>
    </w:p>
    <w:p>
      <w:pPr>
        <w:widowControl/>
        <w:spacing w:line="480" w:lineRule="auto"/>
        <w:jc w:val="both"/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</w:pPr>
      <w:bookmarkStart w:id="0" w:name="_GoBack"/>
      <w:bookmarkEnd w:id="0"/>
    </w:p>
    <w:p>
      <w:pPr>
        <w:widowControl/>
        <w:spacing w:line="480" w:lineRule="auto"/>
        <w:jc w:val="both"/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</w:pPr>
    </w:p>
    <w:p>
      <w:pPr>
        <w:widowControl/>
        <w:spacing w:line="480" w:lineRule="auto"/>
        <w:jc w:val="both"/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lang w:val="en-US" w:eastAsia="zh-CN"/>
        </w:rPr>
      </w:pPr>
    </w:p>
    <w:p>
      <w:pPr>
        <w:widowControl/>
        <w:spacing w:line="480" w:lineRule="auto"/>
        <w:jc w:val="both"/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434D53FD"/>
    <w:rsid w:val="097035F9"/>
    <w:rsid w:val="0D474AD7"/>
    <w:rsid w:val="10357C75"/>
    <w:rsid w:val="12275D82"/>
    <w:rsid w:val="33624CE1"/>
    <w:rsid w:val="434D53FD"/>
    <w:rsid w:val="4A4F0885"/>
    <w:rsid w:val="660E449D"/>
    <w:rsid w:val="78312309"/>
    <w:rsid w:val="7C6D2366"/>
    <w:rsid w:val="7D4D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2023-10-17T13:25:00Z</dcterms:created>
  <dc:creator>zhaijiayuan</dc:creator>
  <cp:lastModifiedBy>zhaijiayuan</cp:lastModifiedBy>
  <dcterms:modified xsi:type="dcterms:W3CDTF">2024-01-08T14:17:13Z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B1871E0599D6406DB136B1F456AD6045_13</vt:lpwstr>
  </property>
</Properties>
</file>