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</w:rPr>
        <w:t>Supplemental</w:t>
      </w:r>
      <w:r>
        <w:rPr>
          <w:rFonts w:hint="eastAsia" w:ascii="Times New Roman" w:hAnsi="Times New Roman" w:cs="Times New Roman"/>
          <w:sz w:val="24"/>
        </w:rPr>
        <w:t xml:space="preserve"> Table S1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Definition of covariates used in the UK Biobank study.</w:t>
      </w:r>
    </w:p>
    <w:tbl>
      <w:tblPr>
        <w:tblStyle w:val="9"/>
        <w:tblW w:w="9437" w:type="dxa"/>
        <w:tblInd w:w="-437" w:type="dxa"/>
        <w:tblLayout w:type="autofit"/>
        <w:tblCellMar>
          <w:top w:w="4" w:type="dxa"/>
          <w:left w:w="39" w:type="dxa"/>
          <w:bottom w:w="0" w:type="dxa"/>
          <w:right w:w="6" w:type="dxa"/>
        </w:tblCellMar>
      </w:tblPr>
      <w:tblGrid>
        <w:gridCol w:w="1329"/>
        <w:gridCol w:w="1802"/>
        <w:gridCol w:w="3315"/>
        <w:gridCol w:w="2991"/>
      </w:tblGrid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612" w:hRule="atLeast"/>
        </w:trPr>
        <w:tc>
          <w:tcPr>
            <w:tcW w:w="1329" w:type="dxa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333333"/>
                <w:sz w:val="16"/>
                <w:szCs w:val="16"/>
                <w:lang w:bidi="ar"/>
              </w:rPr>
              <w:t>Covariate type</w:t>
            </w:r>
          </w:p>
        </w:tc>
        <w:tc>
          <w:tcPr>
            <w:tcW w:w="1802" w:type="dxa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3315" w:type="dxa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16"/>
                <w:szCs w:val="16"/>
                <w:lang w:bidi="ar"/>
              </w:rPr>
              <w:t>Variable Type</w:t>
            </w:r>
          </w:p>
        </w:tc>
        <w:tc>
          <w:tcPr>
            <w:tcW w:w="2991" w:type="dxa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Style w:val="10"/>
                <w:rFonts w:eastAsia="宋体"/>
                <w:sz w:val="16"/>
                <w:szCs w:val="16"/>
                <w:lang w:bidi="ar"/>
              </w:rPr>
              <w:t>UK Biobank field code</w:t>
            </w:r>
            <w:r>
              <w:rPr>
                <w:rStyle w:val="11"/>
                <w:rFonts w:hint="default" w:ascii="Times New Roman" w:hAnsi="Times New Roman" w:cs="Times New Roman"/>
                <w:sz w:val="16"/>
                <w:szCs w:val="16"/>
                <w:lang w:bidi="ar"/>
              </w:rPr>
              <w:t>，</w:t>
            </w:r>
            <w:r>
              <w:rPr>
                <w:rStyle w:val="10"/>
                <w:rFonts w:eastAsia="宋体"/>
                <w:sz w:val="16"/>
                <w:szCs w:val="16"/>
                <w:lang w:bidi="ar"/>
              </w:rPr>
              <w:br w:type="textWrapping"/>
            </w:r>
            <w:r>
              <w:rPr>
                <w:rStyle w:val="10"/>
                <w:rFonts w:eastAsia="宋体"/>
                <w:sz w:val="16"/>
                <w:szCs w:val="16"/>
                <w:lang w:bidi="ar"/>
              </w:rPr>
              <w:t>ICD code and drug code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76" w:hRule="atLeast"/>
        </w:trPr>
        <w:tc>
          <w:tcPr>
            <w:tcW w:w="1329" w:type="dxa"/>
            <w:vMerge w:val="restart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Sociodemographic and lifestyle factors</w:t>
            </w:r>
          </w:p>
        </w:tc>
        <w:tc>
          <w:tcPr>
            <w:tcW w:w="1802" w:type="dxa"/>
            <w:tcBorders>
              <w:top w:val="single" w:color="000000" w:sz="12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4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Baseline age</w:t>
            </w:r>
          </w:p>
        </w:tc>
        <w:tc>
          <w:tcPr>
            <w:tcW w:w="3315" w:type="dxa"/>
            <w:tcBorders>
              <w:top w:val="single" w:color="000000" w:sz="12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years</w:t>
            </w:r>
          </w:p>
        </w:tc>
        <w:tc>
          <w:tcPr>
            <w:tcW w:w="2991" w:type="dxa"/>
            <w:tcBorders>
              <w:top w:val="single" w:color="000000" w:sz="12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21022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76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8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Sex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male and female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31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387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Education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8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level 1, “uneducated”; level 2, “O levels/GCSEs or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equivalent” or “CSEs or equivalent”; level 3, “A levels/AS levels or equivalent” or “NVQ or HND or HNC or equivalent” or “Other professional qualifications”; level 4, “College or University degree”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uneducated, Ordinary [O] levels/General Certificate of Secondary Education [GCSE] or equivalent or Certificate of Secondary Education [CSE] or equivalent, Advanced [A] levels/Advanced Subsidiary [AS] levels or equivalent or National Vocational Qualification [NVQ] or Higher National Diploma [HND] or Higher 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6138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76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4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Race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Asian, Black, White and Others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21000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548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Townsend deprivation index at recruitment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13"/>
                <w:szCs w:val="13"/>
                <w:lang w:bidi="ar"/>
              </w:rPr>
              <w:t>/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189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76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Smoking status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never, previous, and current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20116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76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Alcohol consumption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never, previous, and current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20117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612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Total Metabolic Equivalent Task (MET)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MET-min/week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22040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86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24h total urinary sodium excretion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g/d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30530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30510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76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"https://biobank.ndph.ox.ac.uk/showcase/field.cgi?id=1528"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u w:val="none"/>
              </w:rPr>
              <w:t>Water</w:t>
            </w:r>
            <w:r>
              <w:rPr>
                <w:rStyle w:val="7"/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u w:val="none"/>
              </w:rPr>
              <w:fldChar w:fldCharType="end"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"https://biobank.ndph.ox.ac.uk/showcase/field.cgi?id=1528"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u w:val="none"/>
              </w:rPr>
              <w:t> </w:t>
            </w:r>
            <w:r>
              <w:rPr>
                <w:rStyle w:val="7"/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u w:val="none"/>
              </w:rPr>
              <w:fldChar w:fldCharType="end"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"https://biobank.ndph.ox.ac.uk/showcase/field.cgi?id=1528"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u w:val="none"/>
              </w:rPr>
              <w:t>intake</w:t>
            </w:r>
            <w:r>
              <w:rPr>
                <w:rStyle w:val="7"/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u w:val="none"/>
              </w:rPr>
              <w:fldChar w:fldCharType="end"/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glasses/day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1528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1082" w:hRule="atLeast"/>
        </w:trPr>
        <w:tc>
          <w:tcPr>
            <w:tcW w:w="13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Non-dairy animal protein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ind w:left="3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level 1, “less than once a week”; level 2, “once a week” or “2-4 times a week” or “2-4 times a week” or “5-6 times a week” or ”once or more daily”; level 3, “Never” 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1329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1339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1359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1369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1379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1389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Urate</w:t>
            </w: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Urate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umol/L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30880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20" w:hRule="atLeast"/>
        </w:trPr>
        <w:tc>
          <w:tcPr>
            <w:tcW w:w="1329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Blood lipids</w:t>
            </w: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18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HDL cholesterol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mmol/L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30760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Triglycerides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mmol/L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30870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40" w:hRule="atLeast"/>
        </w:trPr>
        <w:tc>
          <w:tcPr>
            <w:tcW w:w="1329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left="0" w:firstLine="130" w:firstLineChars="100"/>
              <w:jc w:val="both"/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Adiposity parameters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eastAsia="zh-CN" w:bidi="ar"/>
              </w:rPr>
              <w:tab/>
            </w: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4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Waist circumference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cm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48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58" w:hRule="atLeast"/>
        </w:trPr>
        <w:tc>
          <w:tcPr>
            <w:tcW w:w="1329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left="9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4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13"/>
                <w:szCs w:val="13"/>
                <w:lang w:bidi="ar"/>
              </w:rPr>
              <w:t>B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color w:val="000000"/>
                <w:sz w:val="13"/>
                <w:szCs w:val="13"/>
                <w:lang w:bidi="ar"/>
              </w:rPr>
              <w:t>ody mass index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val="en-US" w:eastAsia="zh-CN" w:bidi="ar"/>
              </w:rPr>
              <w:t>Kg/m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val="en-US" w:eastAsia="zh-CN" w:bidi="ar"/>
              </w:rPr>
              <w:t>21001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left="14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Comorbid conditions</w:t>
            </w: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Hypertension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131286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Diabetes mellitus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130706-130714 even number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512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left="4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Cardiovascular disease (CVD or stroke)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131270-131284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;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131288-131378 even number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5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Gout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131858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Parathyroid disease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130720</w:t>
            </w:r>
            <w:r>
              <w:rPr>
                <w:rFonts w:hint="default" w:ascii="Times New Roman" w:hAnsi="Times New Roman" w:eastAsia="等线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130722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Urinary tract obstruction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132022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132056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132064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132072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Urinary tract infection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132054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132062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Cholelithiasis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right="1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41271==574</w:t>
            </w:r>
            <w:r>
              <w:rPr>
                <w:rFonts w:hint="default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41270 ==K80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0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Childbirth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132276-132284 even number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541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Disorders of lipoprotein metabolism and other lipidemias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130814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541" w:hRule="atLeast"/>
        </w:trPr>
        <w:tc>
          <w:tcPr>
            <w:tcW w:w="13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Renal function parameters</w:t>
            </w: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eastAsia" w:ascii="Times New Roman" w:hAnsi="Times New Roman" w:eastAsia="等线" w:cs="Times New Roman"/>
                <w:sz w:val="15"/>
                <w:szCs w:val="15"/>
              </w:rPr>
              <w:t>UACR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&lt;30 mg/g, 30-300mg/g, and ≥300 mg/g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right="1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30500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541" w:hRule="atLeast"/>
        </w:trPr>
        <w:tc>
          <w:tcPr>
            <w:tcW w:w="1329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History of medication</w:t>
            </w:r>
          </w:p>
        </w:tc>
        <w:tc>
          <w:tcPr>
            <w:tcW w:w="18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2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Vitamin and mineral supplements</w:t>
            </w:r>
          </w:p>
        </w:tc>
        <w:tc>
          <w:tcPr>
            <w:tcW w:w="331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level 1, “Vitamin C”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>;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 level 2, “Vitamin D”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 xml:space="preserve">;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level 3,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“No vitamin C and Vitamin D supplementation”</w:t>
            </w:r>
          </w:p>
        </w:tc>
        <w:tc>
          <w:tcPr>
            <w:tcW w:w="299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6155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542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Mineral and other dietary supplements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level 1, “Calcium”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3"/>
                <w:lang w:bidi="ar"/>
              </w:rPr>
              <w:t xml:space="preserve">;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 level 2, “No calcium supplementation”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6179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1408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21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Thiazide diuretics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left="0" w:right="2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1140860332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1140866072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1140866090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1140866122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</w:p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1140866136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1140866156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1140866158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1140866162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1140866422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1140866446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1140866450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1140910442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1141194794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1141194800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391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2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Allopurinols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9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1140875408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1423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27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Calcium supplement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D7D7D7" w:themeFill="background1" w:themeFillShade="D8"/>
          </w:tcPr>
          <w:p>
            <w:pPr>
              <w:widowControl/>
              <w:spacing w:line="256" w:lineRule="auto"/>
              <w:ind w:left="0" w:right="2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1140881330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1140851028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1140852836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1140870856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</w:p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1140870860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1140870862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1140871052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1140877782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1140923684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1141146606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1141165942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1141166086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1141171948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1141180936</w:t>
            </w:r>
          </w:p>
        </w:tc>
      </w:tr>
      <w:tr>
        <w:tblPrEx>
          <w:tblCellMar>
            <w:top w:w="4" w:type="dxa"/>
            <w:left w:w="39" w:type="dxa"/>
            <w:bottom w:w="0" w:type="dxa"/>
            <w:right w:w="6" w:type="dxa"/>
          </w:tblCellMar>
        </w:tblPrEx>
        <w:trPr>
          <w:trHeight w:val="2015" w:hRule="atLeast"/>
        </w:trPr>
        <w:tc>
          <w:tcPr>
            <w:tcW w:w="1329" w:type="dxa"/>
            <w:vMerge w:val="continue"/>
            <w:tcBorders>
              <w:top w:val="nil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</w:p>
        </w:tc>
        <w:tc>
          <w:tcPr>
            <w:tcW w:w="1802" w:type="dxa"/>
            <w:tcBorders>
              <w:top w:val="nil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3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Vitamin D</w:t>
            </w:r>
          </w:p>
        </w:tc>
        <w:tc>
          <w:tcPr>
            <w:tcW w:w="3315" w:type="dxa"/>
            <w:tcBorders>
              <w:top w:val="nil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yes or no</w:t>
            </w:r>
          </w:p>
        </w:tc>
        <w:tc>
          <w:tcPr>
            <w:tcW w:w="2991" w:type="dxa"/>
            <w:tcBorders>
              <w:top w:val="nil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256" w:lineRule="auto"/>
              <w:ind w:left="0" w:right="2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1140870954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1140870956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1140870958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1140870976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</w:p>
          <w:p>
            <w:pPr>
              <w:widowControl/>
              <w:spacing w:line="256" w:lineRule="auto"/>
              <w:ind w:left="0" w:right="2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1140870980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1140870982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1140871050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1140876588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</w:p>
          <w:p>
            <w:pPr>
              <w:widowControl/>
              <w:spacing w:line="256" w:lineRule="auto"/>
              <w:ind w:left="0" w:right="2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1140877630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1140877632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1140909592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1140909876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</w:p>
          <w:p>
            <w:pPr>
              <w:widowControl/>
              <w:spacing w:line="256" w:lineRule="auto"/>
              <w:ind w:right="20"/>
              <w:jc w:val="center"/>
              <w:rPr>
                <w:rFonts w:hint="default" w:ascii="Times New Roman" w:hAnsi="Times New Roman" w:eastAsia="等线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1140909878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1140909882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1140911728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1141145880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1141146612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1141164828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1141174388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1141180200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 xml:space="preserve">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3"/>
                <w:szCs w:val="13"/>
                <w:lang w:bidi="ar"/>
              </w:rPr>
              <w:t>1141191312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Abbreviations:</w:t>
      </w:r>
      <w:r>
        <w:rPr>
          <w:rFonts w:hint="eastAsia" w:ascii="Times New Roman" w:hAnsi="Times New Roman" w:cs="Times New Roman"/>
          <w:color w:val="333333"/>
          <w:sz w:val="15"/>
          <w:szCs w:val="15"/>
          <w:shd w:val="clear" w:color="auto" w:fill="FFFFFF"/>
        </w:rPr>
        <w:t xml:space="preserve"> H</w:t>
      </w:r>
      <w:r>
        <w:rPr>
          <w:rFonts w:hint="eastAsia" w:ascii="Times New Roman" w:hAnsi="Times New Roman" w:cs="Times New Roman"/>
          <w:sz w:val="15"/>
          <w:szCs w:val="15"/>
        </w:rPr>
        <w:t xml:space="preserve">DL, </w:t>
      </w:r>
      <w:r>
        <w:rPr>
          <w:rFonts w:hint="eastAsia" w:ascii="Times New Roman" w:hAnsi="Times New Roman" w:cs="Times New Roman"/>
          <w:color w:val="333333"/>
          <w:sz w:val="15"/>
          <w:szCs w:val="15"/>
          <w:shd w:val="clear" w:color="auto" w:fill="FFFFFF"/>
        </w:rPr>
        <w:t>h</w:t>
      </w:r>
      <w:r>
        <w:rPr>
          <w:rFonts w:ascii="Times New Roman" w:hAnsi="Times New Roman" w:cs="Times New Roman"/>
          <w:color w:val="333333"/>
          <w:sz w:val="15"/>
          <w:szCs w:val="15"/>
          <w:shd w:val="clear" w:color="auto" w:fill="FFFFFF"/>
        </w:rPr>
        <w:t>igh</w:t>
      </w:r>
      <w:r>
        <w:rPr>
          <w:rFonts w:hint="eastAsia" w:ascii="Times New Roman" w:hAnsi="Times New Roman" w:cs="Times New Roman"/>
          <w:color w:val="333333"/>
          <w:sz w:val="15"/>
          <w:szCs w:val="15"/>
          <w:shd w:val="clear" w:color="auto" w:fill="FFFFFF"/>
        </w:rPr>
        <w:t>-d</w:t>
      </w:r>
      <w:r>
        <w:rPr>
          <w:rFonts w:ascii="Times New Roman" w:hAnsi="Times New Roman" w:cs="Times New Roman"/>
          <w:color w:val="333333"/>
          <w:sz w:val="15"/>
          <w:szCs w:val="15"/>
          <w:shd w:val="clear" w:color="auto" w:fill="FFFFFF"/>
        </w:rPr>
        <w:t xml:space="preserve">ensity </w:t>
      </w:r>
      <w:r>
        <w:rPr>
          <w:rFonts w:hint="eastAsia" w:ascii="Times New Roman" w:hAnsi="Times New Roman" w:cs="Times New Roman"/>
          <w:color w:val="333333"/>
          <w:sz w:val="15"/>
          <w:szCs w:val="15"/>
          <w:shd w:val="clear" w:color="auto" w:fill="FFFFFF"/>
        </w:rPr>
        <w:t>l</w:t>
      </w:r>
      <w:r>
        <w:rPr>
          <w:rFonts w:ascii="Times New Roman" w:hAnsi="Times New Roman" w:cs="Times New Roman"/>
          <w:color w:val="333333"/>
          <w:sz w:val="15"/>
          <w:szCs w:val="15"/>
          <w:shd w:val="clear" w:color="auto" w:fill="FFFFFF"/>
        </w:rPr>
        <w:t>ipoprotein</w:t>
      </w:r>
      <w:r>
        <w:rPr>
          <w:rFonts w:hint="eastAsia" w:ascii="Times New Roman" w:hAnsi="Times New Roman" w:cs="Times New Roman"/>
          <w:color w:val="333333"/>
          <w:sz w:val="15"/>
          <w:szCs w:val="15"/>
          <w:shd w:val="clear" w:color="auto" w:fill="FFFFFF"/>
        </w:rPr>
        <w:t xml:space="preserve">; </w:t>
      </w:r>
      <w:r>
        <w:rPr>
          <w:rFonts w:ascii="Times New Roman" w:hAnsi="Times New Roman" w:cs="Times New Roman"/>
          <w:sz w:val="15"/>
          <w:szCs w:val="15"/>
        </w:rPr>
        <w:t xml:space="preserve">CVD, </w:t>
      </w:r>
      <w:r>
        <w:rPr>
          <w:rFonts w:ascii="Times New Roman" w:hAnsi="Times New Roman" w:cs="Times New Roman"/>
          <w:color w:val="333333"/>
          <w:sz w:val="15"/>
          <w:szCs w:val="15"/>
          <w:shd w:val="clear" w:color="auto" w:fill="FFFFFF"/>
        </w:rPr>
        <w:t>cardiovascular disease</w:t>
      </w:r>
      <w:r>
        <w:rPr>
          <w:rFonts w:ascii="Times New Roman" w:hAnsi="Times New Roman" w:cs="Times New Roman"/>
          <w:sz w:val="15"/>
          <w:szCs w:val="15"/>
        </w:rPr>
        <w:t xml:space="preserve">; UACR, </w:t>
      </w:r>
      <w:r>
        <w:rPr>
          <w:rFonts w:ascii="Times New Roman" w:hAnsi="Times New Roman" w:cs="Times New Roman"/>
          <w:color w:val="333333"/>
          <w:sz w:val="15"/>
          <w:szCs w:val="15"/>
          <w:shd w:val="clear" w:color="auto" w:fill="FFFFFF"/>
        </w:rPr>
        <w:t>urine albumin–creatinine ratio.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Style w:val="8"/>
        </w:rPr>
      </w:pPr>
    </w:p>
    <w:p>
      <w:pPr>
        <w:rPr>
          <w:rStyle w:val="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8"/>
        </w:rPr>
        <w:br w:type="page"/>
      </w:r>
    </w:p>
    <w:p>
      <w:r>
        <w:rPr>
          <w:rFonts w:ascii="Times New Roman" w:hAnsi="Times New Roman" w:cs="Times New Roman"/>
          <w:sz w:val="24"/>
        </w:rPr>
        <w:t>Supplemental</w:t>
      </w:r>
      <w:r>
        <w:rPr>
          <w:rFonts w:hint="eastAsia" w:ascii="Times New Roman" w:hAnsi="Times New Roman" w:cs="Times New Roman"/>
          <w:sz w:val="24"/>
        </w:rPr>
        <w:t xml:space="preserve"> Table S2 </w:t>
      </w:r>
      <w:r>
        <w:rPr>
          <w:rFonts w:ascii="Times New Roman" w:hAnsi="Times New Roman" w:cs="Times New Roman"/>
          <w:sz w:val="24"/>
        </w:rPr>
        <w:t>Sensitivity analyses</w:t>
      </w:r>
      <w:r>
        <w:rPr>
          <w:rFonts w:hint="eastAsia" w:ascii="Times New Roman" w:hAnsi="Times New Roman" w:cs="Times New Roman"/>
          <w:sz w:val="24"/>
        </w:rPr>
        <w:t>.</w:t>
      </w:r>
    </w:p>
    <w:tbl>
      <w:tblPr>
        <w:tblStyle w:val="9"/>
        <w:tblW w:w="7546" w:type="dxa"/>
        <w:tblInd w:w="173" w:type="dxa"/>
        <w:tblLayout w:type="fixed"/>
        <w:tblCellMar>
          <w:top w:w="41" w:type="dxa"/>
          <w:left w:w="30" w:type="dxa"/>
          <w:bottom w:w="0" w:type="dxa"/>
          <w:right w:w="0" w:type="dxa"/>
        </w:tblCellMar>
      </w:tblPr>
      <w:tblGrid>
        <w:gridCol w:w="24"/>
        <w:gridCol w:w="1526"/>
        <w:gridCol w:w="1200"/>
        <w:gridCol w:w="1326"/>
        <w:gridCol w:w="1330"/>
        <w:gridCol w:w="2140"/>
      </w:tblGrid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550" w:type="dxa"/>
            <w:gridSpan w:val="2"/>
            <w:tcBorders>
              <w:top w:val="single" w:color="auto" w:sz="4" w:space="0"/>
              <w:bottom w:val="single" w:color="000000" w:sz="4" w:space="0"/>
            </w:tcBorders>
            <w:shd w:val="clear" w:color="auto" w:fill="D9D9D9"/>
          </w:tcPr>
          <w:p>
            <w:pPr>
              <w:widowControl/>
              <w:spacing w:line="256" w:lineRule="auto"/>
              <w:ind w:left="2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eGFR (ml/min/l.73 m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)</w:t>
            </w:r>
          </w:p>
        </w:tc>
        <w:tc>
          <w:tcPr>
            <w:tcW w:w="1200" w:type="dxa"/>
            <w:tcBorders>
              <w:top w:val="single" w:color="auto" w:sz="4" w:space="0"/>
              <w:bottom w:val="single" w:color="000000" w:sz="4" w:space="0"/>
            </w:tcBorders>
            <w:shd w:val="clear" w:color="auto" w:fill="D9D9D9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HR</w:t>
            </w:r>
          </w:p>
        </w:tc>
        <w:tc>
          <w:tcPr>
            <w:tcW w:w="1326" w:type="dxa"/>
            <w:tcBorders>
              <w:top w:val="single" w:color="auto" w:sz="4" w:space="0"/>
              <w:bottom w:val="single" w:color="000000" w:sz="4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2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95% CI</w:t>
            </w:r>
          </w:p>
        </w:tc>
        <w:tc>
          <w:tcPr>
            <w:tcW w:w="1330" w:type="dxa"/>
            <w:tcBorders>
              <w:top w:val="single" w:color="auto" w:sz="4" w:space="0"/>
              <w:bottom w:val="single" w:color="000000" w:sz="4" w:space="0"/>
            </w:tcBorders>
            <w:shd w:val="clear" w:color="auto" w:fill="D9D9D9"/>
          </w:tcPr>
          <w:p>
            <w:pPr>
              <w:widowControl/>
              <w:spacing w:line="256" w:lineRule="auto"/>
              <w:ind w:left="3" w:right="-1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HR（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DR-adjusted）</w:t>
            </w:r>
          </w:p>
        </w:tc>
        <w:tc>
          <w:tcPr>
            <w:tcW w:w="2140" w:type="dxa"/>
            <w:tcBorders>
              <w:top w:val="single" w:color="auto" w:sz="4" w:space="0"/>
              <w:bottom w:val="single" w:color="000000" w:sz="4" w:space="0"/>
            </w:tcBorders>
            <w:shd w:val="clear" w:color="auto" w:fill="D9D9D9"/>
          </w:tcPr>
          <w:p>
            <w:pPr>
              <w:widowControl/>
              <w:spacing w:line="256" w:lineRule="auto"/>
              <w:ind w:right="-26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95% CI（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DR-adjusted）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232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 xml:space="preserve">Model 1* 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continuous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1.01-1.06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1.04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1.01-1.06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&lt;60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1.16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1.02-1.33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1.19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1.02-1.38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60-74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1.06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0.97-1.16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1.07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0.97-1.19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75-89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0.94-1.09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0.94-1.11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0-105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0" w:firstLine="320" w:firstLineChars="200"/>
              <w:jc w:val="both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≥105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0.92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0.83-1.01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0.91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0.81-1.01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Model 2**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continuous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1.01-1.06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1.01-1.06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&lt;60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1.15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1.00-1.33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1.18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1.00-1.38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60-74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1.08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0.98-1.18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1.09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0.98-1.21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75-89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0.94-1.10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0.93-1.11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0-105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ind w:left="108" w:lef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ind w:left="0" w:leftChars="0" w:firstLine="320" w:firstLineChars="20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≥105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0.85-1.04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0.93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0.83-1.05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457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Model 3***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continuous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1.01-1.05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1.01-1.06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&lt;60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1.16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1.02-1.32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1.19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1.02-1.38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60-74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1.06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0.97-1.16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1.07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0.97-1.19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75-89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0.95-1.10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0.94-1.11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  <w:vAlign w:val="top"/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0-105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  <w:vAlign w:val="top"/>
          </w:tcPr>
          <w:p>
            <w:pPr>
              <w:widowControl/>
              <w:spacing w:line="256" w:lineRule="auto"/>
              <w:ind w:left="108" w:lef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  <w:vAlign w:val="top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  <w:vAlign w:val="top"/>
          </w:tcPr>
          <w:p>
            <w:pPr>
              <w:widowControl/>
              <w:spacing w:line="256" w:lineRule="auto"/>
              <w:ind w:left="0" w:leftChars="0" w:firstLine="320" w:firstLineChars="20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  <w:vAlign w:val="top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gridBefore w:val="1"/>
          <w:wBefore w:w="24" w:type="dxa"/>
          <w:trHeight w:val="308" w:hRule="atLeast"/>
        </w:trPr>
        <w:tc>
          <w:tcPr>
            <w:tcW w:w="15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≥105</w:t>
            </w: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108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</w:t>
            </w:r>
          </w:p>
        </w:tc>
        <w:tc>
          <w:tcPr>
            <w:tcW w:w="1326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0.86-1.04</w:t>
            </w:r>
          </w:p>
        </w:tc>
        <w:tc>
          <w:tcPr>
            <w:tcW w:w="133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ind w:left="578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0.94</w:t>
            </w:r>
          </w:p>
        </w:tc>
        <w:tc>
          <w:tcPr>
            <w:tcW w:w="2140" w:type="dxa"/>
            <w:shd w:val="clear" w:color="auto" w:fill="auto"/>
            <w:tcMar>
              <w:top w:w="0" w:type="dxa"/>
              <w:left w:w="0" w:type="dxa"/>
            </w:tcMar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0.84-1.05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Model 4****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after="160"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continuous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 xml:space="preserve">  1.00-1.05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1.00-1.06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&lt;60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1.13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 xml:space="preserve">  0.96-1.34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1.15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0.95-1.40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60-74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1.08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 xml:space="preserve">  0.97-1.21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1.09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0.97-1.24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75-89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1.02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 xml:space="preserve">  0.94-1.12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1.03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0.93-1.14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0-105</w:t>
            </w:r>
          </w:p>
        </w:tc>
        <w:tc>
          <w:tcPr>
            <w:tcW w:w="1200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ind w:left="108" w:lef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26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1330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ind w:left="0" w:leftChars="0" w:firstLine="320" w:firstLineChars="20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  <w:tc>
          <w:tcPr>
            <w:tcW w:w="2140" w:type="dxa"/>
            <w:shd w:val="clear" w:color="auto" w:fill="D9D9D9"/>
            <w:tcMar>
              <w:top w:w="42" w:type="dxa"/>
              <w:left w:w="31" w:type="dxa"/>
              <w:right w:w="115" w:type="dxa"/>
            </w:tcMar>
            <w:vAlign w:val="top"/>
          </w:tcPr>
          <w:p>
            <w:pPr>
              <w:widowControl/>
              <w:spacing w:line="256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eference</w:t>
            </w:r>
          </w:p>
        </w:tc>
      </w:tr>
      <w:tr>
        <w:tblPrEx>
          <w:tblCellMar>
            <w:top w:w="41" w:type="dxa"/>
            <w:left w:w="3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50" w:type="dxa"/>
            <w:gridSpan w:val="2"/>
            <w:tcBorders>
              <w:bottom w:val="single" w:color="auto" w:sz="4" w:space="0"/>
            </w:tcBorders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≥105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0.98</w:t>
            </w:r>
          </w:p>
        </w:tc>
        <w:tc>
          <w:tcPr>
            <w:tcW w:w="1326" w:type="dxa"/>
            <w:tcBorders>
              <w:bottom w:val="single" w:color="auto" w:sz="4" w:space="0"/>
            </w:tcBorders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5"/>
              <w:jc w:val="left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 xml:space="preserve">  0.87-1.10</w:t>
            </w:r>
          </w:p>
        </w:tc>
        <w:tc>
          <w:tcPr>
            <w:tcW w:w="1330" w:type="dxa"/>
            <w:tcBorders>
              <w:bottom w:val="single" w:color="auto" w:sz="4" w:space="0"/>
            </w:tcBorders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3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0.98</w:t>
            </w:r>
          </w:p>
        </w:tc>
        <w:tc>
          <w:tcPr>
            <w:tcW w:w="2140" w:type="dxa"/>
            <w:tcBorders>
              <w:bottom w:val="single" w:color="auto" w:sz="4" w:space="0"/>
            </w:tcBorders>
            <w:shd w:val="clear" w:color="auto" w:fill="D9D9D9"/>
            <w:tcMar>
              <w:top w:w="42" w:type="dxa"/>
              <w:left w:w="31" w:type="dxa"/>
              <w:right w:w="115" w:type="dxa"/>
            </w:tcMar>
          </w:tcPr>
          <w:p>
            <w:pPr>
              <w:widowControl/>
              <w:spacing w:line="256" w:lineRule="auto"/>
              <w:ind w:left="82"/>
              <w:jc w:val="center"/>
              <w:rPr>
                <w:rFonts w:hint="default"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bidi="ar"/>
              </w:rPr>
              <w:t>0.86-1.11</w:t>
            </w:r>
          </w:p>
        </w:tc>
      </w:tr>
    </w:tbl>
    <w:p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*</w:t>
      </w:r>
      <w:r>
        <w:rPr>
          <w:rFonts w:hint="eastAsia" w:ascii="Times New Roman" w:hAnsi="Times New Roman" w:cs="Times New Roman"/>
          <w:sz w:val="15"/>
          <w:szCs w:val="15"/>
        </w:rPr>
        <w:t xml:space="preserve">excluded patients with self-reported urolithiasis, </w:t>
      </w:r>
      <w:r>
        <w:rPr>
          <w:rFonts w:ascii="Times New Roman" w:hAnsi="Times New Roman" w:cs="Times New Roman"/>
          <w:sz w:val="15"/>
          <w:szCs w:val="15"/>
        </w:rPr>
        <w:t>**</w:t>
      </w:r>
      <w:r>
        <w:rPr>
          <w:rFonts w:hint="eastAsia" w:ascii="Times New Roman" w:hAnsi="Times New Roman" w:cs="Times New Roman"/>
          <w:sz w:val="15"/>
          <w:szCs w:val="15"/>
        </w:rPr>
        <w:t>tested the possibility of reverse causality by excluding patients with endpoint events within the first 2 years of follow-up</w:t>
      </w:r>
      <w:r>
        <w:rPr>
          <w:rFonts w:ascii="Times New Roman" w:hAnsi="Times New Roman" w:cs="Times New Roman"/>
          <w:sz w:val="15"/>
          <w:szCs w:val="15"/>
        </w:rPr>
        <w:t>, ***</w:t>
      </w:r>
      <w:r>
        <w:rPr>
          <w:rFonts w:hint="eastAsia" w:ascii="Times New Roman" w:hAnsi="Times New Roman" w:cs="Times New Roman"/>
          <w:sz w:val="15"/>
          <w:szCs w:val="15"/>
        </w:rPr>
        <w:t>performed Fine-Gray subdistribution hazard models considering death before the endpoint as a competing risk</w:t>
      </w:r>
      <w:r>
        <w:rPr>
          <w:rFonts w:ascii="Times New Roman" w:hAnsi="Times New Roman" w:cs="Times New Roman"/>
          <w:sz w:val="15"/>
          <w:szCs w:val="15"/>
        </w:rPr>
        <w:t>, **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*</w:t>
      </w:r>
      <w:r>
        <w:rPr>
          <w:rFonts w:ascii="Times New Roman" w:hAnsi="Times New Roman" w:cs="Times New Roman"/>
          <w:sz w:val="15"/>
          <w:szCs w:val="15"/>
        </w:rPr>
        <w:t>*</w:t>
      </w:r>
      <w:r>
        <w:rPr>
          <w:rFonts w:hint="eastAsia" w:ascii="Times New Roman" w:hAnsi="Times New Roman" w:cs="Times New Roman"/>
          <w:sz w:val="15"/>
          <w:szCs w:val="15"/>
        </w:rPr>
        <w:t>used the data before multiple interpolation as the analysis set</w:t>
      </w:r>
      <w:r>
        <w:rPr>
          <w:rStyle w:val="8"/>
          <w:rFonts w:hint="default" w:ascii="Times New Roman" w:hAnsi="Times New Roman" w:cs="Times New Roman"/>
          <w:sz w:val="15"/>
          <w:szCs w:val="15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We used repeated eGFR measurements collected from 17,862 participants (who met our inclusion criteria) to correct for regression dilution bias.</w:t>
      </w:r>
      <w:r>
        <w:rPr>
          <w:rFonts w:ascii="Times New Roman" w:hAnsi="Times New Roman" w:cs="Times New Roman"/>
          <w:sz w:val="15"/>
          <w:szCs w:val="15"/>
        </w:rPr>
        <w:t xml:space="preserve"> The regression dilution ratios were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&lt;-0.875 </w:t>
      </w:r>
      <w:r>
        <w:rPr>
          <w:rFonts w:hint="eastAsia" w:ascii="Times New Roman" w:hAnsi="Times New Roman" w:cs="Times New Roman"/>
          <w:sz w:val="15"/>
          <w:szCs w:val="15"/>
        </w:rPr>
        <w:t>all participants</w:t>
      </w:r>
      <w:r>
        <w:rPr>
          <w:rFonts w:ascii="Times New Roman" w:hAnsi="Times New Roman" w:cs="Times New Roman"/>
          <w:sz w:val="15"/>
          <w:szCs w:val="15"/>
        </w:rPr>
        <w:t>. eGFR, estimated glomerular filtration rate; HR, hazard ratio; CI, confidence interval; RDR, regression dilution ratio.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534DA8"/>
    <w:rsid w:val="00167D9F"/>
    <w:rsid w:val="00534DA8"/>
    <w:rsid w:val="00F1769B"/>
    <w:rsid w:val="018112AA"/>
    <w:rsid w:val="053C512E"/>
    <w:rsid w:val="072D7BEE"/>
    <w:rsid w:val="08A6123D"/>
    <w:rsid w:val="092C2DB6"/>
    <w:rsid w:val="13F56BD4"/>
    <w:rsid w:val="14B4083D"/>
    <w:rsid w:val="1C6074FD"/>
    <w:rsid w:val="1D6F5C49"/>
    <w:rsid w:val="267F67D1"/>
    <w:rsid w:val="30B17ECF"/>
    <w:rsid w:val="32F84222"/>
    <w:rsid w:val="379522F8"/>
    <w:rsid w:val="3AC0143A"/>
    <w:rsid w:val="4292190E"/>
    <w:rsid w:val="448243C9"/>
    <w:rsid w:val="486024AF"/>
    <w:rsid w:val="48D2515B"/>
    <w:rsid w:val="4F3F4BCC"/>
    <w:rsid w:val="508233AA"/>
    <w:rsid w:val="5E954808"/>
    <w:rsid w:val="6410048D"/>
    <w:rsid w:val="6CF05300"/>
    <w:rsid w:val="6DC81DD9"/>
    <w:rsid w:val="786A41B8"/>
    <w:rsid w:val="7B315300"/>
    <w:rsid w:val="7EB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3"/>
    <w:qFormat/>
    <w:uiPriority w:val="0"/>
    <w:rPr>
      <w:b/>
      <w:bCs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table" w:customStyle="1" w:styleId="9">
    <w:name w:val="TableGrid"/>
    <w:basedOn w:val="5"/>
    <w:qFormat/>
    <w:uiPriority w:val="0"/>
    <w:rPr>
      <w:rFonts w:hint="eastAsia" w:ascii="等线" w:hAnsi="等线" w:eastAsia="等线" w:cs="等线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customStyle="1" w:styleId="10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2"/>
      <w:szCs w:val="12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12"/>
      <w:szCs w:val="12"/>
      <w:u w:val="none"/>
    </w:rPr>
  </w:style>
  <w:style w:type="character" w:customStyle="1" w:styleId="12">
    <w:name w:val="批注文字 字符"/>
    <w:basedOn w:val="6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字符"/>
    <w:basedOn w:val="12"/>
    <w:link w:val="4"/>
    <w:qFormat/>
    <w:uiPriority w:val="0"/>
    <w:rPr>
      <w:b/>
      <w:bCs/>
      <w:kern w:val="2"/>
      <w:sz w:val="21"/>
      <w:szCs w:val="24"/>
    </w:rPr>
  </w:style>
  <w:style w:type="character" w:customStyle="1" w:styleId="14">
    <w:name w:val="批注框文本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3</Pages>
  <Words>764</Words>
  <Characters>4359</Characters>
  <Lines>36</Lines>
  <Paragraphs>10</Paragraphs>
  <TotalTime>26</TotalTime>
  <ScaleCrop>false</ScaleCrop>
  <LinksUpToDate>false</LinksUpToDate>
  <CharactersWithSpaces>5113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2022-10-11T10:45:00Z</dcterms:created>
  <dc:creator>86176</dc:creator>
  <cp:lastModifiedBy>春光不必趁早</cp:lastModifiedBy>
  <dcterms:modified xsi:type="dcterms:W3CDTF">2022-11-16T04:22:06Z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55367F18E138436D81DD0E5C5E5970CB</vt:lpwstr>
  </property>
</Properties>
</file>