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tbl>
      <w:tblPr>
        <w:tblStyle w:val="2"/>
        <w:tblW w:w="69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7"/>
        <w:gridCol w:w="1386"/>
        <w:gridCol w:w="1340"/>
        <w:gridCol w:w="1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943" w:type="dxa"/>
            <w:gridSpan w:val="4"/>
            <w:tcBorders>
              <w:top w:val="nil"/>
              <w:left w:val="nil"/>
              <w:bottom w:val="single" w:color="000000" w:sz="12" w:space="0"/>
              <w:right w:val="nil"/>
            </w:tcBorders>
            <w:vAlign w:val="center"/>
          </w:tcPr>
          <w:p>
            <w:pPr>
              <w:rPr>
                <w:rStyle w:val="4"/>
                <w:b/>
                <w:bCs/>
              </w:rPr>
            </w:pPr>
            <w:r>
              <w:rPr>
                <w:rStyle w:val="4"/>
                <w:b/>
                <w:bCs/>
              </w:rPr>
              <w:t>TABLE2</w:t>
            </w:r>
            <w:r>
              <w:rPr>
                <w:rStyle w:val="4"/>
                <w:rFonts w:hint="eastAsia"/>
                <w:b/>
                <w:bCs/>
              </w:rPr>
              <w:t xml:space="preserve"> Baseline</w:t>
            </w:r>
            <w:r>
              <w:rPr>
                <w:rStyle w:val="4"/>
                <w:b/>
                <w:bCs/>
              </w:rPr>
              <w:t xml:space="preserve"> Lesion Characteristic</w:t>
            </w:r>
            <w:r>
              <w:rPr>
                <w:rStyle w:val="4"/>
                <w:rFonts w:hint="eastAsia"/>
                <w:b/>
                <w:bCs/>
              </w:rPr>
              <w:t>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3217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Style w:val="4"/>
                <w:b/>
                <w:bCs/>
              </w:rPr>
            </w:pPr>
            <w:r>
              <w:rPr>
                <w:rStyle w:val="4"/>
                <w:b/>
                <w:bCs/>
              </w:rPr>
              <w:t>Lesion</w:t>
            </w:r>
            <w:r>
              <w:rPr>
                <w:rStyle w:val="4"/>
                <w:rFonts w:hint="eastAsia"/>
                <w:b/>
                <w:bCs/>
              </w:rPr>
              <w:t xml:space="preserve"> </w:t>
            </w:r>
            <w:r>
              <w:rPr>
                <w:rStyle w:val="4"/>
                <w:b/>
                <w:bCs/>
              </w:rPr>
              <w:t>Characteristics</w:t>
            </w:r>
          </w:p>
          <w:p>
            <w:pPr>
              <w:widowControl/>
              <w:jc w:val="center"/>
              <w:textAlignment w:val="top"/>
              <w:rPr>
                <w:rFonts w:cs="Calibri"/>
                <w:b/>
                <w:bCs/>
                <w:color w:val="000000"/>
                <w:sz w:val="24"/>
              </w:rPr>
            </w:pPr>
            <w:r>
              <w:rPr>
                <w:rStyle w:val="4"/>
                <w:b/>
                <w:bCs/>
              </w:rPr>
              <w:t>Number of vessels (</w:t>
            </w:r>
            <w:r>
              <w:rPr>
                <w:rStyle w:val="4"/>
                <w:rFonts w:hint="eastAsia"/>
                <w:b/>
                <w:bCs/>
              </w:rPr>
              <w:t>146</w:t>
            </w:r>
            <w:r>
              <w:rPr>
                <w:rStyle w:val="4"/>
                <w:b/>
                <w:bCs/>
              </w:rPr>
              <w:t>)</w:t>
            </w:r>
          </w:p>
        </w:tc>
        <w:tc>
          <w:tcPr>
            <w:tcW w:w="1386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 w:cs="Calibri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lang w:eastAsia="zh-CN"/>
              </w:rPr>
              <w:t>target-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</w:rPr>
              <w:t>μFR</w:t>
            </w:r>
          </w:p>
        </w:tc>
        <w:tc>
          <w:tcPr>
            <w:tcW w:w="134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hint="eastAsia" w:eastAsia="宋体" w:cs="Calibri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lang w:eastAsia="zh-CN"/>
              </w:rPr>
              <w:t>vessel-μFR</w:t>
            </w:r>
          </w:p>
        </w:tc>
        <w:tc>
          <w:tcPr>
            <w:tcW w:w="1000" w:type="dxa"/>
            <w:tcBorders>
              <w:top w:val="single" w:color="000000" w:sz="12" w:space="0"/>
              <w:left w:val="nil"/>
              <w:bottom w:val="single" w:color="000000" w:sz="6" w:space="0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cs="Calibri"/>
                <w:b/>
                <w:bCs/>
                <w:color w:val="000000"/>
                <w:sz w:val="24"/>
              </w:rPr>
            </w:pPr>
            <w:r>
              <w:rPr>
                <w:rFonts w:hint="eastAsia" w:cs="Calibri"/>
                <w:b/>
                <w:bCs/>
                <w:color w:val="000000"/>
                <w:sz w:val="24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217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QCA feature</w:t>
            </w:r>
          </w:p>
        </w:tc>
        <w:tc>
          <w:tcPr>
            <w:tcW w:w="2726" w:type="dxa"/>
            <w:gridSpan w:val="2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000000" w:sz="6" w:space="0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Diameter stenosis, %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6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7.64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10.174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LAD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92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63.0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LCX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18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12.3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RCA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36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24.7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QFR feature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Reference vessel diameter, mm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2.94（2.44，3.29）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2.80(2.34，3.19)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P&gt;0.05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Minimal lumen diameter, mm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1.61±0.51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1.55±0.47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P&gt;0.05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Diameter stenosis (%)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45.1±10.5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44.2±10.7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P&gt;0.05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Area Stenosis (%)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2.91±0.65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2.78±0.61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</w:rPr>
              <w:t>P&gt;0.05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Functional indexes</w:t>
            </w:r>
          </w:p>
        </w:tc>
        <w:tc>
          <w:tcPr>
            <w:tcW w:w="372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target-</w:t>
            </w:r>
            <w:r>
              <w:rPr>
                <w:rFonts w:hint="default" w:ascii="Times New Roman" w:hAnsi="Times New Roman" w:cs="Times New Roman"/>
              </w:rPr>
              <w:t>μ</w:t>
            </w:r>
            <w:r>
              <w:rPr>
                <w:rFonts w:hint="eastAsia" w:ascii="Times New Roman" w:hAnsi="Times New Roman" w:cs="Times New Roman"/>
              </w:rPr>
              <w:t>FR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value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83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±0.10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eastAsia="zh-CN"/>
              </w:rPr>
              <w:t>vessel-</w:t>
            </w:r>
            <w:r>
              <w:rPr>
                <w:rFonts w:hint="default" w:ascii="Times New Roman" w:hAnsi="Times New Roman" w:cs="Times New Roman"/>
              </w:rPr>
              <w:t>μ</w:t>
            </w:r>
            <w:r>
              <w:rPr>
                <w:rFonts w:hint="eastAsia" w:ascii="Times New Roman" w:hAnsi="Times New Roman" w:cs="Times New Roman"/>
              </w:rPr>
              <w:t>FR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 xml:space="preserve"> value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83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±0.09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FFR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82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±0.09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217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FFR≤0.80</w:t>
            </w:r>
          </w:p>
        </w:tc>
        <w:tc>
          <w:tcPr>
            <w:tcW w:w="2726" w:type="dxa"/>
            <w:gridSpan w:val="2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61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41.5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%)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12" w:space="0"/>
              <w:right w:val="nil"/>
            </w:tcBorders>
            <w:vAlign w:val="top"/>
          </w:tcPr>
          <w:p>
            <w:pPr>
              <w:widowControl/>
              <w:jc w:val="center"/>
              <w:textAlignment w:val="top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6943" w:type="dxa"/>
            <w:gridSpan w:val="4"/>
            <w:tcBorders>
              <w:top w:val="single" w:color="000000" w:sz="12" w:space="0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Values are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sym w:font="Symbol" w:char="0060"/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Mean±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SD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>, Mean (P25,P75)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 xml:space="preserve"> or n (%)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LAD: lanterior descending coronary artery, LCX: left circumflex artery, RCA: right coronary artery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</w:rPr>
              <w:t xml:space="preserve">. QCA: 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 xml:space="preserve">quantitative coronary angiography.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T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arget-</w:t>
            </w:r>
            <w:r>
              <w:rPr>
                <w:rFonts w:hint="default" w:ascii="Times New Roman" w:hAnsi="Times New Roman" w:cs="Times New Roman"/>
              </w:rPr>
              <w:t>μ</w:t>
            </w:r>
            <w:r>
              <w:rPr>
                <w:rFonts w:hint="eastAsia" w:ascii="Times New Roman" w:hAnsi="Times New Roman" w:cs="Times New Roman"/>
              </w:rPr>
              <w:t>FR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 xml:space="preserve">: target-position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Murray Law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 xml:space="preserve"> based quantitative flow ratio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.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eastAsia="zh-CN"/>
              </w:rPr>
              <w:t>vessel-</w:t>
            </w:r>
            <w:r>
              <w:rPr>
                <w:rFonts w:hint="default" w:ascii="Times New Roman" w:hAnsi="Times New Roman" w:cs="Times New Roman"/>
              </w:rPr>
              <w:t>μ</w:t>
            </w:r>
            <w:r>
              <w:rPr>
                <w:rFonts w:hint="eastAsia" w:ascii="Times New Roman" w:hAnsi="Times New Roman" w:cs="Times New Roman"/>
              </w:rPr>
              <w:t>FR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 xml:space="preserve">: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>V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essel quantitative flow ratio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/>
              </w:rPr>
              <w:t xml:space="preserve"> derived from Murray Law</w:t>
            </w:r>
            <w:r>
              <w:rPr>
                <w:rFonts w:hint="eastAsia" w:ascii="Times New Roman" w:hAnsi="Times New Roman" w:cs="Times New Roman"/>
                <w:kern w:val="0"/>
                <w:sz w:val="24"/>
              </w:rPr>
              <w:t>.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13D879F7"/>
    <w:rsid w:val="13D8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2023-11-20T12:47:00Z</dcterms:created>
  <dc:creator>Juvenile  Delinquent</dc:creator>
  <cp:lastModifiedBy>Juvenile  Delinquent</cp:lastModifiedBy>
  <dcterms:modified xsi:type="dcterms:W3CDTF">2023-11-20T12:47:42Z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8B465E024B444D88ADC94D61DC3E7C58_11</vt:lpwstr>
  </property>
</Properties>
</file>