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</w:p>
    <w:tbl>
      <w:tblPr>
        <w:tblStyle w:val="2"/>
        <w:tblpPr w:leftFromText="180" w:rightFromText="180" w:vertAnchor="text" w:horzAnchor="page" w:tblpX="837" w:tblpY="234"/>
        <w:tblOverlap w:val="never"/>
        <w:tblW w:w="96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5"/>
        <w:gridCol w:w="2985"/>
        <w:gridCol w:w="37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7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bookmarkStart w:id="0" w:name="_GoBack"/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 xml:space="preserve">Table 3 Diagnostic performance of 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 w:val="24"/>
                <w:lang w:eastAsia="zh-CN"/>
              </w:rPr>
              <w:t>t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2"/>
                <w:sz w:val="24"/>
                <w:lang w:eastAsia="zh-CN"/>
              </w:rPr>
              <w:t>arget-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μFR</w:t>
            </w:r>
            <w:r>
              <w:rPr>
                <w:rFonts w:ascii="Times New Roman" w:hAnsi="Times New Roman" w:cs="Times New Roman"/>
                <w:b/>
                <w:bCs/>
                <w:color w:val="auto"/>
                <w:kern w:val="2"/>
                <w:sz w:val="24"/>
              </w:rPr>
              <w:t xml:space="preserve"> and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2"/>
                <w:sz w:val="24"/>
                <w:lang w:eastAsia="zh-CN"/>
              </w:rPr>
              <w:t>vessel-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</w:rPr>
              <w:t>μFR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for predicting FFR≤0.80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eastAsia="zh-CN"/>
              </w:rPr>
              <w:t>vessel-</w:t>
            </w:r>
            <w:r>
              <w:rPr>
                <w:rFonts w:hint="default" w:ascii="Times New Roman" w:hAnsi="Times New Roman" w:cs="Times New Roman"/>
                <w:sz w:val="24"/>
              </w:rPr>
              <w:t>μFR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eastAsia="zh-CN"/>
              </w:rPr>
              <w:t>target-</w:t>
            </w:r>
            <w:r>
              <w:rPr>
                <w:rFonts w:hint="default" w:ascii="Times New Roman" w:hAnsi="Times New Roman" w:cs="Times New Roman"/>
                <w:sz w:val="24"/>
              </w:rPr>
              <w:t>μF</w:t>
            </w:r>
            <w:r>
              <w:rPr>
                <w:rFonts w:hint="eastAsia" w:ascii="Times New Roman" w:hAnsi="Times New Roman" w:cs="Times New Roman"/>
              </w:rPr>
              <w:t>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Sensitivity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86.44%(75.02% to 93.96%)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92.98%(83.00% to 98.06%)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Specificity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88.51%(79.876% to 94.348%)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91.01%(3.06% to 96.04%)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Positive Likelihood Ratio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7.52(4.161 to 13.591)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10.34(5.32 to 20.11)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Negative Likelihood Ratio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0.15(0.080 to 0.293)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0.08(0.03 to 0.20)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Disease prevalence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40.41%(32.38% to 48.84%)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39.04%(31.08% to 47.45%)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Positive Predictive Value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83.61%(73.84% to 90.21%)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86.89%(77.31% to 92.80%)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Negative Predictive Value</w:t>
            </w: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90.59%(83.42% to 94.85%)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95.29%(88.71% to 98.12%)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925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Accuracy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87.67%(81.217% to 92.527%)</w:t>
            </w:r>
          </w:p>
        </w:tc>
        <w:tc>
          <w:tcPr>
            <w:tcW w:w="3765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91.78%(86.08% to 95.68%)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75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Value are n(95%confidence interval). Abbreviations as in Table 2.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55255044"/>
    <w:rsid w:val="55255044"/>
    <w:rsid w:val="68735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2023-11-20T12:47:00Z</dcterms:created>
  <dc:creator>Juvenile  Delinquent</dc:creator>
  <cp:lastModifiedBy>Juvenile  Delinquent</cp:lastModifiedBy>
  <dcterms:modified xsi:type="dcterms:W3CDTF">2023-11-20T12:48:29Z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29C5704980D04AE992E55BBEA23CE83B_11</vt:lpwstr>
  </property>
</Properties>
</file>