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666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30"/>
        <w:gridCol w:w="333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660" w:type="dxa"/>
            <w:gridSpan w:val="2"/>
            <w:tcBorders>
              <w:top w:val="nil"/>
              <w:left w:val="nil"/>
              <w:bottom w:val="single" w:color="000000" w:sz="12" w:space="0"/>
              <w:right w:val="nil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</w:rPr>
              <w:t>TABLE1 Baseline Clinical Patient</w:t>
            </w:r>
            <w:r>
              <w:rPr>
                <w:rFonts w:hint="eastAsia" w:ascii="Times New Roman" w:hAnsi="Times New Roman" w:cs="Times New Roman"/>
                <w:b/>
                <w:bCs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</w:rPr>
              <w:t>characteristic</w:t>
            </w:r>
            <w:r>
              <w:rPr>
                <w:rFonts w:hint="eastAsia" w:ascii="Times New Roman" w:hAnsi="Times New Roman" w:cs="Times New Roman"/>
                <w:b/>
                <w:bCs/>
                <w:color w:val="000000"/>
                <w:kern w:val="0"/>
                <w:sz w:val="24"/>
              </w:rPr>
              <w:t>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3330" w:type="dxa"/>
            <w:tcBorders>
              <w:top w:val="single" w:color="000000" w:sz="12" w:space="0"/>
              <w:left w:val="nil"/>
              <w:bottom w:val="single" w:color="000000" w:sz="6" w:space="0"/>
              <w:right w:val="nil"/>
            </w:tcBorders>
            <w:vAlign w:val="top"/>
          </w:tcPr>
          <w:p>
            <w:pPr>
              <w:widowControl/>
              <w:jc w:val="left"/>
              <w:textAlignment w:val="top"/>
              <w:rPr>
                <w:rFonts w:cs="Calibri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</w:rPr>
              <w:t>Patient Characteristics</w:t>
            </w:r>
          </w:p>
        </w:tc>
        <w:tc>
          <w:tcPr>
            <w:tcW w:w="3330" w:type="dxa"/>
            <w:tcBorders>
              <w:top w:val="single" w:color="000000" w:sz="12" w:space="0"/>
              <w:left w:val="nil"/>
              <w:bottom w:val="single" w:color="000000" w:sz="6" w:space="0"/>
              <w:right w:val="nil"/>
            </w:tcBorders>
            <w:vAlign w:val="top"/>
          </w:tcPr>
          <w:p>
            <w:pPr>
              <w:widowControl/>
              <w:jc w:val="left"/>
              <w:textAlignment w:val="top"/>
              <w:rPr>
                <w:rFonts w:cs="Calibri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</w:rPr>
              <w:t>Number of patients (</w:t>
            </w:r>
            <w:r>
              <w:rPr>
                <w:rFonts w:hint="eastAsia" w:ascii="Times New Roman" w:hAnsi="Times New Roman" w:cs="Times New Roman"/>
                <w:b/>
                <w:bCs/>
                <w:color w:val="000000"/>
                <w:kern w:val="0"/>
                <w:sz w:val="24"/>
              </w:rPr>
              <w:t>137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</w:rPr>
              <w:t>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3330" w:type="dxa"/>
            <w:tcBorders>
              <w:top w:val="single" w:color="000000" w:sz="6" w:space="0"/>
              <w:left w:val="nil"/>
              <w:bottom w:val="nil"/>
              <w:right w:val="nil"/>
            </w:tcBorders>
            <w:vAlign w:val="top"/>
          </w:tcPr>
          <w:p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Age,yrs</w:t>
            </w:r>
          </w:p>
        </w:tc>
        <w:tc>
          <w:tcPr>
            <w:tcW w:w="3330" w:type="dxa"/>
            <w:tcBorders>
              <w:top w:val="single" w:color="000000" w:sz="6" w:space="0"/>
              <w:left w:val="nil"/>
              <w:bottom w:val="nil"/>
              <w:right w:val="nil"/>
            </w:tcBorders>
            <w:vAlign w:val="top"/>
          </w:tcPr>
          <w:p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6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</w:rPr>
              <w:t>4.5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</w:rPr>
              <w:t>10.5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Male</w:t>
            </w: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</w:rPr>
              <w:t>95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 xml:space="preserve"> (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</w:rPr>
              <w:t>69.3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%)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Hypertension</w:t>
            </w: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</w:rPr>
              <w:t>81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 xml:space="preserve"> (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</w:rPr>
              <w:t>59.1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%)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Diabetes mellitus</w:t>
            </w: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</w:rPr>
              <w:t>36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 xml:space="preserve"> (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</w:rPr>
              <w:t>26.2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%)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</w:rPr>
              <w:t>H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yperlipoidemia</w:t>
            </w: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</w:rPr>
              <w:t>46 (33.5%)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Peripheral artery disease</w:t>
            </w: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</w:rPr>
              <w:t>34 (24.8%)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</w:rPr>
              <w:t>C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 xml:space="preserve">erebrovascular accident 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</w:rPr>
              <w:t>history</w:t>
            </w: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</w:rPr>
              <w:t>9 (6.5%)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Smoking history</w:t>
            </w: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</w:rPr>
              <w:t>61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 xml:space="preserve"> (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</w:rPr>
              <w:t>44.5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%)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Drinking history</w:t>
            </w: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</w:rPr>
              <w:t>44 (32.1%)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BMI, kg/m2</w:t>
            </w: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</w:rPr>
              <w:t>23.95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</w:rPr>
              <w:t>3.18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Family history of CAD</w:t>
            </w: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Previous CABG</w:t>
            </w: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</w:rPr>
              <w:t>1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 xml:space="preserve"> (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</w:rPr>
              <w:t>0.7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%)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Previous PCI</w:t>
            </w: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</w:rPr>
              <w:t>67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 xml:space="preserve"> (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</w:rPr>
              <w:t>48.9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%)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</w:rPr>
              <w:t>Previous MI</w:t>
            </w: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</w:rPr>
              <w:t>14 (10.2%)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 xml:space="preserve">Clinical presentation   </w:t>
            </w: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Stable angina</w:t>
            </w: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</w:rPr>
              <w:t>100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(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</w:rPr>
              <w:t>73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%)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Unstable angina</w:t>
            </w: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</w:rPr>
              <w:t>37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(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</w:rPr>
              <w:t>27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%)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Echocardiographic data</w:t>
            </w: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Left ventricle ejection fraction (%)</w:t>
            </w: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6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</w:rPr>
              <w:t>5.8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</w:rPr>
              <w:t>7.58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Left ventricle internal dimension (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</w:rPr>
              <w:t>c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m)</w:t>
            </w: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3.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2±0.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</w:rPr>
              <w:t>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Left ventricle diastolic diameter (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</w:rPr>
              <w:t>c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m)</w:t>
            </w: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4.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</w:rPr>
              <w:t>76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±0.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</w:rPr>
              <w:t>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660" w:type="dxa"/>
            <w:gridSpan w:val="2"/>
            <w:tcBorders>
              <w:top w:val="single" w:color="000000" w:sz="12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cs="Calibri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Values are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</w:rPr>
              <w:sym w:font="Symbol" w:char="0060"/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</w:rPr>
              <w:t>Mean±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SD or n (%). BMI: Body mass index, CAD: coronary artery disease, CABG: coronary artery bypass grafting PCI: percutaneous coronary intervention, MI: myocardial infarction.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5ODM0YmMxOWJiYWQyNDU4MGIzYWRmYTA0ZmI5NDcifQ=="/>
  </w:docVars>
  <w:rsids>
    <w:rsidRoot w:val="7A6E68EB"/>
    <w:rsid w:val="7A6E6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2023-11-20T12:47:00Z</dcterms:created>
  <dc:creator>Juvenile  Delinquent</dc:creator>
  <cp:lastModifiedBy>Juvenile  Delinquent</cp:lastModifiedBy>
  <dcterms:modified xsi:type="dcterms:W3CDTF">2023-11-20T12:48:00Z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43CD91B2443149DDABDA4DC49631B262_11</vt:lpwstr>
  </property>
</Properties>
</file>