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65E158" w14:textId="77777777" w:rsidR="00223F8D" w:rsidRPr="0093298E" w:rsidRDefault="00223F8D" w:rsidP="00223F8D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Supplementary Tables</w:t>
      </w:r>
    </w:p>
    <w:p w14:paraId="238299DA" w14:textId="77777777" w:rsidR="00223F8D" w:rsidRPr="0093298E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Table 1. Computational tools included in this study and cellMarkerPipe.</w:t>
      </w:r>
    </w:p>
    <w:p w14:paraId="64551277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Table 2. Single cell RNA dataset used in this study.</w:t>
      </w:r>
    </w:p>
    <w:p w14:paraId="2EB24A01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8D1F8F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Table 3. The complete results and statistics by different testing cases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08CDDBFD" w14:textId="77777777" w:rsidR="00223F8D" w:rsidRPr="0093298E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A2102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Table 4. Complete results and statistics for the human and mice gut tissues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5C7D214C" w14:textId="77777777" w:rsidR="00223F8D" w:rsidRPr="0093298E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Supplementary Table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5</w:t>
      </w: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 Manually collected high confident marker genes for the benchmark datasets.</w:t>
      </w:r>
    </w:p>
    <w:p w14:paraId="477336C7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Supplementary Table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6</w:t>
      </w: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 Parameters and statistics in running the pipeline and in method comparison.</w:t>
      </w:r>
    </w:p>
    <w:p w14:paraId="2A0945CA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Table 7. Identified marker genes from various methods in cellMarkerPipe for the benchmark datasets.</w:t>
      </w:r>
    </w:p>
    <w:p w14:paraId="40C71386" w14:textId="77777777" w:rsidR="00223F8D" w:rsidRPr="0093298E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</w:p>
    <w:p w14:paraId="3044DDE9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93298E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Supplementary 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Figures</w:t>
      </w:r>
    </w:p>
    <w:p w14:paraId="5D021281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EC078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1.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Heatmap for </w:t>
      </w: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Zeisel data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338CB70E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 w:rsidRPr="00EC078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Supplementary Figure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2</w:t>
      </w:r>
      <w:r w:rsidRPr="00EC0780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Heatmap for Jurkat</w:t>
      </w:r>
      <w:r w:rsidRPr="0093298E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data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at 50:50 mixture ratio.</w:t>
      </w:r>
    </w:p>
    <w:p w14:paraId="385765E9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3. Heatmap for PBMC data</w:t>
      </w:r>
      <w:r w:rsidRPr="000A36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with </w:t>
      </w:r>
      <w:r w:rsidRPr="000A36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input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of</w:t>
      </w:r>
      <w:r w:rsidRPr="000A36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 2500 cells and 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 xml:space="preserve">5000 </w:t>
      </w:r>
      <w:r w:rsidRPr="000A3677"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highly variable genes</w:t>
      </w: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.</w:t>
      </w:r>
    </w:p>
    <w:p w14:paraId="0BED5C9C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4. Heatmap for human ileum data.</w:t>
      </w:r>
    </w:p>
    <w:p w14:paraId="2C0692A8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5. Heatmap for human rectum data.</w:t>
      </w:r>
    </w:p>
    <w:p w14:paraId="13350389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6. Heatmap for human colon data.</w:t>
      </w:r>
    </w:p>
    <w:p w14:paraId="73D563B3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7. Heatmap for mouse ileum data.</w:t>
      </w:r>
    </w:p>
    <w:p w14:paraId="5C5ECE6D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8. Heatmap for mouse duodenum data.</w:t>
      </w:r>
    </w:p>
    <w:p w14:paraId="3C2203F0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9. Heatmap for mouse jejunum data.</w:t>
      </w:r>
    </w:p>
    <w:p w14:paraId="7FFDEDF1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10. Heatmap for patient unedited blood sample.</w:t>
      </w:r>
    </w:p>
    <w:p w14:paraId="4B9E3BFF" w14:textId="77777777" w:rsidR="00223F8D" w:rsidRDefault="00223F8D" w:rsidP="00223F8D">
      <w:pPr>
        <w:spacing w:line="480" w:lineRule="auto"/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Cs/>
          <w:color w:val="000000"/>
          <w:sz w:val="22"/>
          <w:szCs w:val="22"/>
        </w:rPr>
        <w:t>Supplementary Figure 11. Heatmap for patient blood sample after BCL11A enhancer modification.</w:t>
      </w:r>
    </w:p>
    <w:p w14:paraId="450CAF6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F8D"/>
    <w:rsid w:val="00223F8D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01646"/>
  <w15:chartTrackingRefBased/>
  <w15:docId w15:val="{F2F85E4A-3CCF-486E-89F8-494C1F409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3F8D"/>
    <w:pPr>
      <w:spacing w:after="0" w:line="240" w:lineRule="auto"/>
    </w:pPr>
    <w:rPr>
      <w:rFonts w:eastAsia="SimSu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209</Words>
  <Characters>1194</Characters>
  <Application>Microsoft Office Word</Application>
  <DocSecurity>0</DocSecurity>
  <Lines>9</Lines>
  <Paragraphs>2</Paragraphs>
  <ScaleCrop>false</ScaleCrop>
  <Company>Springer Nature</Company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2024-01-17T05:12:00Z</dcterms:created>
  <dcterms:modified xsi:type="dcterms:W3CDTF">2024-01-17T05:12:00Z</dcterms:modified>
</cp:coreProperties>
</file>