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533734" w14:textId="77777777" w:rsidR="00592326" w:rsidRPr="00261391" w:rsidRDefault="00592326" w:rsidP="0098172C">
      <w:pPr>
        <w:adjustRightInd w:val="0"/>
        <w:snapToGrid w:val="0"/>
        <w:spacing w:beforeLines="100" w:before="312" w:line="480" w:lineRule="auto"/>
        <w:jc w:val="left"/>
        <w:outlineLvl w:val="3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</w:p>
    <w:p w14:paraId="0E799DB6" w14:textId="77777777" w:rsidR="00592326" w:rsidRPr="00737093" w:rsidRDefault="00592326" w:rsidP="0098172C">
      <w:pPr>
        <w:adjustRightInd w:val="0"/>
        <w:snapToGrid w:val="0"/>
        <w:spacing w:beforeLines="100" w:before="312" w:line="480" w:lineRule="auto"/>
        <w:ind w:leftChars="810" w:left="1701" w:firstLine="2"/>
        <w:rPr>
          <w:rFonts w:ascii="Times New Roman" w:hAnsi="Times New Roman" w:cs="Times New Roman"/>
          <w:color w:val="FF0000"/>
          <w:sz w:val="22"/>
        </w:rPr>
      </w:pPr>
      <w:r w:rsidRPr="00737093">
        <w:rPr>
          <w:rFonts w:ascii="Times New Roman" w:hAnsi="Times New Roman" w:cs="Times New Roman"/>
          <w:noProof/>
          <w:color w:val="000000"/>
        </w:rPr>
        <mc:AlternateContent>
          <mc:Choice Requires="wpg">
            <w:drawing>
              <wp:inline distT="0" distB="0" distL="0" distR="0" wp14:anchorId="1DDFB2CC" wp14:editId="29DAEFBD">
                <wp:extent cx="3793770" cy="2388712"/>
                <wp:effectExtent l="0" t="0" r="16510" b="12065"/>
                <wp:docPr id="10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93770" cy="2388712"/>
                          <a:chOff x="-410880" y="45067"/>
                          <a:chExt cx="3793770" cy="2388712"/>
                        </a:xfrm>
                      </wpg:grpSpPr>
                      <wps:wsp>
                        <wps:cNvPr id="14" name="直接箭头连接符 14"/>
                        <wps:cNvCnPr/>
                        <wps:spPr>
                          <a:xfrm>
                            <a:off x="1137920" y="447731"/>
                            <a:ext cx="0" cy="68400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ysClr val="windowText" lastClr="000000"/>
                            </a:solidFill>
                            <a:miter lim="800000"/>
                            <a:headEnd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5" name="文本框 15"/>
                        <wps:cNvSpPr txBox="1"/>
                        <wps:spPr>
                          <a:xfrm>
                            <a:off x="-410880" y="45067"/>
                            <a:ext cx="3029447" cy="394043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267D04A" w14:textId="77777777" w:rsidR="00592326" w:rsidRPr="004D74FB" w:rsidRDefault="00592326" w:rsidP="0059232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2"/>
                                </w:rPr>
                              </w:pPr>
                              <w:r w:rsidRPr="004D74FB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2"/>
                                </w:rPr>
                                <w:t>A total of 278769 hospitalizations for CBVD</w:t>
                              </w:r>
                            </w:p>
                            <w:p w14:paraId="73AE8A4F" w14:textId="77777777" w:rsidR="00592326" w:rsidRPr="004D74FB" w:rsidRDefault="00592326" w:rsidP="00592326">
                              <w:pPr>
                                <w:jc w:val="center"/>
                                <w:rPr>
                                  <w:color w:val="000000" w:themeColor="text1"/>
                                  <w:kern w:val="0"/>
                                  <w:sz w:val="22"/>
                                </w:rPr>
                              </w:pPr>
                              <w:r w:rsidRPr="004D74FB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2"/>
                                </w:rPr>
                                <w:t>from 2014 to 2018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6" name="文本框 16"/>
                        <wps:cNvSpPr txBox="1"/>
                        <wps:spPr>
                          <a:xfrm>
                            <a:off x="76771" y="1128865"/>
                            <a:ext cx="2124000" cy="36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9FCFA54" w14:textId="77777777" w:rsidR="00592326" w:rsidRPr="004D74FB" w:rsidRDefault="00592326" w:rsidP="00592326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2"/>
                                </w:rPr>
                              </w:pPr>
                              <w:r w:rsidRPr="004D74FB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2"/>
                                </w:rPr>
                                <w:t>278660 admissions for CBVD</w:t>
                              </w:r>
                            </w:p>
                            <w:p w14:paraId="491C2548" w14:textId="77777777" w:rsidR="00592326" w:rsidRPr="004D74FB" w:rsidRDefault="00592326" w:rsidP="00592326">
                              <w:pPr>
                                <w:jc w:val="center"/>
                                <w:rPr>
                                  <w:color w:val="000000" w:themeColor="text1"/>
                                  <w:kern w:val="0"/>
                                  <w:sz w:val="22"/>
                                </w:rPr>
                              </w:pPr>
                              <w:r w:rsidRPr="004D74FB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2"/>
                                </w:rPr>
                                <w:t>were included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7" name="直接箭头连接符 17"/>
                        <wps:cNvCnPr/>
                        <wps:spPr>
                          <a:xfrm rot="16200000">
                            <a:off x="1266216" y="644249"/>
                            <a:ext cx="0" cy="25146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ysClr val="windowText" lastClr="000000"/>
                            </a:solidFill>
                            <a:miter lim="800000"/>
                            <a:headEnd len="sm"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18" name="文本框 18"/>
                        <wps:cNvSpPr txBox="1"/>
                        <wps:spPr>
                          <a:xfrm>
                            <a:off x="1402890" y="589599"/>
                            <a:ext cx="1980000" cy="403987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7CF20E8" w14:textId="77777777" w:rsidR="00592326" w:rsidRPr="004D74FB" w:rsidRDefault="00592326" w:rsidP="00592326">
                              <w:pPr>
                                <w:rPr>
                                  <w:color w:val="000000" w:themeColor="text1"/>
                                  <w:kern w:val="0"/>
                                  <w:sz w:val="22"/>
                                </w:rPr>
                              </w:pPr>
                              <w:r w:rsidRPr="004D74FB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2"/>
                                </w:rPr>
                                <w:t>109 cases without sex or age data were excluded</w:t>
                              </w:r>
                            </w:p>
                            <w:p w14:paraId="402E57BF" w14:textId="77777777" w:rsidR="00592326" w:rsidRPr="004D74FB" w:rsidRDefault="00592326" w:rsidP="00592326">
                              <w:pPr>
                                <w:snapToGrid w:val="0"/>
                                <w:spacing w:line="240" w:lineRule="exact"/>
                                <w:rPr>
                                  <w:color w:val="000000" w:themeColor="text1"/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19" name="文本框 19"/>
                        <wps:cNvSpPr txBox="1"/>
                        <wps:spPr>
                          <a:xfrm>
                            <a:off x="-49313" y="2073779"/>
                            <a:ext cx="2376000" cy="36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CE910B4" w14:textId="77777777" w:rsidR="00592326" w:rsidRDefault="00592326" w:rsidP="00592326">
                              <w:pPr>
                                <w:spacing w:line="240" w:lineRule="exact"/>
                                <w:jc w:val="center"/>
                                <w:rPr>
                                  <w:rFonts w:ascii="Times New Roman" w:hAnsi="Times New Roman" w:cs="Times New Roman"/>
                                  <w:color w:val="000000"/>
                                  <w:sz w:val="22"/>
                                </w:rPr>
                              </w:pPr>
                              <w:r w:rsidRPr="00A01065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2"/>
                                </w:rPr>
                                <w:t>247, 1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sz w:val="22"/>
                                </w:rPr>
                                <w:t>80</w:t>
                              </w:r>
                              <w:r w:rsidRPr="00397471">
                                <w:rPr>
                                  <w:rFonts w:ascii="Times New Roman" w:hAnsi="Times New Roman" w:cs="Times New Roman"/>
                                  <w:color w:val="000000"/>
                                  <w:sz w:val="22"/>
                                </w:rPr>
                                <w:t xml:space="preserve"> </w:t>
                              </w:r>
                              <w:r w:rsidRPr="00186B0D">
                                <w:rPr>
                                  <w:rFonts w:ascii="Times New Roman" w:hAnsi="Times New Roman" w:cs="Times New Roman"/>
                                  <w:color w:val="000000"/>
                                  <w:sz w:val="22"/>
                                </w:rPr>
                                <w:t xml:space="preserve">admissions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22"/>
                                </w:rPr>
                                <w:t>for CBVD</w:t>
                              </w:r>
                            </w:p>
                            <w:p w14:paraId="2432ACD3" w14:textId="77777777" w:rsidR="00592326" w:rsidRPr="00397471" w:rsidRDefault="00592326" w:rsidP="00592326">
                              <w:pPr>
                                <w:spacing w:line="240" w:lineRule="exact"/>
                                <w:jc w:val="center"/>
                                <w:rPr>
                                  <w:rFonts w:ascii="Times New Roman" w:hAnsi="Times New Roman" w:cs="Times New Roman"/>
                                  <w:sz w:val="22"/>
                                </w:rPr>
                              </w:pPr>
                              <w:r w:rsidRPr="00397471">
                                <w:rPr>
                                  <w:rFonts w:ascii="Times New Roman" w:hAnsi="Times New Roman" w:cs="Times New Roman"/>
                                  <w:color w:val="000000"/>
                                  <w:sz w:val="22"/>
                                </w:rPr>
                                <w:t>remaining in the analysis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4" name="直接箭头连接符 24"/>
                        <wps:cNvCnPr/>
                        <wps:spPr>
                          <a:xfrm>
                            <a:off x="1143000" y="1503490"/>
                            <a:ext cx="0" cy="575945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ysClr val="windowText" lastClr="000000"/>
                            </a:solidFill>
                            <a:miter lim="800000"/>
                            <a:headEnd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25" name="直接箭头连接符 25"/>
                        <wps:cNvCnPr/>
                        <wps:spPr>
                          <a:xfrm rot="16200000">
                            <a:off x="1263644" y="1653740"/>
                            <a:ext cx="0" cy="25146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ysClr val="windowText" lastClr="000000"/>
                            </a:solidFill>
                            <a:miter lim="800000"/>
                            <a:headEnd/>
                            <a:tailEnd type="arrow"/>
                          </a:ln>
                          <a:effectLst/>
                        </wps:spPr>
                        <wps:bodyPr/>
                      </wps:wsp>
                      <wps:wsp>
                        <wps:cNvPr id="26" name="文本框 26"/>
                        <wps:cNvSpPr txBox="1"/>
                        <wps:spPr>
                          <a:xfrm>
                            <a:off x="1402880" y="1585610"/>
                            <a:ext cx="1980000" cy="3600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471CCF8D" w14:textId="77777777" w:rsidR="00592326" w:rsidRPr="004D74FB" w:rsidRDefault="00592326" w:rsidP="00592326">
                              <w:pPr>
                                <w:rPr>
                                  <w:color w:val="000000" w:themeColor="text1"/>
                                </w:rPr>
                              </w:pPr>
                              <w:r w:rsidRPr="004D74FB">
                                <w:rPr>
                                  <w:rFonts w:ascii="Times New Roman" w:hAnsi="Times New Roman" w:cs="Times New Roman"/>
                                  <w:color w:val="000000" w:themeColor="text1"/>
                                  <w:kern w:val="24"/>
                                  <w:sz w:val="22"/>
                                </w:rPr>
                                <w:t>31480 cases who were not living in Beijing were excluded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DDFB2CC" id="组合 10" o:spid="_x0000_s1026" style="width:298.7pt;height:188.1pt;mso-position-horizontal-relative:char;mso-position-vertical-relative:line" coordorigin="-4108,450" coordsize="37937,238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14" o:spid="_x0000_s1027" type="#_x0000_t32" style="position:absolute;left:11379;top:4477;width:0;height:68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" strokecolor="windowText" strokeweight=".5pt">
                  <v:stroke endarrow="open" joinstyle="miter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5" o:spid="_x0000_s1028" type="#_x0000_t202" style="position:absolute;left:-4108;top:450;width:30293;height:39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" fillcolor="window" strokeweight=".5pt">
                  <v:textbox inset="2mm,0,2mm,0">
                    <w:txbxContent>
                      <w:p w14:paraId="5267D04A" w14:textId="77777777" w:rsidR="00592326" w:rsidRPr="004D74FB" w:rsidRDefault="00592326" w:rsidP="00592326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2"/>
                          </w:rPr>
                        </w:pPr>
                        <w:r w:rsidRPr="004D74FB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2"/>
                          </w:rPr>
                          <w:t>A total of 278769 hospitalizations for CBVD</w:t>
                        </w:r>
                      </w:p>
                      <w:p w14:paraId="73AE8A4F" w14:textId="77777777" w:rsidR="00592326" w:rsidRPr="004D74FB" w:rsidRDefault="00592326" w:rsidP="00592326">
                        <w:pPr>
                          <w:jc w:val="center"/>
                          <w:rPr>
                            <w:color w:val="000000" w:themeColor="text1"/>
                            <w:kern w:val="0"/>
                            <w:sz w:val="22"/>
                          </w:rPr>
                        </w:pPr>
                        <w:r w:rsidRPr="004D74FB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2"/>
                          </w:rPr>
                          <w:t>from 2014 to 2018</w:t>
                        </w:r>
                      </w:p>
                    </w:txbxContent>
                  </v:textbox>
                </v:shape>
                <v:shape id="文本框 16" o:spid="_x0000_s1029" type="#_x0000_t202" style="position:absolute;left:767;top:11288;width:2124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" fillcolor="window" strokeweight=".5pt">
                  <v:textbox inset="2mm,0,2mm,0">
                    <w:txbxContent>
                      <w:p w14:paraId="09FCFA54" w14:textId="77777777" w:rsidR="00592326" w:rsidRPr="004D74FB" w:rsidRDefault="00592326" w:rsidP="00592326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2"/>
                          </w:rPr>
                        </w:pPr>
                        <w:r w:rsidRPr="004D74FB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2"/>
                          </w:rPr>
                          <w:t>278660 admissions for CBVD</w:t>
                        </w:r>
                      </w:p>
                      <w:p w14:paraId="491C2548" w14:textId="77777777" w:rsidR="00592326" w:rsidRPr="004D74FB" w:rsidRDefault="00592326" w:rsidP="00592326">
                        <w:pPr>
                          <w:jc w:val="center"/>
                          <w:rPr>
                            <w:color w:val="000000" w:themeColor="text1"/>
                            <w:kern w:val="0"/>
                            <w:sz w:val="22"/>
                          </w:rPr>
                        </w:pPr>
                        <w:r w:rsidRPr="004D74FB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2"/>
                          </w:rPr>
                          <w:t>were included</w:t>
                        </w:r>
                      </w:p>
                    </w:txbxContent>
                  </v:textbox>
                </v:shape>
                <v:shape id="直接箭头连接符 17" o:spid="_x0000_s1030" type="#_x0000_t32" style="position:absolute;left:12662;top:6441;width:0;height:2515;rotation:-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" strokecolor="windowText" strokeweight=".5pt">
                  <v:stroke startarrowlength="short" endarrow="open" joinstyle="miter"/>
                </v:shape>
                <v:shape id="文本框 18" o:spid="_x0000_s1031" type="#_x0000_t202" style="position:absolute;left:14028;top:5895;width:19800;height:40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" fillcolor="window" strokeweight=".5pt">
                  <v:textbox inset="2mm,0,2mm,0">
                    <w:txbxContent>
                      <w:p w14:paraId="57CF20E8" w14:textId="77777777" w:rsidR="00592326" w:rsidRPr="004D74FB" w:rsidRDefault="00592326" w:rsidP="00592326">
                        <w:pPr>
                          <w:rPr>
                            <w:color w:val="000000" w:themeColor="text1"/>
                            <w:kern w:val="0"/>
                            <w:sz w:val="22"/>
                          </w:rPr>
                        </w:pPr>
                        <w:r w:rsidRPr="004D74FB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2"/>
                          </w:rPr>
                          <w:t>109 cases without sex or age data were excluded</w:t>
                        </w:r>
                      </w:p>
                      <w:p w14:paraId="402E57BF" w14:textId="77777777" w:rsidR="00592326" w:rsidRPr="004D74FB" w:rsidRDefault="00592326" w:rsidP="00592326">
                        <w:pPr>
                          <w:snapToGrid w:val="0"/>
                          <w:spacing w:line="240" w:lineRule="exact"/>
                          <w:rPr>
                            <w:color w:val="000000" w:themeColor="text1"/>
                            <w:sz w:val="20"/>
                          </w:rPr>
                        </w:pPr>
                      </w:p>
                    </w:txbxContent>
                  </v:textbox>
                </v:shape>
                <v:shape id="文本框 19" o:spid="_x0000_s1032" type="#_x0000_t202" style="position:absolute;left:-493;top:20737;width:23759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" fillcolor="window" strokeweight=".5pt">
                  <v:textbox inset="2mm,0,2mm,0">
                    <w:txbxContent>
                      <w:p w14:paraId="4CE910B4" w14:textId="77777777" w:rsidR="00592326" w:rsidRDefault="00592326" w:rsidP="00592326">
                        <w:pPr>
                          <w:spacing w:line="240" w:lineRule="exact"/>
                          <w:jc w:val="center"/>
                          <w:rPr>
                            <w:rFonts w:ascii="Times New Roman" w:hAnsi="Times New Roman" w:cs="Times New Roman"/>
                            <w:color w:val="000000"/>
                            <w:sz w:val="22"/>
                          </w:rPr>
                        </w:pPr>
                        <w:r w:rsidRPr="00A01065">
                          <w:rPr>
                            <w:rFonts w:ascii="Times New Roman" w:hAnsi="Times New Roman" w:cs="Times New Roman"/>
                            <w:color w:val="000000" w:themeColor="text1"/>
                            <w:sz w:val="22"/>
                          </w:rPr>
                          <w:t>247, 1</w:t>
                        </w:r>
                        <w:r>
                          <w:rPr>
                            <w:rFonts w:ascii="Times New Roman" w:hAnsi="Times New Roman" w:cs="Times New Roman"/>
                            <w:color w:val="000000" w:themeColor="text1"/>
                            <w:sz w:val="22"/>
                          </w:rPr>
                          <w:t>80</w:t>
                        </w:r>
                        <w:r w:rsidRPr="00397471">
                          <w:rPr>
                            <w:rFonts w:ascii="Times New Roman" w:hAnsi="Times New Roman" w:cs="Times New Roman"/>
                            <w:color w:val="000000"/>
                            <w:sz w:val="22"/>
                          </w:rPr>
                          <w:t xml:space="preserve"> </w:t>
                        </w:r>
                        <w:r w:rsidRPr="00186B0D">
                          <w:rPr>
                            <w:rFonts w:ascii="Times New Roman" w:hAnsi="Times New Roman" w:cs="Times New Roman"/>
                            <w:color w:val="000000"/>
                            <w:sz w:val="22"/>
                          </w:rPr>
                          <w:t xml:space="preserve">admissions 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2"/>
                          </w:rPr>
                          <w:t>for CBVD</w:t>
                        </w:r>
                      </w:p>
                      <w:p w14:paraId="2432ACD3" w14:textId="77777777" w:rsidR="00592326" w:rsidRPr="00397471" w:rsidRDefault="00592326" w:rsidP="00592326">
                        <w:pPr>
                          <w:spacing w:line="240" w:lineRule="exact"/>
                          <w:jc w:val="center"/>
                          <w:rPr>
                            <w:rFonts w:ascii="Times New Roman" w:hAnsi="Times New Roman" w:cs="Times New Roman"/>
                            <w:sz w:val="22"/>
                          </w:rPr>
                        </w:pPr>
                        <w:r w:rsidRPr="00397471">
                          <w:rPr>
                            <w:rFonts w:ascii="Times New Roman" w:hAnsi="Times New Roman" w:cs="Times New Roman"/>
                            <w:color w:val="000000"/>
                            <w:sz w:val="22"/>
                          </w:rPr>
                          <w:t>remaining in the analysis</w:t>
                        </w:r>
                      </w:p>
                    </w:txbxContent>
                  </v:textbox>
                </v:shape>
                <v:shape id="直接箭头连接符 24" o:spid="_x0000_s1033" type="#_x0000_t32" style="position:absolute;left:11430;top:15034;width:0;height:576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" strokecolor="windowText" strokeweight=".5pt">
                  <v:stroke endarrow="open" joinstyle="miter"/>
                </v:shape>
                <v:shape id="直接箭头连接符 25" o:spid="_x0000_s1034" type="#_x0000_t32" style="position:absolute;left:12636;top:16537;width:0;height:2514;rotation:-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" strokecolor="windowText" strokeweight=".5pt">
                  <v:stroke endarrow="open" joinstyle="miter"/>
                </v:shape>
                <v:shape id="文本框 26" o:spid="_x0000_s1035" type="#_x0000_t202" style="position:absolute;left:14028;top:15856;width:198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" fillcolor="window" strokeweight=".5pt">
                  <v:textbox inset="2mm,0,2mm,0">
                    <w:txbxContent>
                      <w:p w14:paraId="471CCF8D" w14:textId="77777777" w:rsidR="00592326" w:rsidRPr="004D74FB" w:rsidRDefault="00592326" w:rsidP="00592326">
                        <w:pPr>
                          <w:rPr>
                            <w:color w:val="000000" w:themeColor="text1"/>
                          </w:rPr>
                        </w:pPr>
                        <w:r w:rsidRPr="004D74FB">
                          <w:rPr>
                            <w:rFonts w:ascii="Times New Roman" w:hAnsi="Times New Roman" w:cs="Times New Roman"/>
                            <w:color w:val="000000" w:themeColor="text1"/>
                            <w:kern w:val="24"/>
                            <w:sz w:val="22"/>
                          </w:rPr>
                          <w:t>31480 cases who were not living in Beijing were excluded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996FB4B" w14:textId="77777777" w:rsidR="002E16EA" w:rsidRDefault="00DD737C" w:rsidP="00825A18">
      <w:pPr>
        <w:tabs>
          <w:tab w:val="center" w:pos="4153"/>
          <w:tab w:val="left" w:pos="7051"/>
        </w:tabs>
        <w:adjustRightInd w:val="0"/>
        <w:snapToGrid w:val="0"/>
        <w:spacing w:line="480" w:lineRule="auto"/>
        <w:jc w:val="left"/>
        <w:outlineLvl w:val="3"/>
        <w:sectPr w:rsidR="002E16EA" w:rsidSect="00BD748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eastAsia="Times New Roman" w:hAnsi="Times New Roman" w:cs="Times New Roman"/>
          <w:b/>
          <w:bCs/>
          <w:snapToGrid w:val="0"/>
          <w:color w:val="0070C0"/>
          <w:sz w:val="22"/>
          <w:lang w:eastAsia="de-DE" w:bidi="en-US"/>
        </w:rPr>
        <w:tab/>
      </w:r>
      <w:r w:rsidR="00592326" w:rsidRPr="001654E4">
        <w:rPr>
          <w:rFonts w:ascii="Times New Roman" w:eastAsia="Times New Roman" w:hAnsi="Times New Roman" w:cs="Times New Roman"/>
          <w:b/>
          <w:bCs/>
          <w:snapToGrid w:val="0"/>
          <w:color w:val="0070C0"/>
          <w:sz w:val="22"/>
          <w:lang w:eastAsia="de-DE" w:bidi="en-US"/>
        </w:rPr>
        <w:t>Fig. S1</w:t>
      </w:r>
      <w:r w:rsidR="00592326" w:rsidRPr="00C97D91">
        <w:rPr>
          <w:rFonts w:ascii="Times New Roman" w:eastAsia="Times New Roman" w:hAnsi="Times New Roman" w:cs="Times New Roman"/>
          <w:snapToGrid w:val="0"/>
          <w:color w:val="000000"/>
          <w:sz w:val="22"/>
          <w:lang w:eastAsia="de-DE" w:bidi="en-US"/>
        </w:rPr>
        <w:t xml:space="preserve"> Flowchart of population selection Study.</w:t>
      </w:r>
      <w:r>
        <w:rPr>
          <w:rFonts w:ascii="Times New Roman" w:eastAsia="Times New Roman" w:hAnsi="Times New Roman" w:cs="Times New Roman"/>
          <w:snapToGrid w:val="0"/>
          <w:color w:val="000000"/>
          <w:sz w:val="22"/>
          <w:lang w:eastAsia="de-DE" w:bidi="en-US"/>
        </w:rPr>
        <w:tab/>
      </w:r>
      <w:r w:rsidR="00D3651B" w:rsidRPr="00D3651B">
        <w:t xml:space="preserve"> </w:t>
      </w:r>
    </w:p>
    <w:p w14:paraId="324DF623" w14:textId="6B8075CF" w:rsidR="002E16EA" w:rsidRPr="002E16EA" w:rsidRDefault="002E16EA" w:rsidP="002E16EA">
      <w:pPr>
        <w:tabs>
          <w:tab w:val="center" w:pos="4153"/>
          <w:tab w:val="left" w:pos="7051"/>
        </w:tabs>
        <w:adjustRightInd w:val="0"/>
        <w:snapToGrid w:val="0"/>
        <w:jc w:val="center"/>
      </w:pPr>
      <w:r>
        <w:rPr>
          <w:noProof/>
        </w:rPr>
        <w:lastRenderedPageBreak/>
        <w:drawing>
          <wp:inline distT="0" distB="0" distL="0" distR="0" wp14:anchorId="66262A2D" wp14:editId="7ED70B62">
            <wp:extent cx="7553325" cy="4265001"/>
            <wp:effectExtent l="0" t="0" r="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402" cy="4268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611AD5" w14:textId="77777777" w:rsidR="008E7B1A" w:rsidRPr="008E7B1A" w:rsidRDefault="00592326" w:rsidP="008E7B1A">
      <w:pPr>
        <w:adjustRightInd w:val="0"/>
        <w:snapToGrid w:val="0"/>
        <w:spacing w:line="276" w:lineRule="auto"/>
        <w:outlineLvl w:val="3"/>
        <w:rPr>
          <w:rFonts w:ascii="Times New Roman" w:eastAsia="宋体" w:hAnsi="Times New Roman" w:cs="Times New Roman"/>
          <w:sz w:val="24"/>
        </w:rPr>
      </w:pPr>
      <w:r w:rsidRPr="009F6930">
        <w:rPr>
          <w:rFonts w:ascii="Times New Roman" w:eastAsia="Times New Roman" w:hAnsi="Times New Roman" w:cs="Times New Roman"/>
          <w:b/>
          <w:bCs/>
          <w:snapToGrid w:val="0"/>
          <w:color w:val="0070C0"/>
          <w:sz w:val="22"/>
          <w:lang w:eastAsia="de-DE" w:bidi="en-US"/>
        </w:rPr>
        <w:t>Fig.S2</w:t>
      </w:r>
      <w:r w:rsidRPr="00C97D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E7B1A" w:rsidRPr="00A0401F">
        <w:rPr>
          <w:rFonts w:ascii="Times New Roman" w:eastAsia="宋体" w:hAnsi="Times New Roman" w:cs="Times New Roman"/>
          <w:b/>
          <w:bCs/>
          <w:sz w:val="24"/>
          <w:szCs w:val="24"/>
        </w:rPr>
        <w:t>Cumulative exposure-response curves on sex-specific cerebrovascular cases</w:t>
      </w:r>
      <w:bookmarkStart w:id="0" w:name="OLE_LINK13"/>
      <w:r w:rsidR="008E7B1A" w:rsidRPr="00A0401F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bookmarkEnd w:id="0"/>
      <w:r w:rsidR="008E7B1A" w:rsidRPr="00A0401F">
        <w:rPr>
          <w:rFonts w:ascii="Times New Roman" w:eastAsia="宋体" w:hAnsi="Times New Roman" w:cs="Times New Roman"/>
          <w:b/>
          <w:bCs/>
          <w:sz w:val="24"/>
          <w:szCs w:val="24"/>
        </w:rPr>
        <w:t>for gaseous pollutants (NO</w:t>
      </w:r>
      <w:r w:rsidR="008E7B1A" w:rsidRPr="00A0401F">
        <w:rPr>
          <w:rFonts w:ascii="Times New Roman" w:eastAsia="宋体" w:hAnsi="Times New Roman" w:cs="Times New Roman"/>
          <w:b/>
          <w:bCs/>
          <w:sz w:val="24"/>
          <w:szCs w:val="24"/>
          <w:vertAlign w:val="subscript"/>
        </w:rPr>
        <w:t>2</w:t>
      </w:r>
      <w:r w:rsidR="008E7B1A" w:rsidRPr="00A0401F">
        <w:rPr>
          <w:rFonts w:ascii="Times New Roman" w:eastAsia="宋体" w:hAnsi="Times New Roman" w:cs="Times New Roman"/>
          <w:b/>
          <w:bCs/>
          <w:sz w:val="24"/>
          <w:szCs w:val="24"/>
        </w:rPr>
        <w:t>, SO</w:t>
      </w:r>
      <w:r w:rsidR="008E7B1A" w:rsidRPr="00A0401F">
        <w:rPr>
          <w:rFonts w:ascii="Times New Roman" w:eastAsia="宋体" w:hAnsi="Times New Roman" w:cs="Times New Roman"/>
          <w:b/>
          <w:bCs/>
          <w:sz w:val="24"/>
          <w:szCs w:val="24"/>
          <w:vertAlign w:val="subscript"/>
        </w:rPr>
        <w:t>2</w:t>
      </w:r>
      <w:r w:rsidR="008E7B1A" w:rsidRPr="00A0401F">
        <w:rPr>
          <w:rFonts w:ascii="Times New Roman" w:eastAsia="宋体" w:hAnsi="Times New Roman" w:cs="Times New Roman"/>
          <w:b/>
          <w:bCs/>
          <w:sz w:val="24"/>
          <w:szCs w:val="24"/>
        </w:rPr>
        <w:t>, O</w:t>
      </w:r>
      <w:r w:rsidR="008E7B1A" w:rsidRPr="00A0401F">
        <w:rPr>
          <w:rFonts w:ascii="Times New Roman" w:eastAsia="宋体" w:hAnsi="Times New Roman" w:cs="Times New Roman"/>
          <w:b/>
          <w:bCs/>
          <w:sz w:val="24"/>
          <w:szCs w:val="24"/>
          <w:vertAlign w:val="subscript"/>
        </w:rPr>
        <w:t>3</w:t>
      </w:r>
      <w:r w:rsidR="008E7B1A" w:rsidRPr="00A0401F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and CO) at lag0-7 using multi-pollutant model</w:t>
      </w:r>
      <w:r w:rsidR="008E7B1A" w:rsidRPr="00A0401F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s</w:t>
      </w:r>
      <w:r w:rsidR="008E7B1A" w:rsidRPr="00A0401F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in Beijing, 2014</w:t>
      </w:r>
      <w:r w:rsidR="008E7B1A" w:rsidRPr="00A0401F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>-2018</w:t>
      </w:r>
      <w:r w:rsidR="008E7B1A" w:rsidRPr="008E7B1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: (a) cumulative effect of </w:t>
      </w:r>
      <w:r w:rsidR="008E7B1A" w:rsidRPr="008E7B1A">
        <w:rPr>
          <w:rFonts w:ascii="Times New Roman" w:eastAsia="宋体" w:hAnsi="Times New Roman" w:cs="Times New Roman"/>
          <w:sz w:val="24"/>
          <w:szCs w:val="32"/>
        </w:rPr>
        <w:t>NO</w:t>
      </w:r>
      <w:r w:rsidR="008E7B1A" w:rsidRPr="008E7B1A">
        <w:rPr>
          <w:rFonts w:ascii="Times New Roman" w:eastAsia="宋体" w:hAnsi="Times New Roman" w:cs="Times New Roman"/>
          <w:sz w:val="24"/>
          <w:szCs w:val="32"/>
          <w:vertAlign w:val="subscript"/>
        </w:rPr>
        <w:t xml:space="preserve">2 </w:t>
      </w:r>
      <w:r w:rsidR="008E7B1A" w:rsidRPr="008E7B1A">
        <w:rPr>
          <w:rFonts w:ascii="Times New Roman" w:eastAsia="宋体" w:hAnsi="Times New Roman" w:cs="Times New Roman"/>
          <w:sz w:val="24"/>
          <w:szCs w:val="32"/>
        </w:rPr>
        <w:t>for males</w:t>
      </w:r>
      <w:r w:rsidR="008E7B1A" w:rsidRPr="008E7B1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; (b) cumulative effect of </w:t>
      </w:r>
      <w:r w:rsidR="008E7B1A" w:rsidRPr="008E7B1A">
        <w:rPr>
          <w:rFonts w:ascii="Times New Roman" w:eastAsia="宋体" w:hAnsi="Times New Roman" w:cs="Times New Roman"/>
          <w:sz w:val="24"/>
          <w:szCs w:val="32"/>
        </w:rPr>
        <w:t>SO</w:t>
      </w:r>
      <w:r w:rsidR="008E7B1A" w:rsidRPr="008E7B1A">
        <w:rPr>
          <w:rFonts w:ascii="Times New Roman" w:eastAsia="宋体" w:hAnsi="Times New Roman" w:cs="Times New Roman"/>
          <w:sz w:val="24"/>
          <w:szCs w:val="32"/>
          <w:vertAlign w:val="subscript"/>
        </w:rPr>
        <w:t xml:space="preserve">2 </w:t>
      </w:r>
      <w:r w:rsidR="008E7B1A" w:rsidRPr="008E7B1A">
        <w:rPr>
          <w:rFonts w:ascii="Times New Roman" w:eastAsia="宋体" w:hAnsi="Times New Roman" w:cs="Times New Roman"/>
          <w:sz w:val="24"/>
          <w:szCs w:val="32"/>
        </w:rPr>
        <w:t>for males</w:t>
      </w:r>
      <w:r w:rsidR="008E7B1A" w:rsidRPr="008E7B1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; (c) cumulative effect of </w:t>
      </w:r>
      <w:r w:rsidR="008E7B1A" w:rsidRPr="008E7B1A">
        <w:rPr>
          <w:rFonts w:ascii="Times New Roman" w:eastAsia="宋体" w:hAnsi="Times New Roman" w:cs="Times New Roman"/>
          <w:sz w:val="24"/>
          <w:szCs w:val="32"/>
        </w:rPr>
        <w:t>O</w:t>
      </w:r>
      <w:r w:rsidR="008E7B1A" w:rsidRPr="008E7B1A">
        <w:rPr>
          <w:rFonts w:ascii="Times New Roman" w:eastAsia="宋体" w:hAnsi="Times New Roman" w:cs="Times New Roman"/>
          <w:sz w:val="24"/>
          <w:szCs w:val="32"/>
          <w:vertAlign w:val="subscript"/>
        </w:rPr>
        <w:t xml:space="preserve">3 </w:t>
      </w:r>
      <w:r w:rsidR="008E7B1A" w:rsidRPr="008E7B1A">
        <w:rPr>
          <w:rFonts w:ascii="Times New Roman" w:eastAsia="宋体" w:hAnsi="Times New Roman" w:cs="Times New Roman"/>
          <w:sz w:val="24"/>
          <w:szCs w:val="32"/>
        </w:rPr>
        <w:t>for males</w:t>
      </w:r>
      <w:r w:rsidR="008E7B1A" w:rsidRPr="008E7B1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; (d) cumulative effect of </w:t>
      </w:r>
      <w:r w:rsidR="008E7B1A" w:rsidRPr="008E7B1A">
        <w:rPr>
          <w:rFonts w:ascii="Times New Roman" w:eastAsia="宋体" w:hAnsi="Times New Roman" w:cs="Times New Roman"/>
          <w:sz w:val="24"/>
          <w:szCs w:val="32"/>
        </w:rPr>
        <w:t>CO for males</w:t>
      </w:r>
      <w:r w:rsidR="008E7B1A" w:rsidRPr="008E7B1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; (e) cumulative effect of </w:t>
      </w:r>
      <w:r w:rsidR="008E7B1A" w:rsidRPr="008E7B1A">
        <w:rPr>
          <w:rFonts w:ascii="Times New Roman" w:eastAsia="宋体" w:hAnsi="Times New Roman" w:cs="Times New Roman"/>
          <w:sz w:val="24"/>
          <w:szCs w:val="32"/>
        </w:rPr>
        <w:t>NO</w:t>
      </w:r>
      <w:r w:rsidR="008E7B1A" w:rsidRPr="008E7B1A">
        <w:rPr>
          <w:rFonts w:ascii="Times New Roman" w:eastAsia="宋体" w:hAnsi="Times New Roman" w:cs="Times New Roman"/>
          <w:sz w:val="24"/>
          <w:szCs w:val="32"/>
          <w:vertAlign w:val="subscript"/>
        </w:rPr>
        <w:t xml:space="preserve">2 </w:t>
      </w:r>
      <w:r w:rsidR="008E7B1A" w:rsidRPr="008E7B1A">
        <w:rPr>
          <w:rFonts w:ascii="Times New Roman" w:eastAsia="宋体" w:hAnsi="Times New Roman" w:cs="Times New Roman"/>
          <w:sz w:val="24"/>
          <w:szCs w:val="32"/>
        </w:rPr>
        <w:t>for females</w:t>
      </w:r>
      <w:r w:rsidR="008E7B1A" w:rsidRPr="008E7B1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; (f) cumulative effect of </w:t>
      </w:r>
      <w:r w:rsidR="008E7B1A" w:rsidRPr="008E7B1A">
        <w:rPr>
          <w:rFonts w:ascii="Times New Roman" w:eastAsia="宋体" w:hAnsi="Times New Roman" w:cs="Times New Roman"/>
          <w:sz w:val="24"/>
          <w:szCs w:val="32"/>
        </w:rPr>
        <w:t>SO</w:t>
      </w:r>
      <w:r w:rsidR="008E7B1A" w:rsidRPr="008E7B1A">
        <w:rPr>
          <w:rFonts w:ascii="Times New Roman" w:eastAsia="宋体" w:hAnsi="Times New Roman" w:cs="Times New Roman"/>
          <w:sz w:val="24"/>
          <w:szCs w:val="32"/>
          <w:vertAlign w:val="subscript"/>
        </w:rPr>
        <w:t xml:space="preserve">2 </w:t>
      </w:r>
      <w:r w:rsidR="008E7B1A" w:rsidRPr="008E7B1A">
        <w:rPr>
          <w:rFonts w:ascii="Times New Roman" w:eastAsia="宋体" w:hAnsi="Times New Roman" w:cs="Times New Roman"/>
          <w:sz w:val="24"/>
          <w:szCs w:val="32"/>
        </w:rPr>
        <w:t>for females</w:t>
      </w:r>
      <w:r w:rsidR="008E7B1A" w:rsidRPr="008E7B1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; (g) cumulative effect of </w:t>
      </w:r>
      <w:r w:rsidR="008E7B1A" w:rsidRPr="008E7B1A">
        <w:rPr>
          <w:rFonts w:ascii="Times New Roman" w:eastAsia="宋体" w:hAnsi="Times New Roman" w:cs="Times New Roman"/>
          <w:sz w:val="24"/>
          <w:szCs w:val="32"/>
        </w:rPr>
        <w:t>O</w:t>
      </w:r>
      <w:r w:rsidR="008E7B1A" w:rsidRPr="008E7B1A">
        <w:rPr>
          <w:rFonts w:ascii="Times New Roman" w:eastAsia="宋体" w:hAnsi="Times New Roman" w:cs="Times New Roman"/>
          <w:sz w:val="24"/>
          <w:szCs w:val="32"/>
          <w:vertAlign w:val="subscript"/>
        </w:rPr>
        <w:t xml:space="preserve">3 </w:t>
      </w:r>
      <w:r w:rsidR="008E7B1A" w:rsidRPr="008E7B1A">
        <w:rPr>
          <w:rFonts w:ascii="Times New Roman" w:eastAsia="宋体" w:hAnsi="Times New Roman" w:cs="Times New Roman"/>
          <w:sz w:val="24"/>
          <w:szCs w:val="32"/>
        </w:rPr>
        <w:t>for females</w:t>
      </w:r>
      <w:r w:rsidR="008E7B1A" w:rsidRPr="008E7B1A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; (h) cumulative effect of </w:t>
      </w:r>
      <w:r w:rsidR="008E7B1A" w:rsidRPr="008E7B1A">
        <w:rPr>
          <w:rFonts w:ascii="Times New Roman" w:eastAsia="宋体" w:hAnsi="Times New Roman" w:cs="Times New Roman"/>
          <w:sz w:val="24"/>
          <w:szCs w:val="32"/>
        </w:rPr>
        <w:t>CO for females</w:t>
      </w:r>
      <w:r w:rsidR="008E7B1A" w:rsidRPr="008E7B1A">
        <w:rPr>
          <w:rFonts w:ascii="Times New Roman" w:eastAsia="宋体" w:hAnsi="Times New Roman" w:cs="Times New Roman"/>
          <w:color w:val="000000"/>
          <w:sz w:val="24"/>
          <w:szCs w:val="24"/>
        </w:rPr>
        <w:t>.</w:t>
      </w:r>
      <w:r w:rsidR="008E7B1A" w:rsidRPr="008E7B1A">
        <w:rPr>
          <w:rFonts w:ascii="Times New Roman" w:eastAsia="宋体" w:hAnsi="Times New Roman" w:cs="Times New Roman"/>
          <w:sz w:val="24"/>
          <w:szCs w:val="32"/>
        </w:rPr>
        <w:t xml:space="preserve"> NO</w:t>
      </w:r>
      <w:r w:rsidR="008E7B1A" w:rsidRPr="008E7B1A">
        <w:rPr>
          <w:rFonts w:ascii="Times New Roman" w:eastAsia="宋体" w:hAnsi="Times New Roman" w:cs="Times New Roman"/>
          <w:sz w:val="24"/>
          <w:szCs w:val="32"/>
          <w:vertAlign w:val="subscript"/>
        </w:rPr>
        <w:t>2</w:t>
      </w:r>
      <w:r w:rsidR="008E7B1A" w:rsidRPr="008E7B1A">
        <w:rPr>
          <w:rFonts w:ascii="Times New Roman" w:eastAsia="宋体" w:hAnsi="Times New Roman" w:cs="Times New Roman"/>
          <w:sz w:val="24"/>
          <w:szCs w:val="32"/>
        </w:rPr>
        <w:t>: nitrogen dioxide; SO</w:t>
      </w:r>
      <w:r w:rsidR="008E7B1A" w:rsidRPr="008E7B1A">
        <w:rPr>
          <w:rFonts w:ascii="Times New Roman" w:eastAsia="宋体" w:hAnsi="Times New Roman" w:cs="Times New Roman"/>
          <w:sz w:val="24"/>
          <w:szCs w:val="32"/>
          <w:vertAlign w:val="subscript"/>
        </w:rPr>
        <w:t>2</w:t>
      </w:r>
      <w:r w:rsidR="008E7B1A" w:rsidRPr="008E7B1A">
        <w:rPr>
          <w:rFonts w:ascii="Times New Roman" w:eastAsia="宋体" w:hAnsi="Times New Roman" w:cs="Times New Roman"/>
          <w:sz w:val="24"/>
          <w:szCs w:val="32"/>
        </w:rPr>
        <w:t>: sulfur dioxide; O</w:t>
      </w:r>
      <w:r w:rsidR="008E7B1A" w:rsidRPr="008E7B1A">
        <w:rPr>
          <w:rFonts w:ascii="Times New Roman" w:eastAsia="宋体" w:hAnsi="Times New Roman" w:cs="Times New Roman"/>
          <w:sz w:val="24"/>
          <w:szCs w:val="32"/>
          <w:vertAlign w:val="subscript"/>
        </w:rPr>
        <w:t>3</w:t>
      </w:r>
      <w:r w:rsidR="008E7B1A" w:rsidRPr="008E7B1A">
        <w:rPr>
          <w:rFonts w:ascii="Times New Roman" w:eastAsia="宋体" w:hAnsi="Times New Roman" w:cs="Times New Roman"/>
          <w:sz w:val="24"/>
          <w:szCs w:val="32"/>
        </w:rPr>
        <w:t>:</w:t>
      </w:r>
      <w:r w:rsidR="008E7B1A" w:rsidRPr="008E7B1A">
        <w:rPr>
          <w:rFonts w:ascii="Times New Roman" w:eastAsia="宋体" w:hAnsi="Times New Roman" w:cs="Times New Roman"/>
          <w:sz w:val="24"/>
          <w:szCs w:val="28"/>
        </w:rPr>
        <w:t xml:space="preserve"> </w:t>
      </w:r>
      <w:r w:rsidR="008E7B1A" w:rsidRPr="008E7B1A">
        <w:rPr>
          <w:rFonts w:ascii="Times New Roman" w:eastAsia="宋体" w:hAnsi="Times New Roman" w:cs="Times New Roman"/>
          <w:sz w:val="24"/>
          <w:szCs w:val="32"/>
        </w:rPr>
        <w:t>ozone; CO: carbon monoxide</w:t>
      </w:r>
      <w:r w:rsidR="008E7B1A" w:rsidRPr="008E7B1A">
        <w:rPr>
          <w:rFonts w:ascii="Times New Roman" w:eastAsia="宋体" w:hAnsi="Times New Roman" w:cs="Times New Roman"/>
          <w:sz w:val="24"/>
          <w:szCs w:val="28"/>
        </w:rPr>
        <w:t>. RR (95% CI): relative risk and 95% confidence interval.</w:t>
      </w:r>
    </w:p>
    <w:p w14:paraId="29122C6B" w14:textId="744F2143" w:rsidR="002E16EA" w:rsidRDefault="002E16EA" w:rsidP="0026431F">
      <w:pPr>
        <w:adjustRightInd w:val="0"/>
        <w:snapToGrid w:val="0"/>
        <w:spacing w:line="360" w:lineRule="auto"/>
        <w:jc w:val="center"/>
      </w:pPr>
      <w:r>
        <w:rPr>
          <w:noProof/>
        </w:rPr>
        <w:lastRenderedPageBreak/>
        <w:drawing>
          <wp:inline distT="0" distB="0" distL="0" distR="0" wp14:anchorId="6911B901" wp14:editId="3570E683">
            <wp:extent cx="7787005" cy="3891271"/>
            <wp:effectExtent l="0" t="0" r="444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3612" cy="3894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A97975" w14:textId="6DF02469" w:rsidR="00A24BDE" w:rsidRPr="00592326" w:rsidRDefault="00A24BDE" w:rsidP="00FB3441">
      <w:pPr>
        <w:adjustRightInd w:val="0"/>
        <w:snapToGrid w:val="0"/>
        <w:spacing w:beforeLines="50" w:before="156" w:line="276" w:lineRule="auto"/>
        <w:outlineLvl w:val="3"/>
        <w:rPr>
          <w:rFonts w:hint="eastAsia"/>
        </w:rPr>
      </w:pPr>
      <w:r w:rsidRPr="009F6930">
        <w:rPr>
          <w:rFonts w:ascii="Times New Roman" w:eastAsia="Times New Roman" w:hAnsi="Times New Roman" w:cs="Times New Roman"/>
          <w:b/>
          <w:bCs/>
          <w:snapToGrid w:val="0"/>
          <w:color w:val="0070C0"/>
          <w:sz w:val="22"/>
          <w:lang w:eastAsia="de-DE" w:bidi="en-US"/>
        </w:rPr>
        <w:t>Fig.S</w:t>
      </w:r>
      <w:r>
        <w:rPr>
          <w:rFonts w:ascii="Times New Roman" w:eastAsia="Times New Roman" w:hAnsi="Times New Roman" w:cs="Times New Roman"/>
          <w:b/>
          <w:bCs/>
          <w:snapToGrid w:val="0"/>
          <w:color w:val="0070C0"/>
          <w:sz w:val="22"/>
          <w:lang w:eastAsia="de-DE" w:bidi="en-US"/>
        </w:rPr>
        <w:t>3</w:t>
      </w:r>
      <w:r w:rsidRPr="00C97D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154F9" w:rsidRPr="00A154F9">
        <w:rPr>
          <w:rFonts w:ascii="Times New Roman" w:eastAsia="宋体" w:hAnsi="Times New Roman" w:cs="Times New Roman"/>
          <w:b/>
          <w:bCs/>
          <w:sz w:val="24"/>
          <w:szCs w:val="24"/>
        </w:rPr>
        <w:t>Cumulative exposure-response curves on</w:t>
      </w:r>
      <w:r w:rsidR="00A154F9" w:rsidRPr="00A154F9">
        <w:rPr>
          <w:rFonts w:ascii="Calibri" w:eastAsia="宋体" w:hAnsi="Calibri" w:cs="Times New Roman"/>
          <w:b/>
          <w:bCs/>
        </w:rPr>
        <w:t xml:space="preserve"> </w:t>
      </w:r>
      <w:r w:rsidR="00A154F9" w:rsidRPr="00A154F9">
        <w:rPr>
          <w:rFonts w:ascii="Times New Roman" w:eastAsia="宋体" w:hAnsi="Times New Roman" w:cs="Times New Roman"/>
          <w:b/>
          <w:bCs/>
          <w:sz w:val="24"/>
          <w:szCs w:val="24"/>
        </w:rPr>
        <w:t>age-specific cerebrovascular cases for gaseous pollutants (NO</w:t>
      </w:r>
      <w:r w:rsidR="00A154F9" w:rsidRPr="00A154F9">
        <w:rPr>
          <w:rFonts w:ascii="Times New Roman" w:eastAsia="宋体" w:hAnsi="Times New Roman" w:cs="Times New Roman"/>
          <w:b/>
          <w:bCs/>
          <w:sz w:val="24"/>
          <w:szCs w:val="24"/>
          <w:vertAlign w:val="subscript"/>
        </w:rPr>
        <w:t>2</w:t>
      </w:r>
      <w:r w:rsidR="00A154F9" w:rsidRPr="00A154F9">
        <w:rPr>
          <w:rFonts w:ascii="Times New Roman" w:eastAsia="宋体" w:hAnsi="Times New Roman" w:cs="Times New Roman"/>
          <w:b/>
          <w:bCs/>
          <w:sz w:val="24"/>
          <w:szCs w:val="24"/>
        </w:rPr>
        <w:t>, SO</w:t>
      </w:r>
      <w:r w:rsidR="00A154F9" w:rsidRPr="00A154F9">
        <w:rPr>
          <w:rFonts w:ascii="Times New Roman" w:eastAsia="宋体" w:hAnsi="Times New Roman" w:cs="Times New Roman"/>
          <w:b/>
          <w:bCs/>
          <w:sz w:val="24"/>
          <w:szCs w:val="24"/>
          <w:vertAlign w:val="subscript"/>
        </w:rPr>
        <w:t>2</w:t>
      </w:r>
      <w:r w:rsidR="00A154F9" w:rsidRPr="00A154F9">
        <w:rPr>
          <w:rFonts w:ascii="Times New Roman" w:eastAsia="宋体" w:hAnsi="Times New Roman" w:cs="Times New Roman"/>
          <w:b/>
          <w:bCs/>
          <w:sz w:val="24"/>
          <w:szCs w:val="24"/>
        </w:rPr>
        <w:t>, O</w:t>
      </w:r>
      <w:r w:rsidR="00A154F9" w:rsidRPr="00A154F9">
        <w:rPr>
          <w:rFonts w:ascii="Times New Roman" w:eastAsia="宋体" w:hAnsi="Times New Roman" w:cs="Times New Roman"/>
          <w:b/>
          <w:bCs/>
          <w:sz w:val="24"/>
          <w:szCs w:val="24"/>
          <w:vertAlign w:val="subscript"/>
        </w:rPr>
        <w:t>3</w:t>
      </w:r>
      <w:r w:rsidR="00A154F9" w:rsidRPr="00A154F9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and CO) at lag0-7 using multi-pollutant model</w:t>
      </w:r>
      <w:r w:rsidR="00A154F9" w:rsidRPr="00A154F9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s</w:t>
      </w:r>
      <w:r w:rsidR="00A154F9" w:rsidRPr="00A154F9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in Beijing, 2014</w:t>
      </w:r>
      <w:r w:rsidR="00A154F9" w:rsidRPr="00A154F9">
        <w:rPr>
          <w:rFonts w:ascii="Times New Roman" w:eastAsia="宋体" w:hAnsi="Times New Roman" w:cs="Times New Roman"/>
          <w:b/>
          <w:bCs/>
          <w:color w:val="000000"/>
          <w:sz w:val="24"/>
          <w:szCs w:val="24"/>
        </w:rPr>
        <w:t>-2018</w:t>
      </w:r>
      <w:r w:rsidR="00A154F9" w:rsidRPr="00A154F9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: (a) cumulative effect of </w:t>
      </w:r>
      <w:r w:rsidR="00A154F9" w:rsidRPr="00A154F9">
        <w:rPr>
          <w:rFonts w:ascii="Times New Roman" w:eastAsia="宋体" w:hAnsi="Times New Roman" w:cs="Times New Roman"/>
          <w:sz w:val="24"/>
          <w:szCs w:val="32"/>
        </w:rPr>
        <w:t>NO</w:t>
      </w:r>
      <w:r w:rsidR="00A154F9" w:rsidRPr="00A154F9">
        <w:rPr>
          <w:rFonts w:ascii="Times New Roman" w:eastAsia="宋体" w:hAnsi="Times New Roman" w:cs="Times New Roman"/>
          <w:sz w:val="24"/>
          <w:szCs w:val="32"/>
          <w:vertAlign w:val="subscript"/>
        </w:rPr>
        <w:t xml:space="preserve">2 </w:t>
      </w:r>
      <w:r w:rsidR="00A154F9" w:rsidRPr="00A154F9">
        <w:rPr>
          <w:rFonts w:ascii="Times New Roman" w:eastAsia="宋体" w:hAnsi="Times New Roman" w:cs="Times New Roman"/>
          <w:sz w:val="24"/>
          <w:szCs w:val="32"/>
        </w:rPr>
        <w:t>for adults</w:t>
      </w:r>
      <w:r w:rsidR="00A154F9" w:rsidRPr="00A154F9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; (b) cumulative effect of </w:t>
      </w:r>
      <w:r w:rsidR="00A154F9" w:rsidRPr="00A154F9">
        <w:rPr>
          <w:rFonts w:ascii="Times New Roman" w:eastAsia="宋体" w:hAnsi="Times New Roman" w:cs="Times New Roman"/>
          <w:sz w:val="24"/>
          <w:szCs w:val="32"/>
        </w:rPr>
        <w:t>SO</w:t>
      </w:r>
      <w:r w:rsidR="00A154F9" w:rsidRPr="00A154F9">
        <w:rPr>
          <w:rFonts w:ascii="Times New Roman" w:eastAsia="宋体" w:hAnsi="Times New Roman" w:cs="Times New Roman"/>
          <w:sz w:val="24"/>
          <w:szCs w:val="32"/>
          <w:vertAlign w:val="subscript"/>
        </w:rPr>
        <w:t xml:space="preserve">2 </w:t>
      </w:r>
      <w:r w:rsidR="00A154F9" w:rsidRPr="00A154F9">
        <w:rPr>
          <w:rFonts w:ascii="Times New Roman" w:eastAsia="宋体" w:hAnsi="Times New Roman" w:cs="Times New Roman"/>
          <w:sz w:val="24"/>
          <w:szCs w:val="32"/>
        </w:rPr>
        <w:t>for adults</w:t>
      </w:r>
      <w:r w:rsidR="00A154F9" w:rsidRPr="00A154F9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; (c) cumulative effect of </w:t>
      </w:r>
      <w:r w:rsidR="00A154F9" w:rsidRPr="00A154F9">
        <w:rPr>
          <w:rFonts w:ascii="Times New Roman" w:eastAsia="宋体" w:hAnsi="Times New Roman" w:cs="Times New Roman"/>
          <w:sz w:val="24"/>
          <w:szCs w:val="32"/>
        </w:rPr>
        <w:t>O</w:t>
      </w:r>
      <w:r w:rsidR="00A154F9" w:rsidRPr="00A154F9">
        <w:rPr>
          <w:rFonts w:ascii="Times New Roman" w:eastAsia="宋体" w:hAnsi="Times New Roman" w:cs="Times New Roman"/>
          <w:sz w:val="24"/>
          <w:szCs w:val="32"/>
          <w:vertAlign w:val="subscript"/>
        </w:rPr>
        <w:t xml:space="preserve">3 </w:t>
      </w:r>
      <w:r w:rsidR="00A154F9" w:rsidRPr="00A154F9">
        <w:rPr>
          <w:rFonts w:ascii="Times New Roman" w:eastAsia="宋体" w:hAnsi="Times New Roman" w:cs="Times New Roman"/>
          <w:sz w:val="24"/>
          <w:szCs w:val="32"/>
        </w:rPr>
        <w:t>for adults</w:t>
      </w:r>
      <w:r w:rsidR="00A154F9" w:rsidRPr="00A154F9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; (d) cumulative effect of </w:t>
      </w:r>
      <w:r w:rsidR="00A154F9" w:rsidRPr="00A154F9">
        <w:rPr>
          <w:rFonts w:ascii="Times New Roman" w:eastAsia="宋体" w:hAnsi="Times New Roman" w:cs="Times New Roman"/>
          <w:sz w:val="24"/>
          <w:szCs w:val="32"/>
        </w:rPr>
        <w:t>CO for adults</w:t>
      </w:r>
      <w:r w:rsidR="00A154F9" w:rsidRPr="00A154F9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; (e) cumulative effect of </w:t>
      </w:r>
      <w:r w:rsidR="00A154F9" w:rsidRPr="00A154F9">
        <w:rPr>
          <w:rFonts w:ascii="Times New Roman" w:eastAsia="宋体" w:hAnsi="Times New Roman" w:cs="Times New Roman"/>
          <w:sz w:val="24"/>
          <w:szCs w:val="32"/>
        </w:rPr>
        <w:t>NO</w:t>
      </w:r>
      <w:r w:rsidR="00A154F9" w:rsidRPr="00A154F9">
        <w:rPr>
          <w:rFonts w:ascii="Times New Roman" w:eastAsia="宋体" w:hAnsi="Times New Roman" w:cs="Times New Roman"/>
          <w:sz w:val="24"/>
          <w:szCs w:val="32"/>
          <w:vertAlign w:val="subscript"/>
        </w:rPr>
        <w:t xml:space="preserve">2 </w:t>
      </w:r>
      <w:r w:rsidR="00A154F9" w:rsidRPr="00A154F9">
        <w:rPr>
          <w:rFonts w:ascii="Times New Roman" w:eastAsia="宋体" w:hAnsi="Times New Roman" w:cs="Times New Roman"/>
          <w:sz w:val="24"/>
          <w:szCs w:val="32"/>
        </w:rPr>
        <w:t>for the elderly</w:t>
      </w:r>
      <w:r w:rsidR="00A154F9" w:rsidRPr="00A154F9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; (f) cumulative effect of </w:t>
      </w:r>
      <w:r w:rsidR="00A154F9" w:rsidRPr="00A154F9">
        <w:rPr>
          <w:rFonts w:ascii="Times New Roman" w:eastAsia="宋体" w:hAnsi="Times New Roman" w:cs="Times New Roman"/>
          <w:sz w:val="24"/>
          <w:szCs w:val="32"/>
        </w:rPr>
        <w:t>SO</w:t>
      </w:r>
      <w:r w:rsidR="00A154F9" w:rsidRPr="00A154F9">
        <w:rPr>
          <w:rFonts w:ascii="Times New Roman" w:eastAsia="宋体" w:hAnsi="Times New Roman" w:cs="Times New Roman"/>
          <w:sz w:val="24"/>
          <w:szCs w:val="32"/>
          <w:vertAlign w:val="subscript"/>
        </w:rPr>
        <w:t xml:space="preserve">2 </w:t>
      </w:r>
      <w:r w:rsidR="00A154F9" w:rsidRPr="00A154F9">
        <w:rPr>
          <w:rFonts w:ascii="Times New Roman" w:eastAsia="宋体" w:hAnsi="Times New Roman" w:cs="Times New Roman"/>
          <w:sz w:val="24"/>
          <w:szCs w:val="32"/>
        </w:rPr>
        <w:t>for the elderly</w:t>
      </w:r>
      <w:r w:rsidR="00A154F9" w:rsidRPr="00A154F9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; (g) cumulative effect of </w:t>
      </w:r>
      <w:r w:rsidR="00A154F9" w:rsidRPr="00A154F9">
        <w:rPr>
          <w:rFonts w:ascii="Times New Roman" w:eastAsia="宋体" w:hAnsi="Times New Roman" w:cs="Times New Roman"/>
          <w:sz w:val="24"/>
          <w:szCs w:val="32"/>
        </w:rPr>
        <w:t>O</w:t>
      </w:r>
      <w:r w:rsidR="00A154F9" w:rsidRPr="00A154F9">
        <w:rPr>
          <w:rFonts w:ascii="Times New Roman" w:eastAsia="宋体" w:hAnsi="Times New Roman" w:cs="Times New Roman"/>
          <w:sz w:val="24"/>
          <w:szCs w:val="32"/>
          <w:vertAlign w:val="subscript"/>
        </w:rPr>
        <w:t xml:space="preserve">3 </w:t>
      </w:r>
      <w:r w:rsidR="00A154F9" w:rsidRPr="00A154F9">
        <w:rPr>
          <w:rFonts w:ascii="Times New Roman" w:eastAsia="宋体" w:hAnsi="Times New Roman" w:cs="Times New Roman"/>
          <w:sz w:val="24"/>
          <w:szCs w:val="32"/>
        </w:rPr>
        <w:t>for the elderly</w:t>
      </w:r>
      <w:r w:rsidR="00A154F9" w:rsidRPr="00A154F9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; (h) cumulative effect of </w:t>
      </w:r>
      <w:r w:rsidR="00A154F9" w:rsidRPr="00A154F9">
        <w:rPr>
          <w:rFonts w:ascii="Times New Roman" w:eastAsia="宋体" w:hAnsi="Times New Roman" w:cs="Times New Roman"/>
          <w:sz w:val="24"/>
          <w:szCs w:val="32"/>
        </w:rPr>
        <w:t>CO for the elderly</w:t>
      </w:r>
      <w:r w:rsidR="00A154F9" w:rsidRPr="00A154F9">
        <w:rPr>
          <w:rFonts w:ascii="Times New Roman" w:eastAsia="宋体" w:hAnsi="Times New Roman" w:cs="Times New Roman"/>
          <w:color w:val="000000"/>
          <w:sz w:val="24"/>
          <w:szCs w:val="24"/>
        </w:rPr>
        <w:t>.</w:t>
      </w:r>
      <w:r w:rsidR="00A154F9" w:rsidRPr="00A154F9">
        <w:rPr>
          <w:rFonts w:ascii="Times New Roman" w:eastAsia="宋体" w:hAnsi="Times New Roman" w:cs="Times New Roman"/>
          <w:sz w:val="24"/>
          <w:szCs w:val="32"/>
        </w:rPr>
        <w:t xml:space="preserve"> NO</w:t>
      </w:r>
      <w:r w:rsidR="00A154F9" w:rsidRPr="00A154F9">
        <w:rPr>
          <w:rFonts w:ascii="Times New Roman" w:eastAsia="宋体" w:hAnsi="Times New Roman" w:cs="Times New Roman"/>
          <w:sz w:val="24"/>
          <w:szCs w:val="32"/>
          <w:vertAlign w:val="subscript"/>
        </w:rPr>
        <w:t>2</w:t>
      </w:r>
      <w:r w:rsidR="00A154F9" w:rsidRPr="00A154F9">
        <w:rPr>
          <w:rFonts w:ascii="Times New Roman" w:eastAsia="宋体" w:hAnsi="Times New Roman" w:cs="Times New Roman"/>
          <w:sz w:val="24"/>
          <w:szCs w:val="32"/>
        </w:rPr>
        <w:t>: nitrogen dioxide; SO</w:t>
      </w:r>
      <w:r w:rsidR="00A154F9" w:rsidRPr="00A154F9">
        <w:rPr>
          <w:rFonts w:ascii="Times New Roman" w:eastAsia="宋体" w:hAnsi="Times New Roman" w:cs="Times New Roman"/>
          <w:sz w:val="24"/>
          <w:szCs w:val="32"/>
          <w:vertAlign w:val="subscript"/>
        </w:rPr>
        <w:t>2</w:t>
      </w:r>
      <w:r w:rsidR="00A154F9" w:rsidRPr="00A154F9">
        <w:rPr>
          <w:rFonts w:ascii="Times New Roman" w:eastAsia="宋体" w:hAnsi="Times New Roman" w:cs="Times New Roman"/>
          <w:sz w:val="24"/>
          <w:szCs w:val="32"/>
        </w:rPr>
        <w:t>: sulfur dioxide; O</w:t>
      </w:r>
      <w:r w:rsidR="00A154F9" w:rsidRPr="00A154F9">
        <w:rPr>
          <w:rFonts w:ascii="Times New Roman" w:eastAsia="宋体" w:hAnsi="Times New Roman" w:cs="Times New Roman"/>
          <w:sz w:val="24"/>
          <w:szCs w:val="32"/>
          <w:vertAlign w:val="subscript"/>
        </w:rPr>
        <w:t>3</w:t>
      </w:r>
      <w:r w:rsidR="00A154F9" w:rsidRPr="00A154F9">
        <w:rPr>
          <w:rFonts w:ascii="Times New Roman" w:eastAsia="宋体" w:hAnsi="Times New Roman" w:cs="Times New Roman"/>
          <w:sz w:val="24"/>
          <w:szCs w:val="32"/>
        </w:rPr>
        <w:t>:</w:t>
      </w:r>
      <w:r w:rsidR="00A154F9" w:rsidRPr="00A154F9">
        <w:rPr>
          <w:rFonts w:ascii="Times New Roman" w:eastAsia="宋体" w:hAnsi="Times New Roman" w:cs="Times New Roman"/>
          <w:sz w:val="24"/>
          <w:szCs w:val="28"/>
        </w:rPr>
        <w:t xml:space="preserve"> </w:t>
      </w:r>
      <w:r w:rsidR="00A154F9" w:rsidRPr="00A154F9">
        <w:rPr>
          <w:rFonts w:ascii="Times New Roman" w:eastAsia="宋体" w:hAnsi="Times New Roman" w:cs="Times New Roman"/>
          <w:sz w:val="24"/>
          <w:szCs w:val="32"/>
        </w:rPr>
        <w:t>ozone; CO: carbon monoxide</w:t>
      </w:r>
      <w:r w:rsidR="00A154F9" w:rsidRPr="00A154F9">
        <w:rPr>
          <w:rFonts w:ascii="Times New Roman" w:eastAsia="宋体" w:hAnsi="Times New Roman" w:cs="Times New Roman"/>
          <w:sz w:val="24"/>
          <w:szCs w:val="28"/>
        </w:rPr>
        <w:t>. RR (95% CI): relative risk and 95% confidence interval.</w:t>
      </w:r>
    </w:p>
    <w:sectPr w:rsidR="00A24BDE" w:rsidRPr="00592326" w:rsidSect="002E16E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7E9B39" w14:textId="77777777" w:rsidR="00C16E60" w:rsidRDefault="00C16E60" w:rsidP="00B23F8A">
      <w:r>
        <w:separator/>
      </w:r>
    </w:p>
  </w:endnote>
  <w:endnote w:type="continuationSeparator" w:id="0">
    <w:p w14:paraId="2C735516" w14:textId="77777777" w:rsidR="00C16E60" w:rsidRDefault="00C16E60" w:rsidP="00B23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B8AA95" w14:textId="77777777" w:rsidR="00C16E60" w:rsidRDefault="00C16E60" w:rsidP="00B23F8A">
      <w:r>
        <w:separator/>
      </w:r>
    </w:p>
  </w:footnote>
  <w:footnote w:type="continuationSeparator" w:id="0">
    <w:p w14:paraId="3040D91D" w14:textId="77777777" w:rsidR="00C16E60" w:rsidRDefault="00C16E60" w:rsidP="00B23F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BD9"/>
    <w:rsid w:val="000A01E7"/>
    <w:rsid w:val="000A2007"/>
    <w:rsid w:val="000A6B34"/>
    <w:rsid w:val="000D7A85"/>
    <w:rsid w:val="000E06E2"/>
    <w:rsid w:val="001151E2"/>
    <w:rsid w:val="00117932"/>
    <w:rsid w:val="00122841"/>
    <w:rsid w:val="00152013"/>
    <w:rsid w:val="001654E4"/>
    <w:rsid w:val="00196FDC"/>
    <w:rsid w:val="001A4E0D"/>
    <w:rsid w:val="001B13DF"/>
    <w:rsid w:val="001B31C6"/>
    <w:rsid w:val="001C06A5"/>
    <w:rsid w:val="0020074E"/>
    <w:rsid w:val="002050B3"/>
    <w:rsid w:val="002220A8"/>
    <w:rsid w:val="002548FC"/>
    <w:rsid w:val="0026431F"/>
    <w:rsid w:val="00267111"/>
    <w:rsid w:val="002E16EA"/>
    <w:rsid w:val="0030182B"/>
    <w:rsid w:val="00305879"/>
    <w:rsid w:val="0031451A"/>
    <w:rsid w:val="0031610E"/>
    <w:rsid w:val="00334024"/>
    <w:rsid w:val="00337EA9"/>
    <w:rsid w:val="00341BD9"/>
    <w:rsid w:val="003B325A"/>
    <w:rsid w:val="003D3637"/>
    <w:rsid w:val="004847D6"/>
    <w:rsid w:val="004848DD"/>
    <w:rsid w:val="004B3FBB"/>
    <w:rsid w:val="004D188B"/>
    <w:rsid w:val="004F1051"/>
    <w:rsid w:val="00526869"/>
    <w:rsid w:val="00531FDA"/>
    <w:rsid w:val="0055669E"/>
    <w:rsid w:val="005719E1"/>
    <w:rsid w:val="005854AE"/>
    <w:rsid w:val="00592326"/>
    <w:rsid w:val="00597D70"/>
    <w:rsid w:val="005A02C1"/>
    <w:rsid w:val="005B7253"/>
    <w:rsid w:val="005D15BD"/>
    <w:rsid w:val="005E4440"/>
    <w:rsid w:val="005F1195"/>
    <w:rsid w:val="00636094"/>
    <w:rsid w:val="006A5871"/>
    <w:rsid w:val="006D245C"/>
    <w:rsid w:val="007663F6"/>
    <w:rsid w:val="00785434"/>
    <w:rsid w:val="00796C6E"/>
    <w:rsid w:val="00807CA7"/>
    <w:rsid w:val="00825A18"/>
    <w:rsid w:val="0084109E"/>
    <w:rsid w:val="00887570"/>
    <w:rsid w:val="00892D46"/>
    <w:rsid w:val="00896AB6"/>
    <w:rsid w:val="008A1EB5"/>
    <w:rsid w:val="008D27EB"/>
    <w:rsid w:val="008E7B1A"/>
    <w:rsid w:val="0093726E"/>
    <w:rsid w:val="00966197"/>
    <w:rsid w:val="0098172C"/>
    <w:rsid w:val="0099488B"/>
    <w:rsid w:val="00995E0E"/>
    <w:rsid w:val="009969F9"/>
    <w:rsid w:val="009B23CE"/>
    <w:rsid w:val="009C70E1"/>
    <w:rsid w:val="009D3702"/>
    <w:rsid w:val="009F56B2"/>
    <w:rsid w:val="009F6930"/>
    <w:rsid w:val="00A0401F"/>
    <w:rsid w:val="00A154F9"/>
    <w:rsid w:val="00A24BDE"/>
    <w:rsid w:val="00B23F8A"/>
    <w:rsid w:val="00B56A5B"/>
    <w:rsid w:val="00B57B14"/>
    <w:rsid w:val="00B9366D"/>
    <w:rsid w:val="00B95B2E"/>
    <w:rsid w:val="00BA17C9"/>
    <w:rsid w:val="00BA423B"/>
    <w:rsid w:val="00BF4972"/>
    <w:rsid w:val="00C044EE"/>
    <w:rsid w:val="00C066E4"/>
    <w:rsid w:val="00C1106A"/>
    <w:rsid w:val="00C16E60"/>
    <w:rsid w:val="00C23628"/>
    <w:rsid w:val="00C4487C"/>
    <w:rsid w:val="00CF145A"/>
    <w:rsid w:val="00CF608B"/>
    <w:rsid w:val="00D2226F"/>
    <w:rsid w:val="00D3651B"/>
    <w:rsid w:val="00D528D1"/>
    <w:rsid w:val="00D8005D"/>
    <w:rsid w:val="00DD3D8B"/>
    <w:rsid w:val="00DD737C"/>
    <w:rsid w:val="00E3015F"/>
    <w:rsid w:val="00E33FD8"/>
    <w:rsid w:val="00E34898"/>
    <w:rsid w:val="00E3656B"/>
    <w:rsid w:val="00E52AF2"/>
    <w:rsid w:val="00E6365C"/>
    <w:rsid w:val="00E73090"/>
    <w:rsid w:val="00E9131B"/>
    <w:rsid w:val="00E93DAC"/>
    <w:rsid w:val="00EC11FB"/>
    <w:rsid w:val="00ED33E9"/>
    <w:rsid w:val="00ED4A9B"/>
    <w:rsid w:val="00F032F6"/>
    <w:rsid w:val="00F257C2"/>
    <w:rsid w:val="00F55993"/>
    <w:rsid w:val="00F6673C"/>
    <w:rsid w:val="00FA05FF"/>
    <w:rsid w:val="00FB3441"/>
    <w:rsid w:val="00FD06F9"/>
    <w:rsid w:val="00FD4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BC3493"/>
  <w15:chartTrackingRefBased/>
  <w15:docId w15:val="{C9A3041E-1069-4A73-A0A1-50DFC790A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3F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23F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23F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23F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23F8A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C1106A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C1106A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C1106A"/>
  </w:style>
  <w:style w:type="paragraph" w:styleId="aa">
    <w:name w:val="annotation subject"/>
    <w:basedOn w:val="a8"/>
    <w:next w:val="a8"/>
    <w:link w:val="ab"/>
    <w:uiPriority w:val="99"/>
    <w:semiHidden/>
    <w:unhideWhenUsed/>
    <w:rsid w:val="00C1106A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C110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08F751-A1D9-49E4-ACEB-B483930BB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205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lxt</dc:creator>
  <cp:keywords/>
  <dc:description/>
  <cp:lastModifiedBy>刘 相佟</cp:lastModifiedBy>
  <cp:revision>123</cp:revision>
  <dcterms:created xsi:type="dcterms:W3CDTF">2020-11-26T05:42:00Z</dcterms:created>
  <dcterms:modified xsi:type="dcterms:W3CDTF">2021-04-01T02:06:00Z</dcterms:modified>
</cp:coreProperties>
</file>