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125116" w14:textId="3483B3B8" w:rsidR="000802E5" w:rsidRDefault="000802E5" w:rsidP="000802E5">
      <w:pPr>
        <w:jc w:val="center"/>
        <w:rPr>
          <w:b/>
        </w:rPr>
      </w:pPr>
      <w:r w:rsidRPr="007C02A0">
        <w:rPr>
          <w:b/>
        </w:rPr>
        <w:t>Prospective environmental mitigation potential of deploying waste-to-nutrition pathways</w:t>
      </w:r>
    </w:p>
    <w:p w14:paraId="3B9275B5" w14:textId="77777777" w:rsidR="000802E5" w:rsidRDefault="000802E5" w:rsidP="000802E5">
      <w:pPr>
        <w:jc w:val="center"/>
        <w:rPr>
          <w:b/>
        </w:rPr>
      </w:pPr>
    </w:p>
    <w:p w14:paraId="36B53067" w14:textId="7CBA6EC0" w:rsidR="000802E5" w:rsidRPr="00433AD5" w:rsidRDefault="000802E5" w:rsidP="000802E5">
      <w:pPr>
        <w:jc w:val="center"/>
        <w:rPr>
          <w:b/>
          <w:lang w:val="fr-FR"/>
        </w:rPr>
      </w:pPr>
      <w:r w:rsidRPr="00433AD5">
        <w:rPr>
          <w:b/>
          <w:lang w:val="fr-FR"/>
        </w:rPr>
        <w:t>Supplementary information document</w:t>
      </w:r>
    </w:p>
    <w:p w14:paraId="1737BF54" w14:textId="77777777" w:rsidR="000802E5" w:rsidRPr="00433AD5" w:rsidRDefault="000802E5" w:rsidP="000802E5">
      <w:pPr>
        <w:jc w:val="center"/>
        <w:rPr>
          <w:b/>
          <w:lang w:val="fr-FR"/>
        </w:rPr>
      </w:pPr>
    </w:p>
    <w:p w14:paraId="53BD8D10" w14:textId="77777777" w:rsidR="000802E5" w:rsidRPr="00433AD5" w:rsidRDefault="000802E5" w:rsidP="000802E5">
      <w:pPr>
        <w:jc w:val="center"/>
        <w:rPr>
          <w:vertAlign w:val="superscript"/>
          <w:lang w:val="fr-FR"/>
        </w:rPr>
      </w:pPr>
      <w:r w:rsidRPr="00433AD5">
        <w:rPr>
          <w:lang w:val="fr-FR"/>
        </w:rPr>
        <w:t>U. Javourez</w:t>
      </w:r>
      <w:r w:rsidRPr="00433AD5">
        <w:rPr>
          <w:vertAlign w:val="superscript"/>
          <w:lang w:val="fr-FR"/>
        </w:rPr>
        <w:t>1*</w:t>
      </w:r>
      <w:r w:rsidRPr="00433AD5">
        <w:rPr>
          <w:lang w:val="fr-FR"/>
        </w:rPr>
        <w:t>, L. Tiruta-Barna</w:t>
      </w:r>
      <w:r w:rsidRPr="00433AD5">
        <w:rPr>
          <w:vertAlign w:val="superscript"/>
          <w:lang w:val="fr-FR"/>
        </w:rPr>
        <w:t>1</w:t>
      </w:r>
      <w:r w:rsidRPr="00433AD5">
        <w:rPr>
          <w:lang w:val="fr-FR"/>
        </w:rPr>
        <w:t>, M. Pizzol</w:t>
      </w:r>
      <w:r w:rsidRPr="00433AD5">
        <w:rPr>
          <w:vertAlign w:val="superscript"/>
          <w:lang w:val="fr-FR"/>
        </w:rPr>
        <w:t>2</w:t>
      </w:r>
      <w:r w:rsidRPr="00433AD5">
        <w:rPr>
          <w:lang w:val="fr-FR"/>
        </w:rPr>
        <w:t>, L. Hamelin</w:t>
      </w:r>
      <w:r w:rsidRPr="00433AD5">
        <w:rPr>
          <w:vertAlign w:val="superscript"/>
          <w:lang w:val="fr-FR"/>
        </w:rPr>
        <w:t>1</w:t>
      </w:r>
    </w:p>
    <w:p w14:paraId="29D97103" w14:textId="77777777" w:rsidR="000802E5" w:rsidRDefault="000802E5" w:rsidP="000802E5">
      <w:pPr>
        <w:jc w:val="center"/>
        <w:rPr>
          <w:lang w:val="fr-FR"/>
        </w:rPr>
      </w:pPr>
      <w:r w:rsidRPr="00AA5A4E">
        <w:rPr>
          <w:vertAlign w:val="superscript"/>
          <w:lang w:val="fr-FR"/>
        </w:rPr>
        <w:t>1</w:t>
      </w:r>
      <w:r w:rsidRPr="00AA5A4E">
        <w:rPr>
          <w:lang w:val="fr-FR"/>
        </w:rPr>
        <w:t xml:space="preserve">TBI, Université de Toulouse, CNRS, INRAE, INSA, Toulouse, </w:t>
      </w:r>
      <w:r>
        <w:rPr>
          <w:lang w:val="fr-FR"/>
        </w:rPr>
        <w:t>France</w:t>
      </w:r>
    </w:p>
    <w:p w14:paraId="15D13D89" w14:textId="77777777" w:rsidR="000802E5" w:rsidRPr="00AA5A4E" w:rsidRDefault="000802E5" w:rsidP="000802E5">
      <w:pPr>
        <w:jc w:val="center"/>
      </w:pPr>
      <w:r w:rsidRPr="00AA5A4E">
        <w:rPr>
          <w:vertAlign w:val="superscript"/>
        </w:rPr>
        <w:t>2</w:t>
      </w:r>
      <w:r w:rsidRPr="00AA5A4E">
        <w:t xml:space="preserve">Department of </w:t>
      </w:r>
      <w:r>
        <w:t xml:space="preserve">Planning, Aalborg University, </w:t>
      </w:r>
      <w:proofErr w:type="spellStart"/>
      <w:r>
        <w:t>Rendsburggade</w:t>
      </w:r>
      <w:proofErr w:type="spellEnd"/>
      <w:r>
        <w:t xml:space="preserve"> 14, 9000 Aalborg, Denmark</w:t>
      </w:r>
    </w:p>
    <w:p w14:paraId="17326226" w14:textId="77777777" w:rsidR="000802E5" w:rsidRDefault="000802E5" w:rsidP="000802E5">
      <w:pPr>
        <w:jc w:val="center"/>
      </w:pPr>
      <w:r w:rsidRPr="00ED5C18">
        <w:rPr>
          <w:vertAlign w:val="superscript"/>
        </w:rPr>
        <w:t>*</w:t>
      </w:r>
      <w:r>
        <w:t>: Corresponding author</w:t>
      </w:r>
    </w:p>
    <w:p w14:paraId="69A16676" w14:textId="1389A4C2" w:rsidR="000802E5" w:rsidRDefault="000802E5" w:rsidP="00433AD5">
      <w:pPr>
        <w:rPr>
          <w:b/>
        </w:rPr>
      </w:pPr>
    </w:p>
    <w:p w14:paraId="22824F3D" w14:textId="77777777" w:rsidR="00AE3D44" w:rsidRDefault="00AE3D44" w:rsidP="00433AD5">
      <w:pPr>
        <w:rPr>
          <w:b/>
        </w:rPr>
      </w:pPr>
    </w:p>
    <w:p w14:paraId="2201B3B5" w14:textId="400E5EBC" w:rsidR="00F6120E" w:rsidRDefault="009008CA" w:rsidP="00433AD5">
      <w:pPr>
        <w:rPr>
          <w:b/>
        </w:rPr>
      </w:pPr>
      <w:r>
        <w:rPr>
          <w:b/>
        </w:rPr>
        <w:t>Statement</w:t>
      </w:r>
    </w:p>
    <w:p w14:paraId="202FBB6D" w14:textId="1C24EA0F" w:rsidR="009008CA" w:rsidRDefault="009008CA" w:rsidP="00433AD5">
      <w:r w:rsidRPr="009008CA">
        <w:t>Th</w:t>
      </w:r>
      <w:r w:rsidR="0047223A">
        <w:t>e background data supporting the main findings of this study is available at</w:t>
      </w:r>
      <w:r w:rsidR="00310B57">
        <w:t xml:space="preserve"> the following </w:t>
      </w:r>
      <w:proofErr w:type="spellStart"/>
      <w:r w:rsidR="00310B57">
        <w:t>dataverse</w:t>
      </w:r>
      <w:proofErr w:type="spellEnd"/>
      <w:r w:rsidR="00310B57">
        <w:t xml:space="preserve"> repository: </w:t>
      </w:r>
      <w:hyperlink r:id="rId8" w:tgtFrame="_blank" w:history="1">
        <w:r w:rsidR="00310B57">
          <w:rPr>
            <w:rStyle w:val="Lienhypertexte"/>
          </w:rPr>
          <w:t>https://doi.org/10.48531/JBRU.CALMIP/PBS858</w:t>
        </w:r>
      </w:hyperlink>
      <w:r w:rsidR="0047223A">
        <w:t>.</w:t>
      </w:r>
    </w:p>
    <w:p w14:paraId="76C553B3" w14:textId="152056E4" w:rsidR="009008CA" w:rsidRDefault="006F1BB0" w:rsidP="006F1BB0">
      <w:pPr>
        <w:jc w:val="both"/>
      </w:pPr>
      <w:r>
        <w:t>This study grounds on a PhD thesis project entitled: “Transforming residual biomass into food and feed – towards an LCA optimization platform”, available upon requests and in open access after the embargo period.</w:t>
      </w:r>
    </w:p>
    <w:p w14:paraId="14B23435" w14:textId="77777777" w:rsidR="00AE3D44" w:rsidRPr="007C32F2" w:rsidRDefault="00AE3D44" w:rsidP="006F1BB0">
      <w:pPr>
        <w:jc w:val="both"/>
      </w:pPr>
    </w:p>
    <w:p w14:paraId="416166B4" w14:textId="144D5BBE" w:rsidR="00F6120E" w:rsidRDefault="00F6120E" w:rsidP="00F6120E">
      <w:pPr>
        <w:rPr>
          <w:b/>
        </w:rPr>
      </w:pPr>
      <w:r>
        <w:rPr>
          <w:b/>
        </w:rPr>
        <w:t>Abbreviations</w:t>
      </w:r>
    </w:p>
    <w:p w14:paraId="3F456A85" w14:textId="785BD293" w:rsidR="00F6120E" w:rsidRPr="0047223A" w:rsidRDefault="0047223A" w:rsidP="0047223A">
      <w:pPr>
        <w:jc w:val="both"/>
      </w:pPr>
      <w:r>
        <w:t xml:space="preserve">AD, Anaerobic digestion; CHP, Combined heat &amp; power; COP, Coefficient of performances; CF, Compound feed (direct feeding); EF, Emission factors; EU, Europe; FCR, Feed conversion ratio; GA, Gasification; GB, Green biorefinery; GHG, Greenhouse gases; GSA, Global sensitivity analysis; HT, High temperature; </w:t>
      </w:r>
      <w:r w:rsidRPr="0047223A">
        <w:t xml:space="preserve">LCA, </w:t>
      </w:r>
      <w:r>
        <w:t xml:space="preserve">Life cycle assessment; LT, Low temperature; LUC, Land use change; LW, Live weight; MP, Microbial proteins; </w:t>
      </w:r>
      <w:proofErr w:type="spellStart"/>
      <w:r>
        <w:t>Myco</w:t>
      </w:r>
      <w:proofErr w:type="spellEnd"/>
      <w:r>
        <w:t xml:space="preserve">, Mycoproteins; N, Nitrogen; </w:t>
      </w:r>
      <w:proofErr w:type="spellStart"/>
      <w:r>
        <w:t>OaT</w:t>
      </w:r>
      <w:proofErr w:type="spellEnd"/>
      <w:r>
        <w:t xml:space="preserve">, One-at-the-time; OM, Organic matter; SFU, Scandinavian feed unit </w:t>
      </w:r>
    </w:p>
    <w:p w14:paraId="57004B9B" w14:textId="77777777" w:rsidR="00F6120E" w:rsidRDefault="00F6120E" w:rsidP="00433AD5">
      <w:pPr>
        <w:rPr>
          <w:b/>
        </w:rPr>
      </w:pPr>
    </w:p>
    <w:p w14:paraId="0ED7CF0E" w14:textId="1B45318D" w:rsidR="00F6120E" w:rsidRDefault="00F6120E" w:rsidP="00433AD5">
      <w:pPr>
        <w:rPr>
          <w:b/>
        </w:rPr>
      </w:pPr>
      <w:r>
        <w:rPr>
          <w:b/>
        </w:rPr>
        <w:t>Content</w:t>
      </w:r>
    </w:p>
    <w:p w14:paraId="324AC055" w14:textId="61A0C78B" w:rsidR="000643DF" w:rsidRDefault="006D0A66">
      <w:pPr>
        <w:pStyle w:val="TM1"/>
        <w:tabs>
          <w:tab w:val="left" w:pos="440"/>
          <w:tab w:val="right" w:leader="underscore" w:pos="9062"/>
        </w:tabs>
        <w:rPr>
          <w:rFonts w:eastAsiaTheme="minorEastAsia"/>
          <w:noProof/>
        </w:rPr>
      </w:pPr>
      <w:r>
        <w:rPr>
          <w:b/>
        </w:rPr>
        <w:fldChar w:fldCharType="begin"/>
      </w:r>
      <w:r>
        <w:rPr>
          <w:b/>
        </w:rPr>
        <w:instrText xml:space="preserve"> TOC \o "1-1" \h \z \u </w:instrText>
      </w:r>
      <w:r>
        <w:rPr>
          <w:b/>
        </w:rPr>
        <w:fldChar w:fldCharType="separate"/>
      </w:r>
      <w:hyperlink w:anchor="_Toc155516864" w:history="1">
        <w:r w:rsidR="000643DF" w:rsidRPr="00936001">
          <w:rPr>
            <w:rStyle w:val="Lienhypertexte"/>
            <w:noProof/>
          </w:rPr>
          <w:t>1.</w:t>
        </w:r>
        <w:r w:rsidR="000643DF">
          <w:rPr>
            <w:rFonts w:eastAsiaTheme="minorEastAsia"/>
            <w:noProof/>
          </w:rPr>
          <w:tab/>
        </w:r>
        <w:r w:rsidR="000643DF" w:rsidRPr="00936001">
          <w:rPr>
            <w:rStyle w:val="Lienhypertexte"/>
            <w:noProof/>
          </w:rPr>
          <w:t>Case studies</w:t>
        </w:r>
        <w:r w:rsidR="000643DF">
          <w:rPr>
            <w:noProof/>
            <w:webHidden/>
          </w:rPr>
          <w:tab/>
        </w:r>
        <w:r w:rsidR="000643DF">
          <w:rPr>
            <w:noProof/>
            <w:webHidden/>
          </w:rPr>
          <w:fldChar w:fldCharType="begin"/>
        </w:r>
        <w:r w:rsidR="000643DF">
          <w:rPr>
            <w:noProof/>
            <w:webHidden/>
          </w:rPr>
          <w:instrText xml:space="preserve"> PAGEREF _Toc155516864 \h </w:instrText>
        </w:r>
        <w:r w:rsidR="000643DF">
          <w:rPr>
            <w:noProof/>
            <w:webHidden/>
          </w:rPr>
        </w:r>
        <w:r w:rsidR="000643DF">
          <w:rPr>
            <w:noProof/>
            <w:webHidden/>
          </w:rPr>
          <w:fldChar w:fldCharType="separate"/>
        </w:r>
        <w:r w:rsidR="00690396">
          <w:rPr>
            <w:noProof/>
            <w:webHidden/>
          </w:rPr>
          <w:t>3</w:t>
        </w:r>
        <w:r w:rsidR="000643DF">
          <w:rPr>
            <w:noProof/>
            <w:webHidden/>
          </w:rPr>
          <w:fldChar w:fldCharType="end"/>
        </w:r>
      </w:hyperlink>
    </w:p>
    <w:p w14:paraId="78C14927" w14:textId="4E087399" w:rsidR="000643DF" w:rsidRDefault="000643DF">
      <w:pPr>
        <w:pStyle w:val="TM1"/>
        <w:tabs>
          <w:tab w:val="left" w:pos="440"/>
          <w:tab w:val="right" w:leader="underscore" w:pos="9062"/>
        </w:tabs>
        <w:rPr>
          <w:rFonts w:eastAsiaTheme="minorEastAsia"/>
          <w:noProof/>
        </w:rPr>
      </w:pPr>
      <w:hyperlink w:anchor="_Toc155516865" w:history="1">
        <w:r w:rsidRPr="00936001">
          <w:rPr>
            <w:rStyle w:val="Lienhypertexte"/>
            <w:noProof/>
          </w:rPr>
          <w:t>2.</w:t>
        </w:r>
        <w:r>
          <w:rPr>
            <w:rFonts w:eastAsiaTheme="minorEastAsia"/>
            <w:noProof/>
          </w:rPr>
          <w:tab/>
        </w:r>
        <w:r w:rsidRPr="00936001">
          <w:rPr>
            <w:rStyle w:val="Lienhypertexte"/>
            <w:noProof/>
          </w:rPr>
          <w:t>Identification of marginal suppliers and scenarios definition</w:t>
        </w:r>
        <w:r>
          <w:rPr>
            <w:noProof/>
            <w:webHidden/>
          </w:rPr>
          <w:tab/>
        </w:r>
        <w:r>
          <w:rPr>
            <w:noProof/>
            <w:webHidden/>
          </w:rPr>
          <w:fldChar w:fldCharType="begin"/>
        </w:r>
        <w:r>
          <w:rPr>
            <w:noProof/>
            <w:webHidden/>
          </w:rPr>
          <w:instrText xml:space="preserve"> PAGEREF _Toc155516865 \h </w:instrText>
        </w:r>
        <w:r>
          <w:rPr>
            <w:noProof/>
            <w:webHidden/>
          </w:rPr>
        </w:r>
        <w:r>
          <w:rPr>
            <w:noProof/>
            <w:webHidden/>
          </w:rPr>
          <w:fldChar w:fldCharType="separate"/>
        </w:r>
        <w:r w:rsidR="00690396">
          <w:rPr>
            <w:noProof/>
            <w:webHidden/>
          </w:rPr>
          <w:t>4</w:t>
        </w:r>
        <w:r>
          <w:rPr>
            <w:noProof/>
            <w:webHidden/>
          </w:rPr>
          <w:fldChar w:fldCharType="end"/>
        </w:r>
      </w:hyperlink>
    </w:p>
    <w:p w14:paraId="2A2059ED" w14:textId="14779F30" w:rsidR="000643DF" w:rsidRDefault="000643DF">
      <w:pPr>
        <w:pStyle w:val="TM1"/>
        <w:tabs>
          <w:tab w:val="left" w:pos="440"/>
          <w:tab w:val="right" w:leader="underscore" w:pos="9062"/>
        </w:tabs>
        <w:rPr>
          <w:rFonts w:eastAsiaTheme="minorEastAsia"/>
          <w:noProof/>
        </w:rPr>
      </w:pPr>
      <w:hyperlink w:anchor="_Toc155516866" w:history="1">
        <w:r w:rsidRPr="00936001">
          <w:rPr>
            <w:rStyle w:val="Lienhypertexte"/>
            <w:noProof/>
          </w:rPr>
          <w:t>3.</w:t>
        </w:r>
        <w:r>
          <w:rPr>
            <w:rFonts w:eastAsiaTheme="minorEastAsia"/>
            <w:noProof/>
          </w:rPr>
          <w:tab/>
        </w:r>
        <w:r w:rsidRPr="00936001">
          <w:rPr>
            <w:rStyle w:val="Lienhypertexte"/>
            <w:noProof/>
          </w:rPr>
          <w:t>Global sensitivity analysis design and implementation</w:t>
        </w:r>
        <w:r>
          <w:rPr>
            <w:noProof/>
            <w:webHidden/>
          </w:rPr>
          <w:tab/>
        </w:r>
        <w:r>
          <w:rPr>
            <w:noProof/>
            <w:webHidden/>
          </w:rPr>
          <w:fldChar w:fldCharType="begin"/>
        </w:r>
        <w:r>
          <w:rPr>
            <w:noProof/>
            <w:webHidden/>
          </w:rPr>
          <w:instrText xml:space="preserve"> PAGEREF _Toc155516866 \h </w:instrText>
        </w:r>
        <w:r>
          <w:rPr>
            <w:noProof/>
            <w:webHidden/>
          </w:rPr>
        </w:r>
        <w:r>
          <w:rPr>
            <w:noProof/>
            <w:webHidden/>
          </w:rPr>
          <w:fldChar w:fldCharType="separate"/>
        </w:r>
        <w:r w:rsidR="00690396">
          <w:rPr>
            <w:noProof/>
            <w:webHidden/>
          </w:rPr>
          <w:t>18</w:t>
        </w:r>
        <w:r>
          <w:rPr>
            <w:noProof/>
            <w:webHidden/>
          </w:rPr>
          <w:fldChar w:fldCharType="end"/>
        </w:r>
      </w:hyperlink>
    </w:p>
    <w:p w14:paraId="36269D35" w14:textId="67C756BB" w:rsidR="000643DF" w:rsidRDefault="000643DF">
      <w:pPr>
        <w:pStyle w:val="TM1"/>
        <w:tabs>
          <w:tab w:val="left" w:pos="440"/>
          <w:tab w:val="right" w:leader="underscore" w:pos="9062"/>
        </w:tabs>
        <w:rPr>
          <w:rFonts w:eastAsiaTheme="minorEastAsia"/>
          <w:noProof/>
        </w:rPr>
      </w:pPr>
      <w:hyperlink w:anchor="_Toc155516867" w:history="1">
        <w:r w:rsidRPr="00936001">
          <w:rPr>
            <w:rStyle w:val="Lienhypertexte"/>
            <w:noProof/>
          </w:rPr>
          <w:t>4.</w:t>
        </w:r>
        <w:r>
          <w:rPr>
            <w:rFonts w:eastAsiaTheme="minorEastAsia"/>
            <w:noProof/>
          </w:rPr>
          <w:tab/>
        </w:r>
        <w:r w:rsidRPr="00936001">
          <w:rPr>
            <w:rStyle w:val="Lienhypertexte"/>
            <w:noProof/>
          </w:rPr>
          <w:t>Additional results</w:t>
        </w:r>
        <w:r>
          <w:rPr>
            <w:noProof/>
            <w:webHidden/>
          </w:rPr>
          <w:tab/>
        </w:r>
        <w:r>
          <w:rPr>
            <w:noProof/>
            <w:webHidden/>
          </w:rPr>
          <w:fldChar w:fldCharType="begin"/>
        </w:r>
        <w:r>
          <w:rPr>
            <w:noProof/>
            <w:webHidden/>
          </w:rPr>
          <w:instrText xml:space="preserve"> PAGEREF _Toc155516867 \h </w:instrText>
        </w:r>
        <w:r>
          <w:rPr>
            <w:noProof/>
            <w:webHidden/>
          </w:rPr>
        </w:r>
        <w:r>
          <w:rPr>
            <w:noProof/>
            <w:webHidden/>
          </w:rPr>
          <w:fldChar w:fldCharType="separate"/>
        </w:r>
        <w:r w:rsidR="00690396">
          <w:rPr>
            <w:noProof/>
            <w:webHidden/>
          </w:rPr>
          <w:t>28</w:t>
        </w:r>
        <w:r>
          <w:rPr>
            <w:noProof/>
            <w:webHidden/>
          </w:rPr>
          <w:fldChar w:fldCharType="end"/>
        </w:r>
      </w:hyperlink>
    </w:p>
    <w:p w14:paraId="0269D85E" w14:textId="5D0964FA" w:rsidR="000643DF" w:rsidRDefault="000643DF">
      <w:pPr>
        <w:pStyle w:val="TM1"/>
        <w:tabs>
          <w:tab w:val="right" w:leader="underscore" w:pos="9062"/>
        </w:tabs>
        <w:rPr>
          <w:rFonts w:eastAsiaTheme="minorEastAsia"/>
          <w:noProof/>
        </w:rPr>
      </w:pPr>
      <w:hyperlink w:anchor="_Toc155516868" w:history="1">
        <w:r w:rsidRPr="00936001">
          <w:rPr>
            <w:rStyle w:val="Lienhypertexte"/>
            <w:noProof/>
          </w:rPr>
          <w:t>References</w:t>
        </w:r>
        <w:r>
          <w:rPr>
            <w:noProof/>
            <w:webHidden/>
          </w:rPr>
          <w:tab/>
        </w:r>
        <w:r>
          <w:rPr>
            <w:noProof/>
            <w:webHidden/>
          </w:rPr>
          <w:fldChar w:fldCharType="begin"/>
        </w:r>
        <w:r>
          <w:rPr>
            <w:noProof/>
            <w:webHidden/>
          </w:rPr>
          <w:instrText xml:space="preserve"> PAGEREF _Toc155516868 \h </w:instrText>
        </w:r>
        <w:r>
          <w:rPr>
            <w:noProof/>
            <w:webHidden/>
          </w:rPr>
        </w:r>
        <w:r>
          <w:rPr>
            <w:noProof/>
            <w:webHidden/>
          </w:rPr>
          <w:fldChar w:fldCharType="separate"/>
        </w:r>
        <w:r w:rsidR="00690396">
          <w:rPr>
            <w:noProof/>
            <w:webHidden/>
          </w:rPr>
          <w:t>33</w:t>
        </w:r>
        <w:r>
          <w:rPr>
            <w:noProof/>
            <w:webHidden/>
          </w:rPr>
          <w:fldChar w:fldCharType="end"/>
        </w:r>
      </w:hyperlink>
    </w:p>
    <w:p w14:paraId="643E85FC" w14:textId="392A9960" w:rsidR="00AE3D44" w:rsidRDefault="006D0A66" w:rsidP="00433AD5">
      <w:pPr>
        <w:rPr>
          <w:b/>
        </w:rPr>
      </w:pPr>
      <w:r>
        <w:rPr>
          <w:b/>
        </w:rPr>
        <w:fldChar w:fldCharType="end"/>
      </w:r>
    </w:p>
    <w:p w14:paraId="239E5CF4" w14:textId="77777777" w:rsidR="00AE3D44" w:rsidRDefault="00AE3D44">
      <w:pPr>
        <w:rPr>
          <w:b/>
        </w:rPr>
      </w:pPr>
      <w:r>
        <w:rPr>
          <w:b/>
        </w:rPr>
        <w:br w:type="page"/>
      </w:r>
    </w:p>
    <w:p w14:paraId="654764FD" w14:textId="0B9E2255" w:rsidR="00F6120E" w:rsidRDefault="00F6120E" w:rsidP="00433AD5">
      <w:pPr>
        <w:rPr>
          <w:b/>
        </w:rPr>
      </w:pPr>
      <w:r>
        <w:rPr>
          <w:b/>
        </w:rPr>
        <w:lastRenderedPageBreak/>
        <w:t>Tables</w:t>
      </w:r>
    </w:p>
    <w:p w14:paraId="608D2C3C" w14:textId="0BD6F531" w:rsidR="000643DF" w:rsidRDefault="00F6120E">
      <w:pPr>
        <w:pStyle w:val="Tabledesillustrations"/>
        <w:tabs>
          <w:tab w:val="right" w:leader="underscore" w:pos="9062"/>
        </w:tabs>
        <w:rPr>
          <w:rFonts w:eastAsiaTheme="minorEastAsia"/>
          <w:noProof/>
        </w:rPr>
      </w:pPr>
      <w:r>
        <w:rPr>
          <w:b/>
          <w:lang w:val="fr-FR"/>
        </w:rPr>
        <w:fldChar w:fldCharType="begin"/>
      </w:r>
      <w:r>
        <w:rPr>
          <w:b/>
          <w:lang w:val="fr-FR"/>
        </w:rPr>
        <w:instrText xml:space="preserve"> TOC \h \z \c "Table" </w:instrText>
      </w:r>
      <w:r>
        <w:rPr>
          <w:b/>
          <w:lang w:val="fr-FR"/>
        </w:rPr>
        <w:fldChar w:fldCharType="separate"/>
      </w:r>
      <w:hyperlink w:anchor="_Toc155516837" w:history="1">
        <w:r w:rsidR="000643DF" w:rsidRPr="00A9515F">
          <w:rPr>
            <w:rStyle w:val="Lienhypertexte"/>
            <w:noProof/>
          </w:rPr>
          <w:t>Table SI1 – Selected residual biomass streams: potential and characteristics</w:t>
        </w:r>
        <w:r w:rsidR="000643DF">
          <w:rPr>
            <w:noProof/>
            <w:webHidden/>
          </w:rPr>
          <w:tab/>
        </w:r>
        <w:r w:rsidR="000643DF">
          <w:rPr>
            <w:noProof/>
            <w:webHidden/>
          </w:rPr>
          <w:fldChar w:fldCharType="begin"/>
        </w:r>
        <w:r w:rsidR="000643DF">
          <w:rPr>
            <w:noProof/>
            <w:webHidden/>
          </w:rPr>
          <w:instrText xml:space="preserve"> PAGEREF _Toc155516837 \h </w:instrText>
        </w:r>
        <w:r w:rsidR="000643DF">
          <w:rPr>
            <w:noProof/>
            <w:webHidden/>
          </w:rPr>
        </w:r>
        <w:r w:rsidR="000643DF">
          <w:rPr>
            <w:noProof/>
            <w:webHidden/>
          </w:rPr>
          <w:fldChar w:fldCharType="separate"/>
        </w:r>
        <w:r w:rsidR="00690396">
          <w:rPr>
            <w:noProof/>
            <w:webHidden/>
          </w:rPr>
          <w:t>3</w:t>
        </w:r>
        <w:r w:rsidR="000643DF">
          <w:rPr>
            <w:noProof/>
            <w:webHidden/>
          </w:rPr>
          <w:fldChar w:fldCharType="end"/>
        </w:r>
      </w:hyperlink>
    </w:p>
    <w:p w14:paraId="22E6DAFB" w14:textId="334FE0FC" w:rsidR="000643DF" w:rsidRDefault="000643DF">
      <w:pPr>
        <w:pStyle w:val="Tabledesillustrations"/>
        <w:tabs>
          <w:tab w:val="right" w:leader="underscore" w:pos="9062"/>
        </w:tabs>
        <w:rPr>
          <w:rFonts w:eastAsiaTheme="minorEastAsia"/>
          <w:noProof/>
        </w:rPr>
      </w:pPr>
      <w:hyperlink w:anchor="_Toc155516838" w:history="1">
        <w:r w:rsidRPr="00A9515F">
          <w:rPr>
            <w:rStyle w:val="Lienhypertexte"/>
            <w:noProof/>
          </w:rPr>
          <w:t>Table SI2 – LCA scores of marginal power mixes in three future energy scenarios</w:t>
        </w:r>
        <w:r>
          <w:rPr>
            <w:noProof/>
            <w:webHidden/>
          </w:rPr>
          <w:tab/>
        </w:r>
        <w:r>
          <w:rPr>
            <w:noProof/>
            <w:webHidden/>
          </w:rPr>
          <w:fldChar w:fldCharType="begin"/>
        </w:r>
        <w:r>
          <w:rPr>
            <w:noProof/>
            <w:webHidden/>
          </w:rPr>
          <w:instrText xml:space="preserve"> PAGEREF _Toc155516838 \h </w:instrText>
        </w:r>
        <w:r>
          <w:rPr>
            <w:noProof/>
            <w:webHidden/>
          </w:rPr>
        </w:r>
        <w:r>
          <w:rPr>
            <w:noProof/>
            <w:webHidden/>
          </w:rPr>
          <w:fldChar w:fldCharType="separate"/>
        </w:r>
        <w:r w:rsidR="00690396">
          <w:rPr>
            <w:noProof/>
            <w:webHidden/>
          </w:rPr>
          <w:t>4</w:t>
        </w:r>
        <w:r>
          <w:rPr>
            <w:noProof/>
            <w:webHidden/>
          </w:rPr>
          <w:fldChar w:fldCharType="end"/>
        </w:r>
      </w:hyperlink>
    </w:p>
    <w:p w14:paraId="0D6B9937" w14:textId="613158A7" w:rsidR="000643DF" w:rsidRDefault="000643DF">
      <w:pPr>
        <w:pStyle w:val="Tabledesillustrations"/>
        <w:tabs>
          <w:tab w:val="right" w:leader="underscore" w:pos="9062"/>
        </w:tabs>
        <w:rPr>
          <w:rFonts w:eastAsiaTheme="minorEastAsia"/>
          <w:noProof/>
        </w:rPr>
      </w:pPr>
      <w:hyperlink w:anchor="_Toc155516839" w:history="1">
        <w:r w:rsidRPr="00A9515F">
          <w:rPr>
            <w:rStyle w:val="Lienhypertexte"/>
            <w:noProof/>
          </w:rPr>
          <w:t>Table SI3 – LCA scores of marginal LT heating mixes in three future energy scenarios</w:t>
        </w:r>
        <w:r>
          <w:rPr>
            <w:noProof/>
            <w:webHidden/>
          </w:rPr>
          <w:tab/>
        </w:r>
        <w:r>
          <w:rPr>
            <w:noProof/>
            <w:webHidden/>
          </w:rPr>
          <w:fldChar w:fldCharType="begin"/>
        </w:r>
        <w:r>
          <w:rPr>
            <w:noProof/>
            <w:webHidden/>
          </w:rPr>
          <w:instrText xml:space="preserve"> PAGEREF _Toc155516839 \h </w:instrText>
        </w:r>
        <w:r>
          <w:rPr>
            <w:noProof/>
            <w:webHidden/>
          </w:rPr>
        </w:r>
        <w:r>
          <w:rPr>
            <w:noProof/>
            <w:webHidden/>
          </w:rPr>
          <w:fldChar w:fldCharType="separate"/>
        </w:r>
        <w:r w:rsidR="00690396">
          <w:rPr>
            <w:noProof/>
            <w:webHidden/>
          </w:rPr>
          <w:t>5</w:t>
        </w:r>
        <w:r>
          <w:rPr>
            <w:noProof/>
            <w:webHidden/>
          </w:rPr>
          <w:fldChar w:fldCharType="end"/>
        </w:r>
      </w:hyperlink>
    </w:p>
    <w:p w14:paraId="73E19823" w14:textId="009319F7" w:rsidR="000643DF" w:rsidRDefault="000643DF">
      <w:pPr>
        <w:pStyle w:val="Tabledesillustrations"/>
        <w:tabs>
          <w:tab w:val="right" w:leader="underscore" w:pos="9062"/>
        </w:tabs>
        <w:rPr>
          <w:rFonts w:eastAsiaTheme="minorEastAsia"/>
          <w:noProof/>
        </w:rPr>
      </w:pPr>
      <w:hyperlink w:anchor="_Toc155516840" w:history="1">
        <w:r w:rsidRPr="00A9515F">
          <w:rPr>
            <w:rStyle w:val="Lienhypertexte"/>
            <w:noProof/>
          </w:rPr>
          <w:t>Table SI4 – District heating marginal mixes in three future energy scenarios</w:t>
        </w:r>
        <w:r>
          <w:rPr>
            <w:noProof/>
            <w:webHidden/>
          </w:rPr>
          <w:tab/>
        </w:r>
        <w:r>
          <w:rPr>
            <w:noProof/>
            <w:webHidden/>
          </w:rPr>
          <w:fldChar w:fldCharType="begin"/>
        </w:r>
        <w:r>
          <w:rPr>
            <w:noProof/>
            <w:webHidden/>
          </w:rPr>
          <w:instrText xml:space="preserve"> PAGEREF _Toc155516840 \h </w:instrText>
        </w:r>
        <w:r>
          <w:rPr>
            <w:noProof/>
            <w:webHidden/>
          </w:rPr>
        </w:r>
        <w:r>
          <w:rPr>
            <w:noProof/>
            <w:webHidden/>
          </w:rPr>
          <w:fldChar w:fldCharType="separate"/>
        </w:r>
        <w:r w:rsidR="00690396">
          <w:rPr>
            <w:noProof/>
            <w:webHidden/>
          </w:rPr>
          <w:t>5</w:t>
        </w:r>
        <w:r>
          <w:rPr>
            <w:noProof/>
            <w:webHidden/>
          </w:rPr>
          <w:fldChar w:fldCharType="end"/>
        </w:r>
      </w:hyperlink>
    </w:p>
    <w:p w14:paraId="309669A8" w14:textId="131F0976" w:rsidR="000643DF" w:rsidRDefault="000643DF">
      <w:pPr>
        <w:pStyle w:val="Tabledesillustrations"/>
        <w:tabs>
          <w:tab w:val="right" w:leader="underscore" w:pos="9062"/>
        </w:tabs>
        <w:rPr>
          <w:rFonts w:eastAsiaTheme="minorEastAsia"/>
          <w:noProof/>
        </w:rPr>
      </w:pPr>
      <w:hyperlink w:anchor="_Toc155516841" w:history="1">
        <w:r w:rsidRPr="00A9515F">
          <w:rPr>
            <w:rStyle w:val="Lienhypertexte"/>
            <w:noProof/>
          </w:rPr>
          <w:t>Table SI5 – LCA scores of marginal HT heat mixes in three future energy scenarios</w:t>
        </w:r>
        <w:r>
          <w:rPr>
            <w:noProof/>
            <w:webHidden/>
          </w:rPr>
          <w:tab/>
        </w:r>
        <w:r>
          <w:rPr>
            <w:noProof/>
            <w:webHidden/>
          </w:rPr>
          <w:fldChar w:fldCharType="begin"/>
        </w:r>
        <w:r>
          <w:rPr>
            <w:noProof/>
            <w:webHidden/>
          </w:rPr>
          <w:instrText xml:space="preserve"> PAGEREF _Toc155516841 \h </w:instrText>
        </w:r>
        <w:r>
          <w:rPr>
            <w:noProof/>
            <w:webHidden/>
          </w:rPr>
        </w:r>
        <w:r>
          <w:rPr>
            <w:noProof/>
            <w:webHidden/>
          </w:rPr>
          <w:fldChar w:fldCharType="separate"/>
        </w:r>
        <w:r w:rsidR="00690396">
          <w:rPr>
            <w:noProof/>
            <w:webHidden/>
          </w:rPr>
          <w:t>6</w:t>
        </w:r>
        <w:r>
          <w:rPr>
            <w:noProof/>
            <w:webHidden/>
          </w:rPr>
          <w:fldChar w:fldCharType="end"/>
        </w:r>
      </w:hyperlink>
    </w:p>
    <w:p w14:paraId="15601E16" w14:textId="1E51DE72" w:rsidR="000643DF" w:rsidRDefault="000643DF">
      <w:pPr>
        <w:pStyle w:val="Tabledesillustrations"/>
        <w:tabs>
          <w:tab w:val="right" w:leader="underscore" w:pos="9062"/>
        </w:tabs>
        <w:rPr>
          <w:rFonts w:eastAsiaTheme="minorEastAsia"/>
          <w:noProof/>
        </w:rPr>
      </w:pPr>
      <w:hyperlink w:anchor="_Toc155516842" w:history="1">
        <w:r w:rsidRPr="00A9515F">
          <w:rPr>
            <w:rStyle w:val="Lienhypertexte"/>
            <w:noProof/>
          </w:rPr>
          <w:t>Table SI6 – Background activities to model green ammonia production, one kilogram</w:t>
        </w:r>
        <w:r>
          <w:rPr>
            <w:noProof/>
            <w:webHidden/>
          </w:rPr>
          <w:tab/>
        </w:r>
        <w:r>
          <w:rPr>
            <w:noProof/>
            <w:webHidden/>
          </w:rPr>
          <w:fldChar w:fldCharType="begin"/>
        </w:r>
        <w:r>
          <w:rPr>
            <w:noProof/>
            <w:webHidden/>
          </w:rPr>
          <w:instrText xml:space="preserve"> PAGEREF _Toc155516842 \h </w:instrText>
        </w:r>
        <w:r>
          <w:rPr>
            <w:noProof/>
            <w:webHidden/>
          </w:rPr>
        </w:r>
        <w:r>
          <w:rPr>
            <w:noProof/>
            <w:webHidden/>
          </w:rPr>
          <w:fldChar w:fldCharType="separate"/>
        </w:r>
        <w:r w:rsidR="00690396">
          <w:rPr>
            <w:noProof/>
            <w:webHidden/>
          </w:rPr>
          <w:t>7</w:t>
        </w:r>
        <w:r>
          <w:rPr>
            <w:noProof/>
            <w:webHidden/>
          </w:rPr>
          <w:fldChar w:fldCharType="end"/>
        </w:r>
      </w:hyperlink>
    </w:p>
    <w:p w14:paraId="236EF37B" w14:textId="443267AA" w:rsidR="000643DF" w:rsidRDefault="000643DF">
      <w:pPr>
        <w:pStyle w:val="Tabledesillustrations"/>
        <w:tabs>
          <w:tab w:val="right" w:leader="underscore" w:pos="9062"/>
        </w:tabs>
        <w:rPr>
          <w:rFonts w:eastAsiaTheme="minorEastAsia"/>
          <w:noProof/>
        </w:rPr>
      </w:pPr>
      <w:hyperlink w:anchor="_Toc155516843" w:history="1">
        <w:r w:rsidRPr="00A9515F">
          <w:rPr>
            <w:rStyle w:val="Lienhypertexte"/>
            <w:noProof/>
          </w:rPr>
          <w:t>Table SI7 – LCA scores of marginal fertilizer and fertilizing services in three future energy scenarios</w:t>
        </w:r>
        <w:r>
          <w:rPr>
            <w:noProof/>
            <w:webHidden/>
          </w:rPr>
          <w:tab/>
        </w:r>
        <w:r>
          <w:rPr>
            <w:noProof/>
            <w:webHidden/>
          </w:rPr>
          <w:fldChar w:fldCharType="begin"/>
        </w:r>
        <w:r>
          <w:rPr>
            <w:noProof/>
            <w:webHidden/>
          </w:rPr>
          <w:instrText xml:space="preserve"> PAGEREF _Toc155516843 \h </w:instrText>
        </w:r>
        <w:r>
          <w:rPr>
            <w:noProof/>
            <w:webHidden/>
          </w:rPr>
        </w:r>
        <w:r>
          <w:rPr>
            <w:noProof/>
            <w:webHidden/>
          </w:rPr>
          <w:fldChar w:fldCharType="separate"/>
        </w:r>
        <w:r w:rsidR="00690396">
          <w:rPr>
            <w:noProof/>
            <w:webHidden/>
          </w:rPr>
          <w:t>7</w:t>
        </w:r>
        <w:r>
          <w:rPr>
            <w:noProof/>
            <w:webHidden/>
          </w:rPr>
          <w:fldChar w:fldCharType="end"/>
        </w:r>
      </w:hyperlink>
    </w:p>
    <w:p w14:paraId="727F8614" w14:textId="44221831" w:rsidR="000643DF" w:rsidRDefault="000643DF">
      <w:pPr>
        <w:pStyle w:val="Tabledesillustrations"/>
        <w:tabs>
          <w:tab w:val="right" w:leader="underscore" w:pos="9062"/>
        </w:tabs>
        <w:rPr>
          <w:rFonts w:eastAsiaTheme="minorEastAsia"/>
          <w:noProof/>
        </w:rPr>
      </w:pPr>
      <w:hyperlink w:anchor="_Toc155516844" w:history="1">
        <w:r w:rsidRPr="00A9515F">
          <w:rPr>
            <w:rStyle w:val="Lienhypertexte"/>
            <w:noProof/>
          </w:rPr>
          <w:t>Table SI8 – Marginal feed suppliers mixes in three future food systems scenarios</w:t>
        </w:r>
        <w:r>
          <w:rPr>
            <w:noProof/>
            <w:webHidden/>
          </w:rPr>
          <w:tab/>
        </w:r>
        <w:r>
          <w:rPr>
            <w:noProof/>
            <w:webHidden/>
          </w:rPr>
          <w:fldChar w:fldCharType="begin"/>
        </w:r>
        <w:r>
          <w:rPr>
            <w:noProof/>
            <w:webHidden/>
          </w:rPr>
          <w:instrText xml:space="preserve"> PAGEREF _Toc155516844 \h </w:instrText>
        </w:r>
        <w:r>
          <w:rPr>
            <w:noProof/>
            <w:webHidden/>
          </w:rPr>
        </w:r>
        <w:r>
          <w:rPr>
            <w:noProof/>
            <w:webHidden/>
          </w:rPr>
          <w:fldChar w:fldCharType="separate"/>
        </w:r>
        <w:r w:rsidR="00690396">
          <w:rPr>
            <w:noProof/>
            <w:webHidden/>
          </w:rPr>
          <w:t>9</w:t>
        </w:r>
        <w:r>
          <w:rPr>
            <w:noProof/>
            <w:webHidden/>
          </w:rPr>
          <w:fldChar w:fldCharType="end"/>
        </w:r>
      </w:hyperlink>
    </w:p>
    <w:p w14:paraId="2147A9A6" w14:textId="040A2112" w:rsidR="000643DF" w:rsidRDefault="000643DF">
      <w:pPr>
        <w:pStyle w:val="Tabledesillustrations"/>
        <w:tabs>
          <w:tab w:val="right" w:leader="underscore" w:pos="9062"/>
        </w:tabs>
        <w:rPr>
          <w:rFonts w:eastAsiaTheme="minorEastAsia"/>
          <w:noProof/>
        </w:rPr>
      </w:pPr>
      <w:hyperlink w:anchor="_Toc155516845" w:history="1">
        <w:r w:rsidRPr="00A9515F">
          <w:rPr>
            <w:rStyle w:val="Lienhypertexte"/>
            <w:noProof/>
          </w:rPr>
          <w:t>Table SI9 – Background activities to model the marginal production of concentrated feed services</w:t>
        </w:r>
        <w:r>
          <w:rPr>
            <w:noProof/>
            <w:webHidden/>
          </w:rPr>
          <w:tab/>
        </w:r>
        <w:r>
          <w:rPr>
            <w:noProof/>
            <w:webHidden/>
          </w:rPr>
          <w:fldChar w:fldCharType="begin"/>
        </w:r>
        <w:r>
          <w:rPr>
            <w:noProof/>
            <w:webHidden/>
          </w:rPr>
          <w:instrText xml:space="preserve"> PAGEREF _Toc155516845 \h </w:instrText>
        </w:r>
        <w:r>
          <w:rPr>
            <w:noProof/>
            <w:webHidden/>
          </w:rPr>
        </w:r>
        <w:r>
          <w:rPr>
            <w:noProof/>
            <w:webHidden/>
          </w:rPr>
          <w:fldChar w:fldCharType="separate"/>
        </w:r>
        <w:r w:rsidR="00690396">
          <w:rPr>
            <w:noProof/>
            <w:webHidden/>
          </w:rPr>
          <w:t>11</w:t>
        </w:r>
        <w:r>
          <w:rPr>
            <w:noProof/>
            <w:webHidden/>
          </w:rPr>
          <w:fldChar w:fldCharType="end"/>
        </w:r>
      </w:hyperlink>
    </w:p>
    <w:p w14:paraId="55440CDC" w14:textId="00310A13" w:rsidR="000643DF" w:rsidRDefault="000643DF">
      <w:pPr>
        <w:pStyle w:val="Tabledesillustrations"/>
        <w:tabs>
          <w:tab w:val="right" w:leader="underscore" w:pos="9062"/>
        </w:tabs>
        <w:rPr>
          <w:rFonts w:eastAsiaTheme="minorEastAsia"/>
          <w:noProof/>
        </w:rPr>
      </w:pPr>
      <w:hyperlink w:anchor="_Toc155516846" w:history="1">
        <w:r w:rsidRPr="00A9515F">
          <w:rPr>
            <w:rStyle w:val="Lienhypertexte"/>
            <w:noProof/>
          </w:rPr>
          <w:t>Table SI10 – Background activities to model the marginal production of roughage feed services</w:t>
        </w:r>
        <w:r>
          <w:rPr>
            <w:noProof/>
            <w:webHidden/>
          </w:rPr>
          <w:tab/>
        </w:r>
        <w:r>
          <w:rPr>
            <w:noProof/>
            <w:webHidden/>
          </w:rPr>
          <w:fldChar w:fldCharType="begin"/>
        </w:r>
        <w:r>
          <w:rPr>
            <w:noProof/>
            <w:webHidden/>
          </w:rPr>
          <w:instrText xml:space="preserve"> PAGEREF _Toc155516846 \h </w:instrText>
        </w:r>
        <w:r>
          <w:rPr>
            <w:noProof/>
            <w:webHidden/>
          </w:rPr>
        </w:r>
        <w:r>
          <w:rPr>
            <w:noProof/>
            <w:webHidden/>
          </w:rPr>
          <w:fldChar w:fldCharType="separate"/>
        </w:r>
        <w:r w:rsidR="00690396">
          <w:rPr>
            <w:noProof/>
            <w:webHidden/>
          </w:rPr>
          <w:t>12</w:t>
        </w:r>
        <w:r>
          <w:rPr>
            <w:noProof/>
            <w:webHidden/>
          </w:rPr>
          <w:fldChar w:fldCharType="end"/>
        </w:r>
      </w:hyperlink>
    </w:p>
    <w:p w14:paraId="2EAE3FAC" w14:textId="0F779066" w:rsidR="000643DF" w:rsidRDefault="000643DF">
      <w:pPr>
        <w:pStyle w:val="Tabledesillustrations"/>
        <w:tabs>
          <w:tab w:val="right" w:leader="underscore" w:pos="9062"/>
        </w:tabs>
        <w:rPr>
          <w:rFonts w:eastAsiaTheme="minorEastAsia"/>
          <w:noProof/>
        </w:rPr>
      </w:pPr>
      <w:hyperlink w:anchor="_Toc155516847" w:history="1">
        <w:r w:rsidRPr="00A9515F">
          <w:rPr>
            <w:rStyle w:val="Lienhypertexte"/>
            <w:noProof/>
          </w:rPr>
          <w:t>Table SI11 – LCA scores of marginal feed services in three future food systems scenarios</w:t>
        </w:r>
        <w:r>
          <w:rPr>
            <w:noProof/>
            <w:webHidden/>
          </w:rPr>
          <w:tab/>
        </w:r>
        <w:r>
          <w:rPr>
            <w:noProof/>
            <w:webHidden/>
          </w:rPr>
          <w:fldChar w:fldCharType="begin"/>
        </w:r>
        <w:r>
          <w:rPr>
            <w:noProof/>
            <w:webHidden/>
          </w:rPr>
          <w:instrText xml:space="preserve"> PAGEREF _Toc155516847 \h </w:instrText>
        </w:r>
        <w:r>
          <w:rPr>
            <w:noProof/>
            <w:webHidden/>
          </w:rPr>
        </w:r>
        <w:r>
          <w:rPr>
            <w:noProof/>
            <w:webHidden/>
          </w:rPr>
          <w:fldChar w:fldCharType="separate"/>
        </w:r>
        <w:r w:rsidR="00690396">
          <w:rPr>
            <w:noProof/>
            <w:webHidden/>
          </w:rPr>
          <w:t>12</w:t>
        </w:r>
        <w:r>
          <w:rPr>
            <w:noProof/>
            <w:webHidden/>
          </w:rPr>
          <w:fldChar w:fldCharType="end"/>
        </w:r>
      </w:hyperlink>
    </w:p>
    <w:p w14:paraId="6DCD649A" w14:textId="75821379" w:rsidR="000643DF" w:rsidRDefault="000643DF">
      <w:pPr>
        <w:pStyle w:val="Tabledesillustrations"/>
        <w:tabs>
          <w:tab w:val="right" w:leader="underscore" w:pos="9062"/>
        </w:tabs>
        <w:rPr>
          <w:rFonts w:eastAsiaTheme="minorEastAsia"/>
          <w:noProof/>
        </w:rPr>
      </w:pPr>
      <w:hyperlink w:anchor="_Toc155516848" w:history="1">
        <w:r w:rsidRPr="00A9515F">
          <w:rPr>
            <w:rStyle w:val="Lienhypertexte"/>
            <w:noProof/>
          </w:rPr>
          <w:t>Table SI12 – Marginal animal-based meat suppliers, benchmark and selected mix</w:t>
        </w:r>
        <w:r>
          <w:rPr>
            <w:noProof/>
            <w:webHidden/>
          </w:rPr>
          <w:tab/>
        </w:r>
        <w:r>
          <w:rPr>
            <w:noProof/>
            <w:webHidden/>
          </w:rPr>
          <w:fldChar w:fldCharType="begin"/>
        </w:r>
        <w:r>
          <w:rPr>
            <w:noProof/>
            <w:webHidden/>
          </w:rPr>
          <w:instrText xml:space="preserve"> PAGEREF _Toc155516848 \h </w:instrText>
        </w:r>
        <w:r>
          <w:rPr>
            <w:noProof/>
            <w:webHidden/>
          </w:rPr>
        </w:r>
        <w:r>
          <w:rPr>
            <w:noProof/>
            <w:webHidden/>
          </w:rPr>
          <w:fldChar w:fldCharType="separate"/>
        </w:r>
        <w:r w:rsidR="00690396">
          <w:rPr>
            <w:noProof/>
            <w:webHidden/>
          </w:rPr>
          <w:t>15</w:t>
        </w:r>
        <w:r>
          <w:rPr>
            <w:noProof/>
            <w:webHidden/>
          </w:rPr>
          <w:fldChar w:fldCharType="end"/>
        </w:r>
      </w:hyperlink>
    </w:p>
    <w:p w14:paraId="7B994DD8" w14:textId="0A855371" w:rsidR="000643DF" w:rsidRDefault="000643DF">
      <w:pPr>
        <w:pStyle w:val="Tabledesillustrations"/>
        <w:tabs>
          <w:tab w:val="right" w:leader="underscore" w:pos="9062"/>
        </w:tabs>
        <w:rPr>
          <w:rFonts w:eastAsiaTheme="minorEastAsia"/>
          <w:noProof/>
        </w:rPr>
      </w:pPr>
      <w:hyperlink w:anchor="_Toc155516849" w:history="1">
        <w:r w:rsidRPr="00A9515F">
          <w:rPr>
            <w:rStyle w:val="Lienhypertexte"/>
            <w:noProof/>
          </w:rPr>
          <w:t>Table SI13 – Modeling of poultry and swine meat production systems</w:t>
        </w:r>
        <w:r>
          <w:rPr>
            <w:noProof/>
            <w:webHidden/>
          </w:rPr>
          <w:tab/>
        </w:r>
        <w:r>
          <w:rPr>
            <w:noProof/>
            <w:webHidden/>
          </w:rPr>
          <w:fldChar w:fldCharType="begin"/>
        </w:r>
        <w:r>
          <w:rPr>
            <w:noProof/>
            <w:webHidden/>
          </w:rPr>
          <w:instrText xml:space="preserve"> PAGEREF _Toc155516849 \h </w:instrText>
        </w:r>
        <w:r>
          <w:rPr>
            <w:noProof/>
            <w:webHidden/>
          </w:rPr>
        </w:r>
        <w:r>
          <w:rPr>
            <w:noProof/>
            <w:webHidden/>
          </w:rPr>
          <w:fldChar w:fldCharType="separate"/>
        </w:r>
        <w:r w:rsidR="00690396">
          <w:rPr>
            <w:noProof/>
            <w:webHidden/>
          </w:rPr>
          <w:t>16</w:t>
        </w:r>
        <w:r>
          <w:rPr>
            <w:noProof/>
            <w:webHidden/>
          </w:rPr>
          <w:fldChar w:fldCharType="end"/>
        </w:r>
      </w:hyperlink>
    </w:p>
    <w:bookmarkStart w:id="0" w:name="_GoBack"/>
    <w:p w14:paraId="434C58DF" w14:textId="788735FB" w:rsidR="000643DF" w:rsidRDefault="000643DF">
      <w:pPr>
        <w:pStyle w:val="Tabledesillustrations"/>
        <w:tabs>
          <w:tab w:val="right" w:leader="underscore" w:pos="9062"/>
        </w:tabs>
        <w:rPr>
          <w:rFonts w:eastAsiaTheme="minorEastAsia"/>
          <w:noProof/>
        </w:rPr>
      </w:pPr>
      <w:r w:rsidRPr="00A9515F">
        <w:rPr>
          <w:rStyle w:val="Lienhypertexte"/>
          <w:noProof/>
        </w:rPr>
        <w:fldChar w:fldCharType="begin"/>
      </w:r>
      <w:r w:rsidRPr="00A9515F">
        <w:rPr>
          <w:rStyle w:val="Lienhypertexte"/>
          <w:noProof/>
        </w:rPr>
        <w:instrText xml:space="preserve"> </w:instrText>
      </w:r>
      <w:r>
        <w:rPr>
          <w:noProof/>
        </w:rPr>
        <w:instrText>HYPERLINK \l "_Toc155516850"</w:instrText>
      </w:r>
      <w:r w:rsidRPr="00A9515F">
        <w:rPr>
          <w:rStyle w:val="Lienhypertexte"/>
          <w:noProof/>
        </w:rPr>
        <w:instrText xml:space="preserve"> </w:instrText>
      </w:r>
      <w:r w:rsidRPr="00A9515F">
        <w:rPr>
          <w:rStyle w:val="Lienhypertexte"/>
          <w:noProof/>
        </w:rPr>
      </w:r>
      <w:r w:rsidRPr="00A9515F">
        <w:rPr>
          <w:rStyle w:val="Lienhypertexte"/>
          <w:noProof/>
        </w:rPr>
        <w:fldChar w:fldCharType="separate"/>
      </w:r>
      <w:r w:rsidRPr="00A9515F">
        <w:rPr>
          <w:rStyle w:val="Lienhypertexte"/>
          <w:noProof/>
        </w:rPr>
        <w:t>Table SI14 – Background activities used to model marginal meat suppliers</w:t>
      </w:r>
      <w:r>
        <w:rPr>
          <w:noProof/>
          <w:webHidden/>
        </w:rPr>
        <w:tab/>
      </w:r>
      <w:r>
        <w:rPr>
          <w:noProof/>
          <w:webHidden/>
        </w:rPr>
        <w:fldChar w:fldCharType="begin"/>
      </w:r>
      <w:r>
        <w:rPr>
          <w:noProof/>
          <w:webHidden/>
        </w:rPr>
        <w:instrText xml:space="preserve"> PAGEREF _Toc155516850 \h </w:instrText>
      </w:r>
      <w:r>
        <w:rPr>
          <w:noProof/>
          <w:webHidden/>
        </w:rPr>
      </w:r>
      <w:r>
        <w:rPr>
          <w:noProof/>
          <w:webHidden/>
        </w:rPr>
        <w:fldChar w:fldCharType="separate"/>
      </w:r>
      <w:r w:rsidR="00690396">
        <w:rPr>
          <w:noProof/>
          <w:webHidden/>
        </w:rPr>
        <w:t>16</w:t>
      </w:r>
      <w:r>
        <w:rPr>
          <w:noProof/>
          <w:webHidden/>
        </w:rPr>
        <w:fldChar w:fldCharType="end"/>
      </w:r>
      <w:r w:rsidRPr="00A9515F">
        <w:rPr>
          <w:rStyle w:val="Lienhypertexte"/>
          <w:noProof/>
        </w:rPr>
        <w:fldChar w:fldCharType="end"/>
      </w:r>
    </w:p>
    <w:bookmarkEnd w:id="0"/>
    <w:p w14:paraId="62FA3129" w14:textId="7C674C8B" w:rsidR="000643DF" w:rsidRDefault="000643DF">
      <w:pPr>
        <w:pStyle w:val="Tabledesillustrations"/>
        <w:tabs>
          <w:tab w:val="right" w:leader="underscore" w:pos="9062"/>
        </w:tabs>
        <w:rPr>
          <w:rFonts w:eastAsiaTheme="minorEastAsia"/>
          <w:noProof/>
        </w:rPr>
      </w:pPr>
      <w:r w:rsidRPr="00A9515F">
        <w:rPr>
          <w:rStyle w:val="Lienhypertexte"/>
          <w:noProof/>
        </w:rPr>
        <w:fldChar w:fldCharType="begin"/>
      </w:r>
      <w:r w:rsidRPr="00A9515F">
        <w:rPr>
          <w:rStyle w:val="Lienhypertexte"/>
          <w:noProof/>
        </w:rPr>
        <w:instrText xml:space="preserve"> </w:instrText>
      </w:r>
      <w:r>
        <w:rPr>
          <w:noProof/>
        </w:rPr>
        <w:instrText>HYPERLINK \l "_Toc155516851"</w:instrText>
      </w:r>
      <w:r w:rsidRPr="00A9515F">
        <w:rPr>
          <w:rStyle w:val="Lienhypertexte"/>
          <w:noProof/>
        </w:rPr>
        <w:instrText xml:space="preserve"> </w:instrText>
      </w:r>
      <w:r w:rsidRPr="00A9515F">
        <w:rPr>
          <w:rStyle w:val="Lienhypertexte"/>
          <w:noProof/>
        </w:rPr>
      </w:r>
      <w:r w:rsidRPr="00A9515F">
        <w:rPr>
          <w:rStyle w:val="Lienhypertexte"/>
          <w:noProof/>
        </w:rPr>
        <w:fldChar w:fldCharType="separate"/>
      </w:r>
      <w:r w:rsidRPr="00A9515F">
        <w:rPr>
          <w:rStyle w:val="Lienhypertexte"/>
          <w:noProof/>
        </w:rPr>
        <w:t>Table SI15 – Background activities used to model marginal plant-based meat suppliers</w:t>
      </w:r>
      <w:r>
        <w:rPr>
          <w:noProof/>
          <w:webHidden/>
        </w:rPr>
        <w:tab/>
      </w:r>
      <w:r>
        <w:rPr>
          <w:noProof/>
          <w:webHidden/>
        </w:rPr>
        <w:fldChar w:fldCharType="begin"/>
      </w:r>
      <w:r>
        <w:rPr>
          <w:noProof/>
          <w:webHidden/>
        </w:rPr>
        <w:instrText xml:space="preserve"> PAGEREF _Toc155516851 \h </w:instrText>
      </w:r>
      <w:r>
        <w:rPr>
          <w:noProof/>
          <w:webHidden/>
        </w:rPr>
      </w:r>
      <w:r>
        <w:rPr>
          <w:noProof/>
          <w:webHidden/>
        </w:rPr>
        <w:fldChar w:fldCharType="separate"/>
      </w:r>
      <w:r w:rsidR="00690396">
        <w:rPr>
          <w:noProof/>
          <w:webHidden/>
        </w:rPr>
        <w:t>16</w:t>
      </w:r>
      <w:r>
        <w:rPr>
          <w:noProof/>
          <w:webHidden/>
        </w:rPr>
        <w:fldChar w:fldCharType="end"/>
      </w:r>
      <w:r w:rsidRPr="00A9515F">
        <w:rPr>
          <w:rStyle w:val="Lienhypertexte"/>
          <w:noProof/>
        </w:rPr>
        <w:fldChar w:fldCharType="end"/>
      </w:r>
    </w:p>
    <w:p w14:paraId="333CDD0B" w14:textId="1E31EB05" w:rsidR="000643DF" w:rsidRDefault="000643DF">
      <w:pPr>
        <w:pStyle w:val="Tabledesillustrations"/>
        <w:tabs>
          <w:tab w:val="right" w:leader="underscore" w:pos="9062"/>
        </w:tabs>
        <w:rPr>
          <w:rFonts w:eastAsiaTheme="minorEastAsia"/>
          <w:noProof/>
        </w:rPr>
      </w:pPr>
      <w:hyperlink w:anchor="_Toc155516852" w:history="1">
        <w:r w:rsidRPr="00A9515F">
          <w:rPr>
            <w:rStyle w:val="Lienhypertexte"/>
            <w:noProof/>
          </w:rPr>
          <w:t>Table SI16 – LCA scores of marginal meat-equivalent suppliers in three food systems scenarios</w:t>
        </w:r>
        <w:r>
          <w:rPr>
            <w:noProof/>
            <w:webHidden/>
          </w:rPr>
          <w:tab/>
        </w:r>
        <w:r>
          <w:rPr>
            <w:noProof/>
            <w:webHidden/>
          </w:rPr>
          <w:fldChar w:fldCharType="begin"/>
        </w:r>
        <w:r>
          <w:rPr>
            <w:noProof/>
            <w:webHidden/>
          </w:rPr>
          <w:instrText xml:space="preserve"> PAGEREF _Toc155516852 \h </w:instrText>
        </w:r>
        <w:r>
          <w:rPr>
            <w:noProof/>
            <w:webHidden/>
          </w:rPr>
        </w:r>
        <w:r>
          <w:rPr>
            <w:noProof/>
            <w:webHidden/>
          </w:rPr>
          <w:fldChar w:fldCharType="separate"/>
        </w:r>
        <w:r w:rsidR="00690396">
          <w:rPr>
            <w:noProof/>
            <w:webHidden/>
          </w:rPr>
          <w:t>16</w:t>
        </w:r>
        <w:r>
          <w:rPr>
            <w:noProof/>
            <w:webHidden/>
          </w:rPr>
          <w:fldChar w:fldCharType="end"/>
        </w:r>
      </w:hyperlink>
    </w:p>
    <w:p w14:paraId="40F8BF18" w14:textId="5674CE1C" w:rsidR="000643DF" w:rsidRDefault="000643DF">
      <w:pPr>
        <w:pStyle w:val="Tabledesillustrations"/>
        <w:tabs>
          <w:tab w:val="right" w:leader="underscore" w:pos="9062"/>
        </w:tabs>
        <w:rPr>
          <w:rFonts w:eastAsiaTheme="minorEastAsia"/>
          <w:noProof/>
        </w:rPr>
      </w:pPr>
      <w:hyperlink w:anchor="_Toc155516853" w:history="1">
        <w:r w:rsidRPr="00A9515F">
          <w:rPr>
            <w:rStyle w:val="Lienhypertexte"/>
            <w:noProof/>
          </w:rPr>
          <w:t>Table SI17 – Morris method notations and selected simulation parameters</w:t>
        </w:r>
        <w:r>
          <w:rPr>
            <w:noProof/>
            <w:webHidden/>
          </w:rPr>
          <w:tab/>
        </w:r>
        <w:r>
          <w:rPr>
            <w:noProof/>
            <w:webHidden/>
          </w:rPr>
          <w:fldChar w:fldCharType="begin"/>
        </w:r>
        <w:r>
          <w:rPr>
            <w:noProof/>
            <w:webHidden/>
          </w:rPr>
          <w:instrText xml:space="preserve"> PAGEREF _Toc155516853 \h </w:instrText>
        </w:r>
        <w:r>
          <w:rPr>
            <w:noProof/>
            <w:webHidden/>
          </w:rPr>
        </w:r>
        <w:r>
          <w:rPr>
            <w:noProof/>
            <w:webHidden/>
          </w:rPr>
          <w:fldChar w:fldCharType="separate"/>
        </w:r>
        <w:r w:rsidR="00690396">
          <w:rPr>
            <w:noProof/>
            <w:webHidden/>
          </w:rPr>
          <w:t>19</w:t>
        </w:r>
        <w:r>
          <w:rPr>
            <w:noProof/>
            <w:webHidden/>
          </w:rPr>
          <w:fldChar w:fldCharType="end"/>
        </w:r>
      </w:hyperlink>
    </w:p>
    <w:p w14:paraId="21C7DC3B" w14:textId="4A50820D" w:rsidR="000643DF" w:rsidRDefault="000643DF">
      <w:pPr>
        <w:pStyle w:val="Tabledesillustrations"/>
        <w:tabs>
          <w:tab w:val="right" w:leader="underscore" w:pos="9062"/>
        </w:tabs>
        <w:rPr>
          <w:rFonts w:eastAsiaTheme="minorEastAsia"/>
          <w:noProof/>
        </w:rPr>
      </w:pPr>
      <w:hyperlink w:anchor="_Toc155516854" w:history="1">
        <w:r w:rsidRPr="00A9515F">
          <w:rPr>
            <w:rStyle w:val="Lienhypertexte"/>
            <w:noProof/>
          </w:rPr>
          <w:t>Table SI18 – Sufficient condition finding, illustrated on example I</w:t>
        </w:r>
        <w:r>
          <w:rPr>
            <w:noProof/>
            <w:webHidden/>
          </w:rPr>
          <w:tab/>
        </w:r>
        <w:r>
          <w:rPr>
            <w:noProof/>
            <w:webHidden/>
          </w:rPr>
          <w:fldChar w:fldCharType="begin"/>
        </w:r>
        <w:r>
          <w:rPr>
            <w:noProof/>
            <w:webHidden/>
          </w:rPr>
          <w:instrText xml:space="preserve"> PAGEREF _Toc155516854 \h </w:instrText>
        </w:r>
        <w:r>
          <w:rPr>
            <w:noProof/>
            <w:webHidden/>
          </w:rPr>
        </w:r>
        <w:r>
          <w:rPr>
            <w:noProof/>
            <w:webHidden/>
          </w:rPr>
          <w:fldChar w:fldCharType="separate"/>
        </w:r>
        <w:r w:rsidR="00690396">
          <w:rPr>
            <w:noProof/>
            <w:webHidden/>
          </w:rPr>
          <w:t>25</w:t>
        </w:r>
        <w:r>
          <w:rPr>
            <w:noProof/>
            <w:webHidden/>
          </w:rPr>
          <w:fldChar w:fldCharType="end"/>
        </w:r>
      </w:hyperlink>
    </w:p>
    <w:p w14:paraId="0B58751D" w14:textId="69C98AAC" w:rsidR="000643DF" w:rsidRDefault="000643DF">
      <w:pPr>
        <w:pStyle w:val="Tabledesillustrations"/>
        <w:tabs>
          <w:tab w:val="right" w:leader="underscore" w:pos="9062"/>
        </w:tabs>
        <w:rPr>
          <w:rFonts w:eastAsiaTheme="minorEastAsia"/>
          <w:noProof/>
        </w:rPr>
      </w:pPr>
      <w:hyperlink w:anchor="_Toc155516855" w:history="1">
        <w:r w:rsidRPr="00A9515F">
          <w:rPr>
            <w:rStyle w:val="Lienhypertexte"/>
            <w:noProof/>
          </w:rPr>
          <w:t>Table SI19 – Sufficient condition finding, illustrated on example II</w:t>
        </w:r>
        <w:r>
          <w:rPr>
            <w:noProof/>
            <w:webHidden/>
          </w:rPr>
          <w:tab/>
        </w:r>
        <w:r>
          <w:rPr>
            <w:noProof/>
            <w:webHidden/>
          </w:rPr>
          <w:fldChar w:fldCharType="begin"/>
        </w:r>
        <w:r>
          <w:rPr>
            <w:noProof/>
            <w:webHidden/>
          </w:rPr>
          <w:instrText xml:space="preserve"> PAGEREF _Toc155516855 \h </w:instrText>
        </w:r>
        <w:r>
          <w:rPr>
            <w:noProof/>
            <w:webHidden/>
          </w:rPr>
        </w:r>
        <w:r>
          <w:rPr>
            <w:noProof/>
            <w:webHidden/>
          </w:rPr>
          <w:fldChar w:fldCharType="separate"/>
        </w:r>
        <w:r w:rsidR="00690396">
          <w:rPr>
            <w:noProof/>
            <w:webHidden/>
          </w:rPr>
          <w:t>26</w:t>
        </w:r>
        <w:r>
          <w:rPr>
            <w:noProof/>
            <w:webHidden/>
          </w:rPr>
          <w:fldChar w:fldCharType="end"/>
        </w:r>
      </w:hyperlink>
    </w:p>
    <w:p w14:paraId="4C97C3B0" w14:textId="6C02AE3D" w:rsidR="00F6120E" w:rsidRDefault="00F6120E" w:rsidP="00433AD5">
      <w:pPr>
        <w:rPr>
          <w:b/>
          <w:lang w:val="fr-FR"/>
        </w:rPr>
      </w:pPr>
      <w:r>
        <w:rPr>
          <w:b/>
          <w:lang w:val="fr-FR"/>
        </w:rPr>
        <w:fldChar w:fldCharType="end"/>
      </w:r>
    </w:p>
    <w:p w14:paraId="3DE3509F" w14:textId="77777777" w:rsidR="000643DF" w:rsidRDefault="000643DF" w:rsidP="00433AD5">
      <w:pPr>
        <w:rPr>
          <w:b/>
          <w:lang w:val="fr-FR"/>
        </w:rPr>
      </w:pPr>
    </w:p>
    <w:p w14:paraId="0A326429" w14:textId="0F8F5FB2" w:rsidR="00F6120E" w:rsidRDefault="00F6120E" w:rsidP="00433AD5">
      <w:pPr>
        <w:rPr>
          <w:b/>
          <w:lang w:val="fr-FR"/>
        </w:rPr>
      </w:pPr>
      <w:r>
        <w:rPr>
          <w:b/>
          <w:lang w:val="fr-FR"/>
        </w:rPr>
        <w:t>Figures</w:t>
      </w:r>
    </w:p>
    <w:p w14:paraId="0B3F1D26" w14:textId="05766B04" w:rsidR="000643DF" w:rsidRDefault="00F6120E">
      <w:pPr>
        <w:pStyle w:val="Tabledesillustrations"/>
        <w:tabs>
          <w:tab w:val="right" w:leader="underscore" w:pos="9062"/>
        </w:tabs>
        <w:rPr>
          <w:rFonts w:eastAsiaTheme="minorEastAsia"/>
          <w:noProof/>
        </w:rPr>
      </w:pPr>
      <w:r>
        <w:rPr>
          <w:b/>
          <w:lang w:val="fr-FR"/>
        </w:rPr>
        <w:fldChar w:fldCharType="begin"/>
      </w:r>
      <w:r>
        <w:rPr>
          <w:b/>
          <w:lang w:val="fr-FR"/>
        </w:rPr>
        <w:instrText xml:space="preserve"> TOC \h \z \c "Figure" </w:instrText>
      </w:r>
      <w:r>
        <w:rPr>
          <w:b/>
          <w:lang w:val="fr-FR"/>
        </w:rPr>
        <w:fldChar w:fldCharType="separate"/>
      </w:r>
      <w:hyperlink w:anchor="_Toc155516856" w:history="1">
        <w:r w:rsidR="000643DF" w:rsidRPr="001A469F">
          <w:rPr>
            <w:rStyle w:val="Lienhypertexte"/>
            <w:noProof/>
          </w:rPr>
          <w:t>Figure SI1 – Interpretation of Morris-based indicators</w:t>
        </w:r>
        <w:r w:rsidR="000643DF">
          <w:rPr>
            <w:noProof/>
            <w:webHidden/>
          </w:rPr>
          <w:tab/>
        </w:r>
        <w:r w:rsidR="000643DF">
          <w:rPr>
            <w:noProof/>
            <w:webHidden/>
          </w:rPr>
          <w:fldChar w:fldCharType="begin"/>
        </w:r>
        <w:r w:rsidR="000643DF">
          <w:rPr>
            <w:noProof/>
            <w:webHidden/>
          </w:rPr>
          <w:instrText xml:space="preserve"> PAGEREF _Toc155516856 \h </w:instrText>
        </w:r>
        <w:r w:rsidR="000643DF">
          <w:rPr>
            <w:noProof/>
            <w:webHidden/>
          </w:rPr>
        </w:r>
        <w:r w:rsidR="000643DF">
          <w:rPr>
            <w:noProof/>
            <w:webHidden/>
          </w:rPr>
          <w:fldChar w:fldCharType="separate"/>
        </w:r>
        <w:r w:rsidR="00690396">
          <w:rPr>
            <w:noProof/>
            <w:webHidden/>
          </w:rPr>
          <w:t>21</w:t>
        </w:r>
        <w:r w:rsidR="000643DF">
          <w:rPr>
            <w:noProof/>
            <w:webHidden/>
          </w:rPr>
          <w:fldChar w:fldCharType="end"/>
        </w:r>
      </w:hyperlink>
    </w:p>
    <w:p w14:paraId="0F4DFC85" w14:textId="74689994" w:rsidR="000643DF" w:rsidRDefault="000643DF">
      <w:pPr>
        <w:pStyle w:val="Tabledesillustrations"/>
        <w:tabs>
          <w:tab w:val="right" w:leader="underscore" w:pos="9062"/>
        </w:tabs>
        <w:rPr>
          <w:rFonts w:eastAsiaTheme="minorEastAsia"/>
          <w:noProof/>
        </w:rPr>
      </w:pPr>
      <w:hyperlink w:anchor="_Toc155516857" w:history="1">
        <w:r w:rsidRPr="001A469F">
          <w:rPr>
            <w:rStyle w:val="Lienhypertexte"/>
            <w:noProof/>
          </w:rPr>
          <w:t>Figure SI2 – Sensitivity and uncertainty</w:t>
        </w:r>
        <w:r>
          <w:rPr>
            <w:noProof/>
            <w:webHidden/>
          </w:rPr>
          <w:tab/>
        </w:r>
        <w:r>
          <w:rPr>
            <w:noProof/>
            <w:webHidden/>
          </w:rPr>
          <w:fldChar w:fldCharType="begin"/>
        </w:r>
        <w:r>
          <w:rPr>
            <w:noProof/>
            <w:webHidden/>
          </w:rPr>
          <w:instrText xml:space="preserve"> PAGEREF _Toc155516857 \h </w:instrText>
        </w:r>
        <w:r>
          <w:rPr>
            <w:noProof/>
            <w:webHidden/>
          </w:rPr>
        </w:r>
        <w:r>
          <w:rPr>
            <w:noProof/>
            <w:webHidden/>
          </w:rPr>
          <w:fldChar w:fldCharType="separate"/>
        </w:r>
        <w:r w:rsidR="00690396">
          <w:rPr>
            <w:noProof/>
            <w:webHidden/>
          </w:rPr>
          <w:t>22</w:t>
        </w:r>
        <w:r>
          <w:rPr>
            <w:noProof/>
            <w:webHidden/>
          </w:rPr>
          <w:fldChar w:fldCharType="end"/>
        </w:r>
      </w:hyperlink>
    </w:p>
    <w:p w14:paraId="3DDD3942" w14:textId="7401C9C1" w:rsidR="000643DF" w:rsidRDefault="000643DF">
      <w:pPr>
        <w:pStyle w:val="Tabledesillustrations"/>
        <w:tabs>
          <w:tab w:val="right" w:leader="underscore" w:pos="9062"/>
        </w:tabs>
        <w:rPr>
          <w:rFonts w:eastAsiaTheme="minorEastAsia"/>
          <w:noProof/>
        </w:rPr>
      </w:pPr>
      <w:hyperlink w:anchor="_Toc155516858" w:history="1">
        <w:r w:rsidRPr="001A469F">
          <w:rPr>
            <w:rStyle w:val="Lienhypertexte"/>
            <w:noProof/>
          </w:rPr>
          <w:t>Figure SI3 – Change in descriptive statistics, cluster analysis, example I.i</w:t>
        </w:r>
        <w:r>
          <w:rPr>
            <w:noProof/>
            <w:webHidden/>
          </w:rPr>
          <w:tab/>
        </w:r>
        <w:r>
          <w:rPr>
            <w:noProof/>
            <w:webHidden/>
          </w:rPr>
          <w:fldChar w:fldCharType="begin"/>
        </w:r>
        <w:r>
          <w:rPr>
            <w:noProof/>
            <w:webHidden/>
          </w:rPr>
          <w:instrText xml:space="preserve"> PAGEREF _Toc155516858 \h </w:instrText>
        </w:r>
        <w:r>
          <w:rPr>
            <w:noProof/>
            <w:webHidden/>
          </w:rPr>
        </w:r>
        <w:r>
          <w:rPr>
            <w:noProof/>
            <w:webHidden/>
          </w:rPr>
          <w:fldChar w:fldCharType="separate"/>
        </w:r>
        <w:r w:rsidR="00690396">
          <w:rPr>
            <w:noProof/>
            <w:webHidden/>
          </w:rPr>
          <w:t>24</w:t>
        </w:r>
        <w:r>
          <w:rPr>
            <w:noProof/>
            <w:webHidden/>
          </w:rPr>
          <w:fldChar w:fldCharType="end"/>
        </w:r>
      </w:hyperlink>
    </w:p>
    <w:p w14:paraId="6AEA62A1" w14:textId="0E83D50F" w:rsidR="000643DF" w:rsidRDefault="000643DF">
      <w:pPr>
        <w:pStyle w:val="Tabledesillustrations"/>
        <w:tabs>
          <w:tab w:val="right" w:leader="underscore" w:pos="9062"/>
        </w:tabs>
        <w:rPr>
          <w:rFonts w:eastAsiaTheme="minorEastAsia"/>
          <w:noProof/>
        </w:rPr>
      </w:pPr>
      <w:hyperlink w:anchor="_Toc155516859" w:history="1">
        <w:r w:rsidRPr="001A469F">
          <w:rPr>
            <w:rStyle w:val="Lienhypertexte"/>
            <w:noProof/>
          </w:rPr>
          <w:t>Figure SI4 – Change in descriptive statistics, cluster analysis, example I.ii</w:t>
        </w:r>
        <w:r>
          <w:rPr>
            <w:noProof/>
            <w:webHidden/>
          </w:rPr>
          <w:tab/>
        </w:r>
        <w:r>
          <w:rPr>
            <w:noProof/>
            <w:webHidden/>
          </w:rPr>
          <w:fldChar w:fldCharType="begin"/>
        </w:r>
        <w:r>
          <w:rPr>
            <w:noProof/>
            <w:webHidden/>
          </w:rPr>
          <w:instrText xml:space="preserve"> PAGEREF _Toc155516859 \h </w:instrText>
        </w:r>
        <w:r>
          <w:rPr>
            <w:noProof/>
            <w:webHidden/>
          </w:rPr>
        </w:r>
        <w:r>
          <w:rPr>
            <w:noProof/>
            <w:webHidden/>
          </w:rPr>
          <w:fldChar w:fldCharType="separate"/>
        </w:r>
        <w:r w:rsidR="00690396">
          <w:rPr>
            <w:noProof/>
            <w:webHidden/>
          </w:rPr>
          <w:t>24</w:t>
        </w:r>
        <w:r>
          <w:rPr>
            <w:noProof/>
            <w:webHidden/>
          </w:rPr>
          <w:fldChar w:fldCharType="end"/>
        </w:r>
      </w:hyperlink>
    </w:p>
    <w:p w14:paraId="3CD6A988" w14:textId="4B75E678" w:rsidR="000643DF" w:rsidRDefault="000643DF">
      <w:pPr>
        <w:pStyle w:val="Tabledesillustrations"/>
        <w:tabs>
          <w:tab w:val="right" w:leader="underscore" w:pos="9062"/>
        </w:tabs>
        <w:rPr>
          <w:rFonts w:eastAsiaTheme="minorEastAsia"/>
          <w:noProof/>
        </w:rPr>
      </w:pPr>
      <w:hyperlink w:anchor="_Toc155516860" w:history="1">
        <w:r w:rsidRPr="001A469F">
          <w:rPr>
            <w:rStyle w:val="Lienhypertexte"/>
            <w:noProof/>
          </w:rPr>
          <w:t>Figure SI5 – Change in descriptive statistics, cluster analysis, example II</w:t>
        </w:r>
        <w:r>
          <w:rPr>
            <w:noProof/>
            <w:webHidden/>
          </w:rPr>
          <w:tab/>
        </w:r>
        <w:r>
          <w:rPr>
            <w:noProof/>
            <w:webHidden/>
          </w:rPr>
          <w:fldChar w:fldCharType="begin"/>
        </w:r>
        <w:r>
          <w:rPr>
            <w:noProof/>
            <w:webHidden/>
          </w:rPr>
          <w:instrText xml:space="preserve"> PAGEREF _Toc155516860 \h </w:instrText>
        </w:r>
        <w:r>
          <w:rPr>
            <w:noProof/>
            <w:webHidden/>
          </w:rPr>
        </w:r>
        <w:r>
          <w:rPr>
            <w:noProof/>
            <w:webHidden/>
          </w:rPr>
          <w:fldChar w:fldCharType="separate"/>
        </w:r>
        <w:r w:rsidR="00690396">
          <w:rPr>
            <w:noProof/>
            <w:webHidden/>
          </w:rPr>
          <w:t>25</w:t>
        </w:r>
        <w:r>
          <w:rPr>
            <w:noProof/>
            <w:webHidden/>
          </w:rPr>
          <w:fldChar w:fldCharType="end"/>
        </w:r>
      </w:hyperlink>
    </w:p>
    <w:p w14:paraId="1232A7BE" w14:textId="6D9367E4" w:rsidR="000643DF" w:rsidRDefault="000643DF">
      <w:pPr>
        <w:pStyle w:val="Tabledesillustrations"/>
        <w:tabs>
          <w:tab w:val="right" w:leader="underscore" w:pos="9062"/>
        </w:tabs>
        <w:rPr>
          <w:rFonts w:eastAsiaTheme="minorEastAsia"/>
          <w:noProof/>
        </w:rPr>
      </w:pPr>
      <w:hyperlink w:anchor="_Toc155516861" w:history="1">
        <w:r w:rsidRPr="001A469F">
          <w:rPr>
            <w:rStyle w:val="Lienhypertexte"/>
            <w:noProof/>
          </w:rPr>
          <w:t>Figure SI6 – Change in descriptive statistics, cluster analysis, example III</w:t>
        </w:r>
        <w:r>
          <w:rPr>
            <w:noProof/>
            <w:webHidden/>
          </w:rPr>
          <w:tab/>
        </w:r>
        <w:r>
          <w:rPr>
            <w:noProof/>
            <w:webHidden/>
          </w:rPr>
          <w:fldChar w:fldCharType="begin"/>
        </w:r>
        <w:r>
          <w:rPr>
            <w:noProof/>
            <w:webHidden/>
          </w:rPr>
          <w:instrText xml:space="preserve"> PAGEREF _Toc155516861 \h </w:instrText>
        </w:r>
        <w:r>
          <w:rPr>
            <w:noProof/>
            <w:webHidden/>
          </w:rPr>
        </w:r>
        <w:r>
          <w:rPr>
            <w:noProof/>
            <w:webHidden/>
          </w:rPr>
          <w:fldChar w:fldCharType="separate"/>
        </w:r>
        <w:r w:rsidR="00690396">
          <w:rPr>
            <w:noProof/>
            <w:webHidden/>
          </w:rPr>
          <w:t>26</w:t>
        </w:r>
        <w:r>
          <w:rPr>
            <w:noProof/>
            <w:webHidden/>
          </w:rPr>
          <w:fldChar w:fldCharType="end"/>
        </w:r>
      </w:hyperlink>
    </w:p>
    <w:p w14:paraId="3C59D5A0" w14:textId="2CF569B6" w:rsidR="000643DF" w:rsidRDefault="000643DF">
      <w:pPr>
        <w:pStyle w:val="Tabledesillustrations"/>
        <w:tabs>
          <w:tab w:val="right" w:leader="underscore" w:pos="9062"/>
        </w:tabs>
        <w:rPr>
          <w:rFonts w:eastAsiaTheme="minorEastAsia"/>
          <w:noProof/>
        </w:rPr>
      </w:pPr>
      <w:hyperlink w:anchor="_Toc155516862" w:history="1">
        <w:r w:rsidRPr="001A469F">
          <w:rPr>
            <w:rStyle w:val="Lienhypertexte"/>
            <w:noProof/>
          </w:rPr>
          <w:t>Figure SI7 – Change in descriptive statistics, cluster analysis, example IV.i</w:t>
        </w:r>
        <w:r>
          <w:rPr>
            <w:noProof/>
            <w:webHidden/>
          </w:rPr>
          <w:tab/>
        </w:r>
        <w:r>
          <w:rPr>
            <w:noProof/>
            <w:webHidden/>
          </w:rPr>
          <w:fldChar w:fldCharType="begin"/>
        </w:r>
        <w:r>
          <w:rPr>
            <w:noProof/>
            <w:webHidden/>
          </w:rPr>
          <w:instrText xml:space="preserve"> PAGEREF _Toc155516862 \h </w:instrText>
        </w:r>
        <w:r>
          <w:rPr>
            <w:noProof/>
            <w:webHidden/>
          </w:rPr>
        </w:r>
        <w:r>
          <w:rPr>
            <w:noProof/>
            <w:webHidden/>
          </w:rPr>
          <w:fldChar w:fldCharType="separate"/>
        </w:r>
        <w:r w:rsidR="00690396">
          <w:rPr>
            <w:noProof/>
            <w:webHidden/>
          </w:rPr>
          <w:t>27</w:t>
        </w:r>
        <w:r>
          <w:rPr>
            <w:noProof/>
            <w:webHidden/>
          </w:rPr>
          <w:fldChar w:fldCharType="end"/>
        </w:r>
      </w:hyperlink>
    </w:p>
    <w:p w14:paraId="5D653E67" w14:textId="3D573669" w:rsidR="000643DF" w:rsidRDefault="000643DF">
      <w:pPr>
        <w:pStyle w:val="Tabledesillustrations"/>
        <w:tabs>
          <w:tab w:val="right" w:leader="underscore" w:pos="9062"/>
        </w:tabs>
        <w:rPr>
          <w:rFonts w:eastAsiaTheme="minorEastAsia"/>
          <w:noProof/>
        </w:rPr>
      </w:pPr>
      <w:hyperlink w:anchor="_Toc155516863" w:history="1">
        <w:r w:rsidRPr="001A469F">
          <w:rPr>
            <w:rStyle w:val="Lienhypertexte"/>
            <w:noProof/>
          </w:rPr>
          <w:t>Figure SI8 – Change in descriptive statistics, cluster analysis, example IV.ii</w:t>
        </w:r>
        <w:r>
          <w:rPr>
            <w:noProof/>
            <w:webHidden/>
          </w:rPr>
          <w:tab/>
        </w:r>
        <w:r>
          <w:rPr>
            <w:noProof/>
            <w:webHidden/>
          </w:rPr>
          <w:fldChar w:fldCharType="begin"/>
        </w:r>
        <w:r>
          <w:rPr>
            <w:noProof/>
            <w:webHidden/>
          </w:rPr>
          <w:instrText xml:space="preserve"> PAGEREF _Toc155516863 \h </w:instrText>
        </w:r>
        <w:r>
          <w:rPr>
            <w:noProof/>
            <w:webHidden/>
          </w:rPr>
        </w:r>
        <w:r>
          <w:rPr>
            <w:noProof/>
            <w:webHidden/>
          </w:rPr>
          <w:fldChar w:fldCharType="separate"/>
        </w:r>
        <w:r w:rsidR="00690396">
          <w:rPr>
            <w:noProof/>
            <w:webHidden/>
          </w:rPr>
          <w:t>27</w:t>
        </w:r>
        <w:r>
          <w:rPr>
            <w:noProof/>
            <w:webHidden/>
          </w:rPr>
          <w:fldChar w:fldCharType="end"/>
        </w:r>
      </w:hyperlink>
    </w:p>
    <w:p w14:paraId="0FC0FAAB" w14:textId="47BF26C5" w:rsidR="00F6120E" w:rsidRPr="00F6120E" w:rsidRDefault="00F6120E" w:rsidP="00433AD5">
      <w:pPr>
        <w:rPr>
          <w:b/>
          <w:lang w:val="fr-FR"/>
        </w:rPr>
      </w:pPr>
      <w:r>
        <w:rPr>
          <w:b/>
          <w:lang w:val="fr-FR"/>
        </w:rPr>
        <w:fldChar w:fldCharType="end"/>
      </w:r>
    </w:p>
    <w:p w14:paraId="30C9A02B" w14:textId="473D3A25" w:rsidR="009955BF" w:rsidRDefault="009955BF">
      <w:pPr>
        <w:rPr>
          <w:b/>
        </w:rPr>
      </w:pPr>
      <w:r>
        <w:rPr>
          <w:b/>
        </w:rPr>
        <w:br w:type="page"/>
      </w:r>
    </w:p>
    <w:p w14:paraId="3CC0FE8A" w14:textId="7B48E2EC" w:rsidR="00433AD5" w:rsidRDefault="00433AD5" w:rsidP="00433AD5">
      <w:pPr>
        <w:pStyle w:val="Titre1"/>
        <w:numPr>
          <w:ilvl w:val="0"/>
          <w:numId w:val="31"/>
        </w:numPr>
      </w:pPr>
      <w:bookmarkStart w:id="1" w:name="_Ref151708605"/>
      <w:bookmarkStart w:id="2" w:name="_Toc155516864"/>
      <w:r>
        <w:lastRenderedPageBreak/>
        <w:t>Case studies</w:t>
      </w:r>
      <w:bookmarkEnd w:id="1"/>
      <w:bookmarkEnd w:id="2"/>
    </w:p>
    <w:p w14:paraId="1FABAFD3" w14:textId="20773A88" w:rsidR="00433AD5" w:rsidRPr="00433AD5" w:rsidRDefault="00433AD5" w:rsidP="00433AD5">
      <w:r>
        <w:t>The eleven streams were retained based on selection criteria of Javourez et al</w:t>
      </w:r>
      <w:r w:rsidRPr="004E6D7F">
        <w:t>., (202</w:t>
      </w:r>
      <w:r w:rsidR="004E6D7F" w:rsidRPr="004E6D7F">
        <w:t>4</w:t>
      </w:r>
      <w:r w:rsidRPr="004E6D7F">
        <w:t>)</w:t>
      </w:r>
      <w:r w:rsidRPr="004E6D7F">
        <w:fldChar w:fldCharType="begin"/>
      </w:r>
      <w:r w:rsidR="00CD084F">
        <w:instrText xml:space="preserve"> ADDIN ZOTERO_ITEM CSL_CITATION {"citationID":"U4XWPbZc","properties":{"formattedCitation":"\\super 1\\nosupersub{}","plainCitation":"1","noteIndex":0},"citationItems":[{"id":14334,"uris":["http://zotero.org/users/6423791/items/VWPZYH5Z"],"itemData":{"id":14334,"type":"article","DOI":"https://doi.org/10.21203/rs.3.rs-3671083/v1","genre":"preprint","publisher":"Research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pathways","author":[{"family":"Javourez","given":"U."},{"family":"Tiruta-Barna","given":"L."},{"family":"Hamelin","given":"L."}],"issued":{"date-parts":[["2023",11,20]]}}}],"schema":"https://github.com/citation-style-language/schema/raw/master/csl-citation.json"} </w:instrText>
      </w:r>
      <w:r w:rsidRPr="004E6D7F">
        <w:fldChar w:fldCharType="separate"/>
      </w:r>
      <w:r w:rsidRPr="004E6D7F">
        <w:rPr>
          <w:rFonts w:ascii="Calibri" w:hAnsi="Calibri" w:cs="Calibri"/>
          <w:szCs w:val="24"/>
          <w:vertAlign w:val="superscript"/>
        </w:rPr>
        <w:t>1</w:t>
      </w:r>
      <w:r w:rsidRPr="004E6D7F">
        <w:fldChar w:fldCharType="end"/>
      </w:r>
      <w:r w:rsidRPr="004E6D7F">
        <w:t>, the</w:t>
      </w:r>
      <w:r w:rsidR="004E6D7F">
        <w:t xml:space="preserve">ir characteristics as used in this study </w:t>
      </w:r>
      <w:r>
        <w:t xml:space="preserve">are presented in </w:t>
      </w:r>
      <w:r w:rsidR="00CC63E5" w:rsidRPr="00CC63E5">
        <w:rPr>
          <w:b/>
        </w:rPr>
        <w:t xml:space="preserve">Table </w:t>
      </w:r>
      <w:r w:rsidR="00CC63E5">
        <w:rPr>
          <w:b/>
        </w:rPr>
        <w:t>SI</w:t>
      </w:r>
      <w:r w:rsidR="00CC63E5" w:rsidRPr="00CC63E5">
        <w:rPr>
          <w:b/>
        </w:rPr>
        <w:t>1</w:t>
      </w:r>
      <w:r>
        <w:t>.</w:t>
      </w:r>
    </w:p>
    <w:p w14:paraId="17C6E089" w14:textId="2DC16AE9" w:rsidR="000802E5" w:rsidRDefault="00433AD5" w:rsidP="00225F94">
      <w:pPr>
        <w:pStyle w:val="Lgende"/>
        <w:jc w:val="left"/>
        <w:rPr>
          <w:b w:val="0"/>
        </w:rPr>
      </w:pPr>
      <w:bookmarkStart w:id="3" w:name="_Toc155516837"/>
      <w:r>
        <w:t xml:space="preserve">Table </w:t>
      </w:r>
      <w:r w:rsidR="00CC63E5">
        <w:t>SI</w:t>
      </w:r>
      <w:r>
        <w:fldChar w:fldCharType="begin"/>
      </w:r>
      <w:r>
        <w:instrText xml:space="preserve"> SEQ Table \* ARABIC </w:instrText>
      </w:r>
      <w:r>
        <w:fldChar w:fldCharType="separate"/>
      </w:r>
      <w:r w:rsidR="00C65861">
        <w:rPr>
          <w:noProof/>
        </w:rPr>
        <w:t>1</w:t>
      </w:r>
      <w:r>
        <w:fldChar w:fldCharType="end"/>
      </w:r>
      <w:r>
        <w:t xml:space="preserve"> – Selected residual biomass streams: potential and characteristics</w:t>
      </w:r>
      <w:bookmarkEnd w:id="3"/>
    </w:p>
    <w:tbl>
      <w:tblPr>
        <w:tblStyle w:val="Tableausimple2"/>
        <w:tblW w:w="9687" w:type="dxa"/>
        <w:tblLook w:val="04A0" w:firstRow="1" w:lastRow="0" w:firstColumn="1" w:lastColumn="0" w:noHBand="0" w:noVBand="1"/>
      </w:tblPr>
      <w:tblGrid>
        <w:gridCol w:w="1266"/>
        <w:gridCol w:w="1004"/>
        <w:gridCol w:w="885"/>
        <w:gridCol w:w="843"/>
        <w:gridCol w:w="800"/>
        <w:gridCol w:w="791"/>
        <w:gridCol w:w="782"/>
        <w:gridCol w:w="720"/>
        <w:gridCol w:w="575"/>
        <w:gridCol w:w="575"/>
        <w:gridCol w:w="575"/>
        <w:gridCol w:w="871"/>
      </w:tblGrid>
      <w:tr w:rsidR="00BA492F" w:rsidRPr="009A1DC0" w14:paraId="20D05785" w14:textId="77777777" w:rsidTr="0069007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shd w:val="clear" w:color="auto" w:fill="E7E6E6" w:themeFill="background2"/>
          </w:tcPr>
          <w:p w14:paraId="5A93AB2D" w14:textId="5A557772" w:rsidR="00BA492F" w:rsidRPr="009A1DC0" w:rsidRDefault="00BA492F" w:rsidP="009A1DC0">
            <w:pPr>
              <w:rPr>
                <w:sz w:val="18"/>
                <w:szCs w:val="18"/>
              </w:rPr>
            </w:pPr>
            <w:r w:rsidRPr="009A1DC0">
              <w:rPr>
                <w:sz w:val="18"/>
                <w:szCs w:val="18"/>
              </w:rPr>
              <w:t>Category</w:t>
            </w:r>
          </w:p>
        </w:tc>
        <w:tc>
          <w:tcPr>
            <w:tcW w:w="1889" w:type="dxa"/>
            <w:gridSpan w:val="2"/>
            <w:shd w:val="clear" w:color="auto" w:fill="E7E6E6" w:themeFill="background2"/>
          </w:tcPr>
          <w:p w14:paraId="16424C73" w14:textId="43B8183E" w:rsidR="00BA492F" w:rsidRPr="009A1DC0" w:rsidRDefault="00BA492F" w:rsidP="009A1DC0">
            <w:pPr>
              <w:cnfStyle w:val="100000000000" w:firstRow="1" w:lastRow="0" w:firstColumn="0" w:lastColumn="0" w:oddVBand="0" w:evenVBand="0" w:oddHBand="0" w:evenHBand="0" w:firstRowFirstColumn="0" w:firstRowLastColumn="0" w:lastRowFirstColumn="0" w:lastRowLastColumn="0"/>
              <w:rPr>
                <w:sz w:val="18"/>
                <w:szCs w:val="18"/>
              </w:rPr>
            </w:pPr>
            <w:r w:rsidRPr="009A1DC0">
              <w:rPr>
                <w:sz w:val="18"/>
                <w:szCs w:val="18"/>
              </w:rPr>
              <w:t>Wood-related</w:t>
            </w:r>
          </w:p>
        </w:tc>
        <w:tc>
          <w:tcPr>
            <w:tcW w:w="843" w:type="dxa"/>
            <w:shd w:val="clear" w:color="auto" w:fill="E7E6E6" w:themeFill="background2"/>
          </w:tcPr>
          <w:p w14:paraId="087BA7BB" w14:textId="029A8857" w:rsidR="00BA492F" w:rsidRPr="009A1DC0" w:rsidRDefault="00BA492F" w:rsidP="009A1DC0">
            <w:pPr>
              <w:cnfStyle w:val="100000000000" w:firstRow="1" w:lastRow="0" w:firstColumn="0" w:lastColumn="0" w:oddVBand="0" w:evenVBand="0" w:oddHBand="0" w:evenHBand="0" w:firstRowFirstColumn="0" w:firstRowLastColumn="0" w:lastRowFirstColumn="0" w:lastRowLastColumn="0"/>
              <w:rPr>
                <w:sz w:val="18"/>
                <w:szCs w:val="18"/>
              </w:rPr>
            </w:pPr>
            <w:r w:rsidRPr="009A1DC0">
              <w:rPr>
                <w:sz w:val="18"/>
                <w:szCs w:val="18"/>
              </w:rPr>
              <w:t>Crop residues</w:t>
            </w:r>
          </w:p>
        </w:tc>
        <w:tc>
          <w:tcPr>
            <w:tcW w:w="1591" w:type="dxa"/>
            <w:gridSpan w:val="2"/>
            <w:shd w:val="clear" w:color="auto" w:fill="E7E6E6" w:themeFill="background2"/>
          </w:tcPr>
          <w:p w14:paraId="0FA80E5D" w14:textId="6414CC12" w:rsidR="00BA492F" w:rsidRPr="009A1DC0" w:rsidRDefault="00BA492F" w:rsidP="009A1DC0">
            <w:pPr>
              <w:cnfStyle w:val="100000000000" w:firstRow="1" w:lastRow="0" w:firstColumn="0" w:lastColumn="0" w:oddVBand="0" w:evenVBand="0" w:oddHBand="0" w:evenHBand="0" w:firstRowFirstColumn="0" w:firstRowLastColumn="0" w:lastRowFirstColumn="0" w:lastRowLastColumn="0"/>
              <w:rPr>
                <w:sz w:val="18"/>
                <w:szCs w:val="18"/>
              </w:rPr>
            </w:pPr>
            <w:r w:rsidRPr="009A1DC0">
              <w:rPr>
                <w:sz w:val="18"/>
                <w:szCs w:val="18"/>
              </w:rPr>
              <w:t>Manure &amp; sludge</w:t>
            </w:r>
          </w:p>
        </w:tc>
        <w:tc>
          <w:tcPr>
            <w:tcW w:w="1502" w:type="dxa"/>
            <w:gridSpan w:val="2"/>
            <w:shd w:val="clear" w:color="auto" w:fill="E7E6E6" w:themeFill="background2"/>
          </w:tcPr>
          <w:p w14:paraId="3997D5FC" w14:textId="0DC3D530" w:rsidR="00BA492F" w:rsidRPr="009A1DC0" w:rsidRDefault="00BA492F" w:rsidP="009A1DC0">
            <w:pPr>
              <w:cnfStyle w:val="100000000000" w:firstRow="1" w:lastRow="0" w:firstColumn="0" w:lastColumn="0" w:oddVBand="0" w:evenVBand="0" w:oddHBand="0" w:evenHBand="0" w:firstRowFirstColumn="0" w:firstRowLastColumn="0" w:lastRowFirstColumn="0" w:lastRowLastColumn="0"/>
              <w:rPr>
                <w:sz w:val="18"/>
                <w:szCs w:val="18"/>
              </w:rPr>
            </w:pPr>
            <w:r w:rsidRPr="009A1DC0">
              <w:rPr>
                <w:sz w:val="18"/>
                <w:szCs w:val="18"/>
              </w:rPr>
              <w:t>Green residues</w:t>
            </w:r>
          </w:p>
        </w:tc>
        <w:tc>
          <w:tcPr>
            <w:tcW w:w="1725" w:type="dxa"/>
            <w:gridSpan w:val="3"/>
            <w:shd w:val="clear" w:color="auto" w:fill="E7E6E6" w:themeFill="background2"/>
          </w:tcPr>
          <w:p w14:paraId="6F5C0B39" w14:textId="73E57198" w:rsidR="00BA492F" w:rsidRPr="009A1DC0" w:rsidRDefault="00BA492F" w:rsidP="009A1DC0">
            <w:pPr>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9A1DC0">
              <w:rPr>
                <w:sz w:val="18"/>
                <w:szCs w:val="18"/>
              </w:rPr>
              <w:t>Agrifood</w:t>
            </w:r>
            <w:proofErr w:type="spellEnd"/>
            <w:r w:rsidRPr="009A1DC0">
              <w:rPr>
                <w:sz w:val="18"/>
                <w:szCs w:val="18"/>
              </w:rPr>
              <w:t xml:space="preserve"> co-product</w:t>
            </w:r>
          </w:p>
        </w:tc>
        <w:tc>
          <w:tcPr>
            <w:tcW w:w="871" w:type="dxa"/>
            <w:shd w:val="clear" w:color="auto" w:fill="E7E6E6" w:themeFill="background2"/>
          </w:tcPr>
          <w:p w14:paraId="389AAC4A" w14:textId="0D42DE39" w:rsidR="00BA492F" w:rsidRPr="009A1DC0" w:rsidRDefault="00BA492F" w:rsidP="009A1DC0">
            <w:pPr>
              <w:cnfStyle w:val="100000000000" w:firstRow="1" w:lastRow="0" w:firstColumn="0" w:lastColumn="0" w:oddVBand="0" w:evenVBand="0" w:oddHBand="0" w:evenHBand="0" w:firstRowFirstColumn="0" w:firstRowLastColumn="0" w:lastRowFirstColumn="0" w:lastRowLastColumn="0"/>
              <w:rPr>
                <w:sz w:val="18"/>
                <w:szCs w:val="18"/>
              </w:rPr>
            </w:pPr>
            <w:r w:rsidRPr="009A1DC0">
              <w:rPr>
                <w:sz w:val="18"/>
                <w:szCs w:val="18"/>
              </w:rPr>
              <w:t>Food waste</w:t>
            </w:r>
          </w:p>
        </w:tc>
      </w:tr>
      <w:tr w:rsidR="00BA492F" w:rsidRPr="00BA492F" w14:paraId="6F71098F" w14:textId="77777777" w:rsidTr="00690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73BA4B7A" w14:textId="07E83FD5" w:rsidR="00BA492F" w:rsidRPr="009A1DC0" w:rsidRDefault="009A1DC0" w:rsidP="009A1DC0">
            <w:pPr>
              <w:rPr>
                <w:sz w:val="18"/>
                <w:szCs w:val="18"/>
              </w:rPr>
            </w:pPr>
            <w:r>
              <w:rPr>
                <w:sz w:val="18"/>
                <w:szCs w:val="18"/>
              </w:rPr>
              <w:t>Case study</w:t>
            </w:r>
          </w:p>
        </w:tc>
        <w:tc>
          <w:tcPr>
            <w:tcW w:w="1004" w:type="dxa"/>
          </w:tcPr>
          <w:p w14:paraId="4CEE7012" w14:textId="41D2EDA8" w:rsidR="00BA492F" w:rsidRPr="00BA492F" w:rsidRDefault="00BA492F" w:rsidP="009A1DC0">
            <w:pPr>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Hardwood residues</w:t>
            </w:r>
          </w:p>
        </w:tc>
        <w:tc>
          <w:tcPr>
            <w:tcW w:w="885" w:type="dxa"/>
          </w:tcPr>
          <w:p w14:paraId="724E39FA" w14:textId="5220FDAA" w:rsidR="00BA492F" w:rsidRPr="00BA492F" w:rsidRDefault="00BA492F" w:rsidP="009A1DC0">
            <w:pPr>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Sawmill waste</w:t>
            </w:r>
          </w:p>
        </w:tc>
        <w:tc>
          <w:tcPr>
            <w:tcW w:w="843" w:type="dxa"/>
          </w:tcPr>
          <w:p w14:paraId="3E132B0D" w14:textId="289A119A" w:rsidR="00BA492F" w:rsidRPr="00BA492F" w:rsidRDefault="00BA492F" w:rsidP="009A1DC0">
            <w:pPr>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Wheat straw</w:t>
            </w:r>
          </w:p>
        </w:tc>
        <w:tc>
          <w:tcPr>
            <w:tcW w:w="800" w:type="dxa"/>
          </w:tcPr>
          <w:p w14:paraId="006755B0" w14:textId="678EC3F6" w:rsidR="00BA492F" w:rsidRPr="00BA492F" w:rsidRDefault="00BA492F" w:rsidP="009A1DC0">
            <w:pPr>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Bovine manure</w:t>
            </w:r>
          </w:p>
        </w:tc>
        <w:tc>
          <w:tcPr>
            <w:tcW w:w="791" w:type="dxa"/>
          </w:tcPr>
          <w:p w14:paraId="174EEAC0" w14:textId="3A9E58B7" w:rsidR="00BA492F" w:rsidRPr="00BA492F" w:rsidRDefault="00BA492F" w:rsidP="009A1DC0">
            <w:pPr>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Sewage sludge</w:t>
            </w:r>
          </w:p>
        </w:tc>
        <w:tc>
          <w:tcPr>
            <w:tcW w:w="782" w:type="dxa"/>
          </w:tcPr>
          <w:p w14:paraId="499088DD" w14:textId="71C660DD" w:rsidR="00BA492F" w:rsidRPr="00BA492F" w:rsidRDefault="00BA492F" w:rsidP="009A1DC0">
            <w:pPr>
              <w:cnfStyle w:val="000000100000" w:firstRow="0" w:lastRow="0" w:firstColumn="0" w:lastColumn="0" w:oddVBand="0" w:evenVBand="0" w:oddHBand="1" w:evenHBand="0" w:firstRowFirstColumn="0" w:firstRowLastColumn="0" w:lastRowFirstColumn="0" w:lastRowLastColumn="0"/>
              <w:rPr>
                <w:b/>
                <w:sz w:val="18"/>
                <w:szCs w:val="18"/>
              </w:rPr>
            </w:pPr>
            <w:proofErr w:type="spellStart"/>
            <w:r>
              <w:rPr>
                <w:b/>
                <w:sz w:val="18"/>
                <w:szCs w:val="18"/>
              </w:rPr>
              <w:t>Manag</w:t>
            </w:r>
            <w:proofErr w:type="spellEnd"/>
            <w:r>
              <w:rPr>
                <w:b/>
                <w:sz w:val="18"/>
                <w:szCs w:val="18"/>
              </w:rPr>
              <w:t>. grass</w:t>
            </w:r>
          </w:p>
        </w:tc>
        <w:tc>
          <w:tcPr>
            <w:tcW w:w="720" w:type="dxa"/>
          </w:tcPr>
          <w:p w14:paraId="48DF6892" w14:textId="32B592E4" w:rsidR="00BA492F" w:rsidRPr="00BA492F" w:rsidRDefault="00BA492F" w:rsidP="009A1DC0">
            <w:pPr>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Sugar beet tops</w:t>
            </w:r>
          </w:p>
        </w:tc>
        <w:tc>
          <w:tcPr>
            <w:tcW w:w="575" w:type="dxa"/>
          </w:tcPr>
          <w:p w14:paraId="3DBB96BC" w14:textId="13B457FC" w:rsidR="00BA492F" w:rsidRPr="00BA492F" w:rsidRDefault="00BA492F" w:rsidP="009A1DC0">
            <w:pPr>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PAT</w:t>
            </w:r>
          </w:p>
        </w:tc>
        <w:tc>
          <w:tcPr>
            <w:tcW w:w="575" w:type="dxa"/>
          </w:tcPr>
          <w:p w14:paraId="7B99C6F3" w14:textId="55FC326A" w:rsidR="00BA492F" w:rsidRPr="00BA492F" w:rsidRDefault="00BA492F" w:rsidP="009A1DC0">
            <w:pPr>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CSG</w:t>
            </w:r>
          </w:p>
        </w:tc>
        <w:tc>
          <w:tcPr>
            <w:tcW w:w="575" w:type="dxa"/>
          </w:tcPr>
          <w:p w14:paraId="6BCAFBAB" w14:textId="3E08CBD8" w:rsidR="00BA492F" w:rsidRPr="00BA492F" w:rsidRDefault="00BA492F" w:rsidP="009A1DC0">
            <w:pPr>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PS</w:t>
            </w:r>
          </w:p>
        </w:tc>
        <w:tc>
          <w:tcPr>
            <w:tcW w:w="871" w:type="dxa"/>
          </w:tcPr>
          <w:p w14:paraId="60928123" w14:textId="36A99A42" w:rsidR="00BA492F" w:rsidRPr="00BA492F" w:rsidRDefault="00BA492F" w:rsidP="009A1DC0">
            <w:pPr>
              <w:cnfStyle w:val="000000100000" w:firstRow="0" w:lastRow="0" w:firstColumn="0" w:lastColumn="0" w:oddVBand="0" w:evenVBand="0" w:oddHBand="1" w:evenHBand="0" w:firstRowFirstColumn="0" w:firstRowLastColumn="0" w:lastRowFirstColumn="0" w:lastRowLastColumn="0"/>
              <w:rPr>
                <w:b/>
                <w:sz w:val="18"/>
                <w:szCs w:val="18"/>
              </w:rPr>
            </w:pPr>
            <w:r>
              <w:rPr>
                <w:b/>
                <w:sz w:val="18"/>
                <w:szCs w:val="18"/>
              </w:rPr>
              <w:t>House</w:t>
            </w:r>
            <w:r w:rsidR="009A1DC0">
              <w:rPr>
                <w:b/>
                <w:sz w:val="18"/>
                <w:szCs w:val="18"/>
              </w:rPr>
              <w:t>-hold</w:t>
            </w:r>
          </w:p>
        </w:tc>
      </w:tr>
      <w:tr w:rsidR="00BA492F" w:rsidRPr="00BA492F" w14:paraId="13078BB7" w14:textId="77777777" w:rsidTr="00690075">
        <w:tc>
          <w:tcPr>
            <w:cnfStyle w:val="001000000000" w:firstRow="0" w:lastRow="0" w:firstColumn="1" w:lastColumn="0" w:oddVBand="0" w:evenVBand="0" w:oddHBand="0" w:evenHBand="0" w:firstRowFirstColumn="0" w:firstRowLastColumn="0" w:lastRowFirstColumn="0" w:lastRowLastColumn="0"/>
            <w:tcW w:w="1266" w:type="dxa"/>
          </w:tcPr>
          <w:p w14:paraId="5988FA0F" w14:textId="69DA0E6D" w:rsidR="00BA492F" w:rsidRPr="009A1DC0" w:rsidRDefault="00BA492F" w:rsidP="009A1DC0">
            <w:pPr>
              <w:rPr>
                <w:sz w:val="18"/>
                <w:szCs w:val="18"/>
              </w:rPr>
            </w:pPr>
            <w:r w:rsidRPr="009A1DC0">
              <w:rPr>
                <w:sz w:val="18"/>
                <w:szCs w:val="18"/>
              </w:rPr>
              <w:t>Dry matter</w:t>
            </w:r>
          </w:p>
        </w:tc>
        <w:tc>
          <w:tcPr>
            <w:tcW w:w="1004" w:type="dxa"/>
          </w:tcPr>
          <w:p w14:paraId="76EDF746" w14:textId="6FD0FFE0" w:rsidR="00BA492F"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82%</w:t>
            </w:r>
          </w:p>
        </w:tc>
        <w:tc>
          <w:tcPr>
            <w:tcW w:w="885" w:type="dxa"/>
          </w:tcPr>
          <w:p w14:paraId="223432DD" w14:textId="02D79049" w:rsidR="00BA492F"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84%</w:t>
            </w:r>
          </w:p>
        </w:tc>
        <w:tc>
          <w:tcPr>
            <w:tcW w:w="843" w:type="dxa"/>
          </w:tcPr>
          <w:p w14:paraId="47901AA2" w14:textId="4955E9C8" w:rsidR="00BA492F"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90%</w:t>
            </w:r>
          </w:p>
        </w:tc>
        <w:tc>
          <w:tcPr>
            <w:tcW w:w="800" w:type="dxa"/>
          </w:tcPr>
          <w:p w14:paraId="7E5A843A" w14:textId="33ED275E" w:rsidR="00BA492F"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28%</w:t>
            </w:r>
          </w:p>
        </w:tc>
        <w:tc>
          <w:tcPr>
            <w:tcW w:w="791" w:type="dxa"/>
          </w:tcPr>
          <w:p w14:paraId="718F9AEE" w14:textId="5E0BE6A8" w:rsidR="00BA492F" w:rsidRPr="009A1DC0" w:rsidRDefault="00745ACC"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w:t>
            </w:r>
          </w:p>
        </w:tc>
        <w:tc>
          <w:tcPr>
            <w:tcW w:w="782" w:type="dxa"/>
          </w:tcPr>
          <w:p w14:paraId="2D379206" w14:textId="79D53583" w:rsidR="00BA492F" w:rsidRPr="009A1DC0" w:rsidRDefault="00745ACC"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43%</w:t>
            </w:r>
          </w:p>
        </w:tc>
        <w:tc>
          <w:tcPr>
            <w:tcW w:w="720" w:type="dxa"/>
          </w:tcPr>
          <w:p w14:paraId="47E9C9DE" w14:textId="4C4727A7" w:rsidR="00BA492F" w:rsidRPr="009A1DC0" w:rsidRDefault="00745ACC"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19%</w:t>
            </w:r>
          </w:p>
        </w:tc>
        <w:tc>
          <w:tcPr>
            <w:tcW w:w="575" w:type="dxa"/>
          </w:tcPr>
          <w:p w14:paraId="6EF233BF" w14:textId="6295FF94" w:rsidR="00BA492F" w:rsidRPr="009A1DC0" w:rsidRDefault="00745ACC"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94%</w:t>
            </w:r>
          </w:p>
        </w:tc>
        <w:tc>
          <w:tcPr>
            <w:tcW w:w="575" w:type="dxa"/>
          </w:tcPr>
          <w:p w14:paraId="5CB80804" w14:textId="268870AA" w:rsidR="00BA492F" w:rsidRPr="009A1DC0" w:rsidRDefault="00745ACC"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35%</w:t>
            </w:r>
          </w:p>
        </w:tc>
        <w:tc>
          <w:tcPr>
            <w:tcW w:w="575" w:type="dxa"/>
          </w:tcPr>
          <w:p w14:paraId="1B18755F" w14:textId="57CC6557" w:rsidR="00BA492F" w:rsidRPr="009A1DC0" w:rsidRDefault="00745ACC"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21%</w:t>
            </w:r>
          </w:p>
        </w:tc>
        <w:tc>
          <w:tcPr>
            <w:tcW w:w="871" w:type="dxa"/>
          </w:tcPr>
          <w:p w14:paraId="145B70EA" w14:textId="0440090E" w:rsidR="00BA492F" w:rsidRPr="009A1DC0" w:rsidRDefault="00745ACC"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31%</w:t>
            </w:r>
          </w:p>
        </w:tc>
      </w:tr>
      <w:tr w:rsidR="009A1DC0" w:rsidRPr="00BA492F" w14:paraId="3590E886" w14:textId="77777777" w:rsidTr="00745AC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687" w:type="dxa"/>
            <w:gridSpan w:val="12"/>
            <w:shd w:val="clear" w:color="auto" w:fill="E7E6E6" w:themeFill="background2"/>
          </w:tcPr>
          <w:p w14:paraId="05DE207C" w14:textId="44C03D58" w:rsidR="009A1DC0" w:rsidRPr="00BA492F" w:rsidRDefault="009A1DC0" w:rsidP="009A1DC0">
            <w:pPr>
              <w:rPr>
                <w:b w:val="0"/>
                <w:sz w:val="18"/>
                <w:szCs w:val="18"/>
              </w:rPr>
            </w:pPr>
            <w:r>
              <w:rPr>
                <w:sz w:val="18"/>
                <w:szCs w:val="18"/>
              </w:rPr>
              <w:t>Biochemical c</w:t>
            </w:r>
            <w:r w:rsidRPr="009A1DC0">
              <w:rPr>
                <w:sz w:val="18"/>
                <w:szCs w:val="18"/>
              </w:rPr>
              <w:t>omposition</w:t>
            </w:r>
            <w:r w:rsidR="00690075">
              <w:rPr>
                <w:sz w:val="18"/>
                <w:szCs w:val="18"/>
              </w:rPr>
              <w:fldChar w:fldCharType="begin"/>
            </w:r>
            <w:r w:rsidR="00CD084F">
              <w:rPr>
                <w:sz w:val="18"/>
                <w:szCs w:val="18"/>
              </w:rPr>
              <w:instrText xml:space="preserve"> ADDIN ZOTERO_ITEM CSL_CITATION {"citationID":"BuGYabHn","properties":{"formattedCitation":"\\super 1\\nosupersub{}","plainCitation":"1","noteIndex":0},"citationItems":[{"id":14334,"uris":["http://zotero.org/users/6423791/items/VWPZYH5Z"],"itemData":{"id":14334,"type":"article","DOI":"https://doi.org/10.21203/rs.3.rs-3671083/v1","genre":"preprint","publisher":"Research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pathways","author":[{"family":"Javourez","given":"U."},{"family":"Tiruta-Barna","given":"L."},{"family":"Hamelin","given":"L."}],"issued":{"date-parts":[["2023",11,20]]}}}],"schema":"https://github.com/citation-style-language/schema/raw/master/csl-citation.json"} </w:instrText>
            </w:r>
            <w:r w:rsidR="00690075">
              <w:rPr>
                <w:sz w:val="18"/>
                <w:szCs w:val="18"/>
              </w:rPr>
              <w:fldChar w:fldCharType="separate"/>
            </w:r>
            <w:r w:rsidR="00690075" w:rsidRPr="00690075">
              <w:rPr>
                <w:rFonts w:ascii="Calibri" w:hAnsi="Calibri" w:cs="Calibri"/>
                <w:sz w:val="18"/>
                <w:szCs w:val="24"/>
                <w:vertAlign w:val="superscript"/>
              </w:rPr>
              <w:t>1</w:t>
            </w:r>
            <w:r w:rsidR="00690075">
              <w:rPr>
                <w:sz w:val="18"/>
                <w:szCs w:val="18"/>
              </w:rPr>
              <w:fldChar w:fldCharType="end"/>
            </w:r>
            <w:r w:rsidRPr="009A1DC0">
              <w:rPr>
                <w:sz w:val="18"/>
                <w:szCs w:val="18"/>
              </w:rPr>
              <w:t xml:space="preserve"> (%</w:t>
            </w:r>
            <w:r w:rsidRPr="009A1DC0">
              <w:rPr>
                <w:sz w:val="18"/>
                <w:szCs w:val="18"/>
                <w:vertAlign w:val="subscript"/>
              </w:rPr>
              <w:t>DM</w:t>
            </w:r>
            <w:r w:rsidRPr="009A1DC0">
              <w:rPr>
                <w:sz w:val="18"/>
                <w:szCs w:val="18"/>
              </w:rPr>
              <w:t>)</w:t>
            </w:r>
          </w:p>
        </w:tc>
      </w:tr>
      <w:tr w:rsidR="009A1DC0" w:rsidRPr="00BA492F" w14:paraId="07F5B7F6" w14:textId="77777777" w:rsidTr="00690075">
        <w:tc>
          <w:tcPr>
            <w:cnfStyle w:val="001000000000" w:firstRow="0" w:lastRow="0" w:firstColumn="1" w:lastColumn="0" w:oddVBand="0" w:evenVBand="0" w:oddHBand="0" w:evenHBand="0" w:firstRowFirstColumn="0" w:firstRowLastColumn="0" w:lastRowFirstColumn="0" w:lastRowLastColumn="0"/>
            <w:tcW w:w="1266" w:type="dxa"/>
          </w:tcPr>
          <w:p w14:paraId="13352E5B" w14:textId="2EB69695" w:rsidR="009A1DC0" w:rsidRPr="009A1DC0" w:rsidRDefault="009A1DC0" w:rsidP="009A1DC0">
            <w:pPr>
              <w:rPr>
                <w:sz w:val="18"/>
                <w:szCs w:val="18"/>
              </w:rPr>
            </w:pPr>
            <w:r w:rsidRPr="009A1DC0">
              <w:rPr>
                <w:sz w:val="18"/>
                <w:szCs w:val="18"/>
              </w:rPr>
              <w:t xml:space="preserve">Ashes </w:t>
            </w:r>
          </w:p>
        </w:tc>
        <w:tc>
          <w:tcPr>
            <w:tcW w:w="1004" w:type="dxa"/>
          </w:tcPr>
          <w:p w14:paraId="7A400C15" w14:textId="67E44889"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w:t>
            </w:r>
          </w:p>
        </w:tc>
        <w:tc>
          <w:tcPr>
            <w:tcW w:w="885" w:type="dxa"/>
          </w:tcPr>
          <w:p w14:paraId="061C7639" w14:textId="4B7A608D"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5%</w:t>
            </w:r>
          </w:p>
        </w:tc>
        <w:tc>
          <w:tcPr>
            <w:tcW w:w="843" w:type="dxa"/>
          </w:tcPr>
          <w:p w14:paraId="0CF00E1A" w14:textId="58265DB2"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6%</w:t>
            </w:r>
          </w:p>
        </w:tc>
        <w:tc>
          <w:tcPr>
            <w:tcW w:w="800" w:type="dxa"/>
          </w:tcPr>
          <w:p w14:paraId="7059A10F" w14:textId="3042478E" w:rsidR="009A1DC0" w:rsidRPr="009A1DC0" w:rsidRDefault="007F1F03"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19</w:t>
            </w:r>
            <w:r w:rsidR="009A1DC0" w:rsidRPr="009A1DC0">
              <w:rPr>
                <w:sz w:val="18"/>
                <w:szCs w:val="18"/>
              </w:rPr>
              <w:t>%</w:t>
            </w:r>
          </w:p>
        </w:tc>
        <w:tc>
          <w:tcPr>
            <w:tcW w:w="791" w:type="dxa"/>
          </w:tcPr>
          <w:p w14:paraId="39849D55" w14:textId="5CB5046C"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w:t>
            </w:r>
            <w:r w:rsidR="007F1F03">
              <w:rPr>
                <w:sz w:val="18"/>
                <w:szCs w:val="18"/>
              </w:rPr>
              <w:t>6</w:t>
            </w:r>
            <w:r w:rsidRPr="009A1DC0">
              <w:rPr>
                <w:sz w:val="18"/>
                <w:szCs w:val="18"/>
              </w:rPr>
              <w:t>%</w:t>
            </w:r>
          </w:p>
        </w:tc>
        <w:tc>
          <w:tcPr>
            <w:tcW w:w="782" w:type="dxa"/>
          </w:tcPr>
          <w:p w14:paraId="2F949A79" w14:textId="2E8834B0"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w:t>
            </w:r>
            <w:r w:rsidR="00810014">
              <w:rPr>
                <w:sz w:val="18"/>
                <w:szCs w:val="18"/>
              </w:rPr>
              <w:t>2</w:t>
            </w:r>
            <w:r w:rsidRPr="009A1DC0">
              <w:rPr>
                <w:sz w:val="18"/>
                <w:szCs w:val="18"/>
              </w:rPr>
              <w:t>%</w:t>
            </w:r>
          </w:p>
        </w:tc>
        <w:tc>
          <w:tcPr>
            <w:tcW w:w="720" w:type="dxa"/>
          </w:tcPr>
          <w:p w14:paraId="72F6F091" w14:textId="77E55342"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w:t>
            </w:r>
            <w:r w:rsidR="00810014">
              <w:rPr>
                <w:sz w:val="18"/>
                <w:szCs w:val="18"/>
              </w:rPr>
              <w:t>8</w:t>
            </w:r>
            <w:r w:rsidRPr="009A1DC0">
              <w:rPr>
                <w:sz w:val="18"/>
                <w:szCs w:val="18"/>
              </w:rPr>
              <w:t>%</w:t>
            </w:r>
          </w:p>
        </w:tc>
        <w:tc>
          <w:tcPr>
            <w:tcW w:w="575" w:type="dxa"/>
          </w:tcPr>
          <w:p w14:paraId="0677D800" w14:textId="3DCC7302"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21%</w:t>
            </w:r>
          </w:p>
        </w:tc>
        <w:tc>
          <w:tcPr>
            <w:tcW w:w="575" w:type="dxa"/>
          </w:tcPr>
          <w:p w14:paraId="47D471AC" w14:textId="344F1A56"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5%</w:t>
            </w:r>
          </w:p>
        </w:tc>
        <w:tc>
          <w:tcPr>
            <w:tcW w:w="575" w:type="dxa"/>
          </w:tcPr>
          <w:p w14:paraId="637DE832" w14:textId="443D1D69"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3%</w:t>
            </w:r>
          </w:p>
        </w:tc>
        <w:tc>
          <w:tcPr>
            <w:tcW w:w="871" w:type="dxa"/>
          </w:tcPr>
          <w:p w14:paraId="3EA62C13" w14:textId="1EEC47BC" w:rsidR="009A1DC0" w:rsidRPr="009A1DC0" w:rsidRDefault="00745ACC"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20</w:t>
            </w:r>
            <w:r w:rsidR="009A1DC0" w:rsidRPr="009A1DC0">
              <w:rPr>
                <w:sz w:val="18"/>
                <w:szCs w:val="18"/>
              </w:rPr>
              <w:t>%</w:t>
            </w:r>
          </w:p>
        </w:tc>
      </w:tr>
      <w:tr w:rsidR="009A1DC0" w:rsidRPr="00BA492F" w14:paraId="5D054FE2" w14:textId="77777777" w:rsidTr="00690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789F10C9" w14:textId="2DBB9A36" w:rsidR="009A1DC0" w:rsidRPr="009A1DC0" w:rsidRDefault="009A1DC0" w:rsidP="009A1DC0">
            <w:pPr>
              <w:rPr>
                <w:sz w:val="18"/>
                <w:szCs w:val="18"/>
              </w:rPr>
            </w:pPr>
            <w:r w:rsidRPr="009A1DC0">
              <w:rPr>
                <w:sz w:val="18"/>
                <w:szCs w:val="18"/>
              </w:rPr>
              <w:t xml:space="preserve">Cellulose </w:t>
            </w:r>
          </w:p>
        </w:tc>
        <w:tc>
          <w:tcPr>
            <w:tcW w:w="1004" w:type="dxa"/>
          </w:tcPr>
          <w:p w14:paraId="0953E69C" w14:textId="0DB2F1A5"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32%</w:t>
            </w:r>
          </w:p>
        </w:tc>
        <w:tc>
          <w:tcPr>
            <w:tcW w:w="885" w:type="dxa"/>
          </w:tcPr>
          <w:p w14:paraId="72C29E40" w14:textId="7F20702C"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44%</w:t>
            </w:r>
          </w:p>
        </w:tc>
        <w:tc>
          <w:tcPr>
            <w:tcW w:w="843" w:type="dxa"/>
          </w:tcPr>
          <w:p w14:paraId="2F3DE434" w14:textId="44E819DA"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35%</w:t>
            </w:r>
          </w:p>
        </w:tc>
        <w:tc>
          <w:tcPr>
            <w:tcW w:w="800" w:type="dxa"/>
          </w:tcPr>
          <w:p w14:paraId="7468688B" w14:textId="7EA11ADD"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2</w:t>
            </w:r>
            <w:r w:rsidR="007F1F03">
              <w:rPr>
                <w:sz w:val="18"/>
                <w:szCs w:val="18"/>
              </w:rPr>
              <w:t>4</w:t>
            </w:r>
            <w:r w:rsidRPr="009A1DC0">
              <w:rPr>
                <w:sz w:val="18"/>
                <w:szCs w:val="18"/>
              </w:rPr>
              <w:t>%</w:t>
            </w:r>
          </w:p>
        </w:tc>
        <w:tc>
          <w:tcPr>
            <w:tcW w:w="791" w:type="dxa"/>
          </w:tcPr>
          <w:p w14:paraId="647F8B8A" w14:textId="2D3CDCA1"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782" w:type="dxa"/>
          </w:tcPr>
          <w:p w14:paraId="0C190E78" w14:textId="29D9DF25"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27%</w:t>
            </w:r>
          </w:p>
        </w:tc>
        <w:tc>
          <w:tcPr>
            <w:tcW w:w="720" w:type="dxa"/>
          </w:tcPr>
          <w:p w14:paraId="384CC332" w14:textId="07A8A689"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w:t>
            </w:r>
            <w:r w:rsidR="00810014">
              <w:rPr>
                <w:sz w:val="18"/>
                <w:szCs w:val="18"/>
              </w:rPr>
              <w:t>3</w:t>
            </w:r>
            <w:r w:rsidRPr="009A1DC0">
              <w:rPr>
                <w:sz w:val="18"/>
                <w:szCs w:val="18"/>
              </w:rPr>
              <w:t>%</w:t>
            </w:r>
          </w:p>
        </w:tc>
        <w:tc>
          <w:tcPr>
            <w:tcW w:w="575" w:type="dxa"/>
          </w:tcPr>
          <w:p w14:paraId="73E93871" w14:textId="27BDF10C"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575" w:type="dxa"/>
          </w:tcPr>
          <w:p w14:paraId="3E8B8CCD" w14:textId="21E7DFC5"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9%</w:t>
            </w:r>
          </w:p>
        </w:tc>
        <w:tc>
          <w:tcPr>
            <w:tcW w:w="575" w:type="dxa"/>
          </w:tcPr>
          <w:p w14:paraId="23199BB7" w14:textId="078AA18F"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871" w:type="dxa"/>
          </w:tcPr>
          <w:p w14:paraId="55273ABD" w14:textId="3AD881EE"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5%</w:t>
            </w:r>
          </w:p>
        </w:tc>
      </w:tr>
      <w:tr w:rsidR="009A1DC0" w:rsidRPr="00BA492F" w14:paraId="2564E4D4" w14:textId="77777777" w:rsidTr="00690075">
        <w:tc>
          <w:tcPr>
            <w:cnfStyle w:val="001000000000" w:firstRow="0" w:lastRow="0" w:firstColumn="1" w:lastColumn="0" w:oddVBand="0" w:evenVBand="0" w:oddHBand="0" w:evenHBand="0" w:firstRowFirstColumn="0" w:firstRowLastColumn="0" w:lastRowFirstColumn="0" w:lastRowLastColumn="0"/>
            <w:tcW w:w="1266" w:type="dxa"/>
          </w:tcPr>
          <w:p w14:paraId="2FD6682B" w14:textId="33C4DDDF" w:rsidR="009A1DC0" w:rsidRPr="009A1DC0" w:rsidRDefault="009A1DC0" w:rsidP="009A1DC0">
            <w:pPr>
              <w:rPr>
                <w:sz w:val="18"/>
                <w:szCs w:val="18"/>
              </w:rPr>
            </w:pPr>
            <w:r w:rsidRPr="009A1DC0">
              <w:rPr>
                <w:sz w:val="18"/>
                <w:szCs w:val="18"/>
              </w:rPr>
              <w:t>Hemicellulose</w:t>
            </w:r>
          </w:p>
        </w:tc>
        <w:tc>
          <w:tcPr>
            <w:tcW w:w="1004" w:type="dxa"/>
          </w:tcPr>
          <w:p w14:paraId="4F671602" w14:textId="2625CF2A"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22%</w:t>
            </w:r>
          </w:p>
        </w:tc>
        <w:tc>
          <w:tcPr>
            <w:tcW w:w="885" w:type="dxa"/>
          </w:tcPr>
          <w:p w14:paraId="40C42324" w14:textId="2ECD1575"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7%</w:t>
            </w:r>
          </w:p>
        </w:tc>
        <w:tc>
          <w:tcPr>
            <w:tcW w:w="843" w:type="dxa"/>
          </w:tcPr>
          <w:p w14:paraId="3F8502CE" w14:textId="16955383"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w:t>
            </w:r>
            <w:r w:rsidR="007F1F03">
              <w:rPr>
                <w:sz w:val="18"/>
                <w:szCs w:val="18"/>
              </w:rPr>
              <w:t>3</w:t>
            </w:r>
            <w:r w:rsidRPr="009A1DC0">
              <w:rPr>
                <w:sz w:val="18"/>
                <w:szCs w:val="18"/>
              </w:rPr>
              <w:t>%</w:t>
            </w:r>
          </w:p>
        </w:tc>
        <w:tc>
          <w:tcPr>
            <w:tcW w:w="800" w:type="dxa"/>
          </w:tcPr>
          <w:p w14:paraId="6CC973CC" w14:textId="13747AA5"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18%</w:t>
            </w:r>
          </w:p>
        </w:tc>
        <w:tc>
          <w:tcPr>
            <w:tcW w:w="791" w:type="dxa"/>
          </w:tcPr>
          <w:p w14:paraId="076C4695" w14:textId="090496C8"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w:t>
            </w:r>
          </w:p>
        </w:tc>
        <w:tc>
          <w:tcPr>
            <w:tcW w:w="782" w:type="dxa"/>
          </w:tcPr>
          <w:p w14:paraId="5FDC8424" w14:textId="408EB9D0"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20%</w:t>
            </w:r>
          </w:p>
        </w:tc>
        <w:tc>
          <w:tcPr>
            <w:tcW w:w="720" w:type="dxa"/>
          </w:tcPr>
          <w:p w14:paraId="29C633E5" w14:textId="4664363B"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14%</w:t>
            </w:r>
          </w:p>
        </w:tc>
        <w:tc>
          <w:tcPr>
            <w:tcW w:w="575" w:type="dxa"/>
          </w:tcPr>
          <w:p w14:paraId="33C1915D" w14:textId="550F5744"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w:t>
            </w:r>
          </w:p>
        </w:tc>
        <w:tc>
          <w:tcPr>
            <w:tcW w:w="575" w:type="dxa"/>
          </w:tcPr>
          <w:p w14:paraId="070FEA0A" w14:textId="24DB950E"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w:t>
            </w:r>
            <w:r w:rsidR="00810014">
              <w:rPr>
                <w:sz w:val="18"/>
                <w:szCs w:val="18"/>
              </w:rPr>
              <w:t>1</w:t>
            </w:r>
            <w:r w:rsidRPr="009A1DC0">
              <w:rPr>
                <w:sz w:val="18"/>
                <w:szCs w:val="18"/>
              </w:rPr>
              <w:t>%</w:t>
            </w:r>
          </w:p>
        </w:tc>
        <w:tc>
          <w:tcPr>
            <w:tcW w:w="575" w:type="dxa"/>
          </w:tcPr>
          <w:p w14:paraId="0B949FE6" w14:textId="6C813629" w:rsidR="009A1DC0" w:rsidRPr="009A1DC0" w:rsidRDefault="00745ACC"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w:t>
            </w:r>
            <w:r w:rsidR="009A1DC0" w:rsidRPr="009A1DC0">
              <w:rPr>
                <w:sz w:val="18"/>
                <w:szCs w:val="18"/>
              </w:rPr>
              <w:t>%</w:t>
            </w:r>
          </w:p>
        </w:tc>
        <w:tc>
          <w:tcPr>
            <w:tcW w:w="871" w:type="dxa"/>
          </w:tcPr>
          <w:p w14:paraId="23F266F7" w14:textId="79179DD0"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5%</w:t>
            </w:r>
          </w:p>
        </w:tc>
      </w:tr>
      <w:tr w:rsidR="009A1DC0" w:rsidRPr="00BA492F" w14:paraId="67727EE5" w14:textId="77777777" w:rsidTr="00690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2AAB5D5A" w14:textId="3681A3AA" w:rsidR="009A1DC0" w:rsidRPr="009A1DC0" w:rsidRDefault="009A1DC0" w:rsidP="009A1DC0">
            <w:pPr>
              <w:rPr>
                <w:sz w:val="18"/>
                <w:szCs w:val="18"/>
              </w:rPr>
            </w:pPr>
            <w:r w:rsidRPr="009A1DC0">
              <w:rPr>
                <w:sz w:val="18"/>
                <w:szCs w:val="18"/>
              </w:rPr>
              <w:t>Lignin</w:t>
            </w:r>
          </w:p>
        </w:tc>
        <w:tc>
          <w:tcPr>
            <w:tcW w:w="1004" w:type="dxa"/>
          </w:tcPr>
          <w:p w14:paraId="0B29125A" w14:textId="3A68B3EC"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28%</w:t>
            </w:r>
          </w:p>
        </w:tc>
        <w:tc>
          <w:tcPr>
            <w:tcW w:w="885" w:type="dxa"/>
          </w:tcPr>
          <w:p w14:paraId="41B1B334" w14:textId="3BB03414"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29%</w:t>
            </w:r>
          </w:p>
        </w:tc>
        <w:tc>
          <w:tcPr>
            <w:tcW w:w="843" w:type="dxa"/>
          </w:tcPr>
          <w:p w14:paraId="5934A7AF" w14:textId="29C90026"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13%</w:t>
            </w:r>
          </w:p>
        </w:tc>
        <w:tc>
          <w:tcPr>
            <w:tcW w:w="800" w:type="dxa"/>
          </w:tcPr>
          <w:p w14:paraId="5411BD97" w14:textId="5437B1B3"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19%</w:t>
            </w:r>
          </w:p>
        </w:tc>
        <w:tc>
          <w:tcPr>
            <w:tcW w:w="791" w:type="dxa"/>
          </w:tcPr>
          <w:p w14:paraId="47A31B9A" w14:textId="30C86825"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782" w:type="dxa"/>
          </w:tcPr>
          <w:p w14:paraId="5766C34D" w14:textId="19EC428A"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9%</w:t>
            </w:r>
          </w:p>
        </w:tc>
        <w:tc>
          <w:tcPr>
            <w:tcW w:w="720" w:type="dxa"/>
          </w:tcPr>
          <w:p w14:paraId="1C5F5171" w14:textId="10534DCC" w:rsidR="009A1DC0" w:rsidRPr="009A1DC0" w:rsidRDefault="00810014" w:rsidP="009A1DC0">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w:t>
            </w:r>
            <w:r w:rsidR="009A1DC0" w:rsidRPr="009A1DC0">
              <w:rPr>
                <w:sz w:val="18"/>
                <w:szCs w:val="18"/>
              </w:rPr>
              <w:t>%</w:t>
            </w:r>
          </w:p>
        </w:tc>
        <w:tc>
          <w:tcPr>
            <w:tcW w:w="575" w:type="dxa"/>
          </w:tcPr>
          <w:p w14:paraId="0FC4282E" w14:textId="6487688D"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575" w:type="dxa"/>
          </w:tcPr>
          <w:p w14:paraId="6E4E0AD9" w14:textId="5BB1CDC8"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4%</w:t>
            </w:r>
          </w:p>
        </w:tc>
        <w:tc>
          <w:tcPr>
            <w:tcW w:w="575" w:type="dxa"/>
          </w:tcPr>
          <w:p w14:paraId="70135EA4" w14:textId="28250FCB"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871" w:type="dxa"/>
          </w:tcPr>
          <w:p w14:paraId="7346352A" w14:textId="2FAEC212"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19%</w:t>
            </w:r>
          </w:p>
        </w:tc>
      </w:tr>
      <w:tr w:rsidR="009A1DC0" w:rsidRPr="00BA492F" w14:paraId="1E7975FF" w14:textId="77777777" w:rsidTr="00690075">
        <w:tc>
          <w:tcPr>
            <w:cnfStyle w:val="001000000000" w:firstRow="0" w:lastRow="0" w:firstColumn="1" w:lastColumn="0" w:oddVBand="0" w:evenVBand="0" w:oddHBand="0" w:evenHBand="0" w:firstRowFirstColumn="0" w:firstRowLastColumn="0" w:lastRowFirstColumn="0" w:lastRowLastColumn="0"/>
            <w:tcW w:w="1266" w:type="dxa"/>
          </w:tcPr>
          <w:p w14:paraId="2E7B1419" w14:textId="47D94C30" w:rsidR="009A1DC0" w:rsidRPr="009A1DC0" w:rsidRDefault="009A1DC0" w:rsidP="009A1DC0">
            <w:pPr>
              <w:rPr>
                <w:sz w:val="18"/>
                <w:szCs w:val="18"/>
              </w:rPr>
            </w:pPr>
            <w:r w:rsidRPr="009A1DC0">
              <w:rPr>
                <w:sz w:val="18"/>
                <w:szCs w:val="18"/>
              </w:rPr>
              <w:t>Proteins</w:t>
            </w:r>
          </w:p>
        </w:tc>
        <w:tc>
          <w:tcPr>
            <w:tcW w:w="1004" w:type="dxa"/>
          </w:tcPr>
          <w:p w14:paraId="42BED50E" w14:textId="564F600D"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w:t>
            </w:r>
          </w:p>
        </w:tc>
        <w:tc>
          <w:tcPr>
            <w:tcW w:w="885" w:type="dxa"/>
          </w:tcPr>
          <w:p w14:paraId="2E0048FD" w14:textId="0B9171CB"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w:t>
            </w:r>
          </w:p>
        </w:tc>
        <w:tc>
          <w:tcPr>
            <w:tcW w:w="843" w:type="dxa"/>
          </w:tcPr>
          <w:p w14:paraId="5BFCCFA6" w14:textId="64F34F02"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9%</w:t>
            </w:r>
          </w:p>
        </w:tc>
        <w:tc>
          <w:tcPr>
            <w:tcW w:w="800" w:type="dxa"/>
          </w:tcPr>
          <w:p w14:paraId="0CB706EC" w14:textId="534DA88C"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w:t>
            </w:r>
            <w:r w:rsidR="007F1F03">
              <w:rPr>
                <w:sz w:val="18"/>
                <w:szCs w:val="18"/>
              </w:rPr>
              <w:t>4</w:t>
            </w:r>
            <w:r w:rsidRPr="009A1DC0">
              <w:rPr>
                <w:sz w:val="18"/>
                <w:szCs w:val="18"/>
              </w:rPr>
              <w:t>%</w:t>
            </w:r>
          </w:p>
        </w:tc>
        <w:tc>
          <w:tcPr>
            <w:tcW w:w="791" w:type="dxa"/>
          </w:tcPr>
          <w:p w14:paraId="649149A0" w14:textId="048D045A"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38%</w:t>
            </w:r>
          </w:p>
        </w:tc>
        <w:tc>
          <w:tcPr>
            <w:tcW w:w="782" w:type="dxa"/>
          </w:tcPr>
          <w:p w14:paraId="34C25A50" w14:textId="7142F190"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8%</w:t>
            </w:r>
          </w:p>
        </w:tc>
        <w:tc>
          <w:tcPr>
            <w:tcW w:w="720" w:type="dxa"/>
          </w:tcPr>
          <w:p w14:paraId="1F0F8B14" w14:textId="3945C825"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w:t>
            </w:r>
            <w:r w:rsidR="00810014">
              <w:rPr>
                <w:sz w:val="18"/>
                <w:szCs w:val="18"/>
              </w:rPr>
              <w:t>6</w:t>
            </w:r>
            <w:r w:rsidRPr="009A1DC0">
              <w:rPr>
                <w:sz w:val="18"/>
                <w:szCs w:val="18"/>
              </w:rPr>
              <w:t>%</w:t>
            </w:r>
          </w:p>
        </w:tc>
        <w:tc>
          <w:tcPr>
            <w:tcW w:w="575" w:type="dxa"/>
          </w:tcPr>
          <w:p w14:paraId="325733D7" w14:textId="403BD31E"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6</w:t>
            </w:r>
            <w:r w:rsidR="00810014">
              <w:rPr>
                <w:sz w:val="18"/>
                <w:szCs w:val="18"/>
              </w:rPr>
              <w:t>6</w:t>
            </w:r>
            <w:r w:rsidRPr="009A1DC0">
              <w:rPr>
                <w:sz w:val="18"/>
                <w:szCs w:val="18"/>
              </w:rPr>
              <w:t>%</w:t>
            </w:r>
          </w:p>
        </w:tc>
        <w:tc>
          <w:tcPr>
            <w:tcW w:w="575" w:type="dxa"/>
          </w:tcPr>
          <w:p w14:paraId="67851E0D" w14:textId="3B3CF124" w:rsidR="009A1DC0" w:rsidRPr="009A1DC0" w:rsidRDefault="00810014"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30</w:t>
            </w:r>
            <w:r w:rsidR="009A1DC0" w:rsidRPr="009A1DC0">
              <w:rPr>
                <w:sz w:val="18"/>
                <w:szCs w:val="18"/>
              </w:rPr>
              <w:t>%</w:t>
            </w:r>
          </w:p>
        </w:tc>
        <w:tc>
          <w:tcPr>
            <w:tcW w:w="575" w:type="dxa"/>
          </w:tcPr>
          <w:p w14:paraId="7801CDA0" w14:textId="77B84A7F"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8%</w:t>
            </w:r>
          </w:p>
        </w:tc>
        <w:tc>
          <w:tcPr>
            <w:tcW w:w="871" w:type="dxa"/>
          </w:tcPr>
          <w:p w14:paraId="566C9413" w14:textId="5D6DBE51"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w:t>
            </w:r>
            <w:r w:rsidR="00745ACC">
              <w:rPr>
                <w:sz w:val="18"/>
                <w:szCs w:val="18"/>
              </w:rPr>
              <w:t>4</w:t>
            </w:r>
            <w:r w:rsidRPr="009A1DC0">
              <w:rPr>
                <w:sz w:val="18"/>
                <w:szCs w:val="18"/>
              </w:rPr>
              <w:t>%</w:t>
            </w:r>
          </w:p>
        </w:tc>
      </w:tr>
      <w:tr w:rsidR="009A1DC0" w:rsidRPr="00BA492F" w14:paraId="38CA2B8E" w14:textId="77777777" w:rsidTr="00690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05564524" w14:textId="3E81ADD6" w:rsidR="009A1DC0" w:rsidRPr="009A1DC0" w:rsidRDefault="009A1DC0" w:rsidP="009A1DC0">
            <w:pPr>
              <w:rPr>
                <w:sz w:val="18"/>
                <w:szCs w:val="18"/>
              </w:rPr>
            </w:pPr>
            <w:r w:rsidRPr="009A1DC0">
              <w:rPr>
                <w:sz w:val="18"/>
                <w:szCs w:val="18"/>
              </w:rPr>
              <w:t>Lipids</w:t>
            </w:r>
          </w:p>
        </w:tc>
        <w:tc>
          <w:tcPr>
            <w:tcW w:w="1004" w:type="dxa"/>
          </w:tcPr>
          <w:p w14:paraId="59A73444" w14:textId="719E33E5"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885" w:type="dxa"/>
          </w:tcPr>
          <w:p w14:paraId="7E8D0BC3" w14:textId="23D8E550"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843" w:type="dxa"/>
          </w:tcPr>
          <w:p w14:paraId="040929BC" w14:textId="3B9836EE"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2%</w:t>
            </w:r>
          </w:p>
        </w:tc>
        <w:tc>
          <w:tcPr>
            <w:tcW w:w="800" w:type="dxa"/>
          </w:tcPr>
          <w:p w14:paraId="6E92C85E" w14:textId="0781666B" w:rsidR="009A1DC0" w:rsidRPr="009A1DC0" w:rsidRDefault="007F1F03" w:rsidP="009A1DC0">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w:t>
            </w:r>
            <w:r w:rsidR="009A1DC0" w:rsidRPr="009A1DC0">
              <w:rPr>
                <w:sz w:val="18"/>
                <w:szCs w:val="18"/>
              </w:rPr>
              <w:t>%</w:t>
            </w:r>
          </w:p>
        </w:tc>
        <w:tc>
          <w:tcPr>
            <w:tcW w:w="791" w:type="dxa"/>
          </w:tcPr>
          <w:p w14:paraId="101DAB66" w14:textId="00B0C5AE"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8%</w:t>
            </w:r>
          </w:p>
        </w:tc>
        <w:tc>
          <w:tcPr>
            <w:tcW w:w="782" w:type="dxa"/>
          </w:tcPr>
          <w:p w14:paraId="5D45153C" w14:textId="40781E76"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w:t>
            </w:r>
          </w:p>
        </w:tc>
        <w:tc>
          <w:tcPr>
            <w:tcW w:w="720" w:type="dxa"/>
          </w:tcPr>
          <w:p w14:paraId="3E4C8CF1" w14:textId="5D3F76F8"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2%</w:t>
            </w:r>
          </w:p>
        </w:tc>
        <w:tc>
          <w:tcPr>
            <w:tcW w:w="575" w:type="dxa"/>
          </w:tcPr>
          <w:p w14:paraId="19C7D3D8" w14:textId="3235864B" w:rsidR="009A1DC0" w:rsidRPr="009A1DC0" w:rsidRDefault="00810014" w:rsidP="009A1DC0">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w:t>
            </w:r>
            <w:r w:rsidR="009A1DC0" w:rsidRPr="009A1DC0">
              <w:rPr>
                <w:sz w:val="18"/>
                <w:szCs w:val="18"/>
              </w:rPr>
              <w:t>%</w:t>
            </w:r>
          </w:p>
        </w:tc>
        <w:tc>
          <w:tcPr>
            <w:tcW w:w="575" w:type="dxa"/>
          </w:tcPr>
          <w:p w14:paraId="2216B43A" w14:textId="763AE2FF"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11%</w:t>
            </w:r>
          </w:p>
        </w:tc>
        <w:tc>
          <w:tcPr>
            <w:tcW w:w="575" w:type="dxa"/>
          </w:tcPr>
          <w:p w14:paraId="5C0CD5BB" w14:textId="7CB3AC97"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871" w:type="dxa"/>
          </w:tcPr>
          <w:p w14:paraId="73705DC4" w14:textId="4BF53031"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13%</w:t>
            </w:r>
          </w:p>
        </w:tc>
      </w:tr>
      <w:tr w:rsidR="009A1DC0" w:rsidRPr="00BA492F" w14:paraId="522C61C6" w14:textId="77777777" w:rsidTr="00690075">
        <w:tc>
          <w:tcPr>
            <w:cnfStyle w:val="001000000000" w:firstRow="0" w:lastRow="0" w:firstColumn="1" w:lastColumn="0" w:oddVBand="0" w:evenVBand="0" w:oddHBand="0" w:evenHBand="0" w:firstRowFirstColumn="0" w:firstRowLastColumn="0" w:lastRowFirstColumn="0" w:lastRowLastColumn="0"/>
            <w:tcW w:w="1266" w:type="dxa"/>
          </w:tcPr>
          <w:p w14:paraId="19A80196" w14:textId="4A1A097E" w:rsidR="009A1DC0" w:rsidRPr="009A1DC0" w:rsidRDefault="009A1DC0" w:rsidP="009A1DC0">
            <w:pPr>
              <w:rPr>
                <w:sz w:val="18"/>
                <w:szCs w:val="18"/>
              </w:rPr>
            </w:pPr>
            <w:r w:rsidRPr="009A1DC0">
              <w:rPr>
                <w:sz w:val="18"/>
                <w:szCs w:val="18"/>
              </w:rPr>
              <w:t>Starch</w:t>
            </w:r>
          </w:p>
        </w:tc>
        <w:tc>
          <w:tcPr>
            <w:tcW w:w="1004" w:type="dxa"/>
          </w:tcPr>
          <w:p w14:paraId="5D518845" w14:textId="0E26F857"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w:t>
            </w:r>
          </w:p>
        </w:tc>
        <w:tc>
          <w:tcPr>
            <w:tcW w:w="885" w:type="dxa"/>
          </w:tcPr>
          <w:p w14:paraId="1BE5A26D" w14:textId="52E1FD90"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w:t>
            </w:r>
          </w:p>
        </w:tc>
        <w:tc>
          <w:tcPr>
            <w:tcW w:w="843" w:type="dxa"/>
          </w:tcPr>
          <w:p w14:paraId="5394DD87" w14:textId="224685F1"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w:t>
            </w:r>
          </w:p>
        </w:tc>
        <w:tc>
          <w:tcPr>
            <w:tcW w:w="800" w:type="dxa"/>
          </w:tcPr>
          <w:p w14:paraId="11036B26" w14:textId="403F7FA8"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w:t>
            </w:r>
          </w:p>
        </w:tc>
        <w:tc>
          <w:tcPr>
            <w:tcW w:w="791" w:type="dxa"/>
          </w:tcPr>
          <w:p w14:paraId="4B3241E2" w14:textId="2BDD49BA"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w:t>
            </w:r>
            <w:r w:rsidR="007F1F03">
              <w:rPr>
                <w:sz w:val="18"/>
                <w:szCs w:val="18"/>
              </w:rPr>
              <w:t>7</w:t>
            </w:r>
            <w:r w:rsidRPr="009A1DC0">
              <w:rPr>
                <w:sz w:val="18"/>
                <w:szCs w:val="18"/>
              </w:rPr>
              <w:t>%</w:t>
            </w:r>
          </w:p>
        </w:tc>
        <w:tc>
          <w:tcPr>
            <w:tcW w:w="782" w:type="dxa"/>
          </w:tcPr>
          <w:p w14:paraId="621653F7" w14:textId="29AEA0E8"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w:t>
            </w:r>
          </w:p>
        </w:tc>
        <w:tc>
          <w:tcPr>
            <w:tcW w:w="720" w:type="dxa"/>
          </w:tcPr>
          <w:p w14:paraId="0DA014E8" w14:textId="1790215D"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w:t>
            </w:r>
            <w:r w:rsidR="00810014">
              <w:rPr>
                <w:sz w:val="18"/>
                <w:szCs w:val="18"/>
              </w:rPr>
              <w:t>4</w:t>
            </w:r>
            <w:r w:rsidRPr="009A1DC0">
              <w:rPr>
                <w:sz w:val="18"/>
                <w:szCs w:val="18"/>
              </w:rPr>
              <w:t>%</w:t>
            </w:r>
          </w:p>
        </w:tc>
        <w:tc>
          <w:tcPr>
            <w:tcW w:w="575" w:type="dxa"/>
          </w:tcPr>
          <w:p w14:paraId="514ECA84" w14:textId="6E8821AC"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w:t>
            </w:r>
          </w:p>
        </w:tc>
        <w:tc>
          <w:tcPr>
            <w:tcW w:w="575" w:type="dxa"/>
          </w:tcPr>
          <w:p w14:paraId="56BC19AC" w14:textId="00B9071A"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9%</w:t>
            </w:r>
          </w:p>
        </w:tc>
        <w:tc>
          <w:tcPr>
            <w:tcW w:w="575" w:type="dxa"/>
          </w:tcPr>
          <w:p w14:paraId="0931AEA9" w14:textId="0E7F3C93"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7</w:t>
            </w:r>
            <w:r w:rsidR="00745ACC">
              <w:rPr>
                <w:sz w:val="18"/>
                <w:szCs w:val="18"/>
              </w:rPr>
              <w:t>5</w:t>
            </w:r>
            <w:r w:rsidRPr="009A1DC0">
              <w:rPr>
                <w:sz w:val="18"/>
                <w:szCs w:val="18"/>
              </w:rPr>
              <w:t>%</w:t>
            </w:r>
          </w:p>
        </w:tc>
        <w:tc>
          <w:tcPr>
            <w:tcW w:w="871" w:type="dxa"/>
          </w:tcPr>
          <w:p w14:paraId="52062E55" w14:textId="4A287977"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w:t>
            </w:r>
            <w:r w:rsidR="00745ACC">
              <w:rPr>
                <w:sz w:val="18"/>
                <w:szCs w:val="18"/>
              </w:rPr>
              <w:t>5</w:t>
            </w:r>
            <w:r w:rsidRPr="009A1DC0">
              <w:rPr>
                <w:sz w:val="18"/>
                <w:szCs w:val="18"/>
              </w:rPr>
              <w:t>%</w:t>
            </w:r>
          </w:p>
        </w:tc>
      </w:tr>
      <w:tr w:rsidR="009A1DC0" w:rsidRPr="00BA492F" w14:paraId="34489A4C" w14:textId="77777777" w:rsidTr="00690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311CBF11" w14:textId="17BFE425" w:rsidR="009A1DC0" w:rsidRPr="009A1DC0" w:rsidRDefault="009A1DC0" w:rsidP="009A1DC0">
            <w:pPr>
              <w:rPr>
                <w:sz w:val="18"/>
                <w:szCs w:val="18"/>
              </w:rPr>
            </w:pPr>
            <w:r w:rsidRPr="009A1DC0">
              <w:rPr>
                <w:sz w:val="18"/>
                <w:szCs w:val="18"/>
              </w:rPr>
              <w:t>Sugars</w:t>
            </w:r>
          </w:p>
        </w:tc>
        <w:tc>
          <w:tcPr>
            <w:tcW w:w="1004" w:type="dxa"/>
          </w:tcPr>
          <w:p w14:paraId="36DABA68" w14:textId="2F75F4CF"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885" w:type="dxa"/>
          </w:tcPr>
          <w:p w14:paraId="002DE959" w14:textId="42C94C70"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843" w:type="dxa"/>
          </w:tcPr>
          <w:p w14:paraId="7C5DAC55" w14:textId="7261958D"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w:t>
            </w:r>
          </w:p>
        </w:tc>
        <w:tc>
          <w:tcPr>
            <w:tcW w:w="800" w:type="dxa"/>
          </w:tcPr>
          <w:p w14:paraId="30A93124" w14:textId="32C4C790"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791" w:type="dxa"/>
          </w:tcPr>
          <w:p w14:paraId="65CF0878" w14:textId="499CA3DA"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782" w:type="dxa"/>
          </w:tcPr>
          <w:p w14:paraId="5284CDFE" w14:textId="0E2B1532"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13%</w:t>
            </w:r>
          </w:p>
        </w:tc>
        <w:tc>
          <w:tcPr>
            <w:tcW w:w="720" w:type="dxa"/>
          </w:tcPr>
          <w:p w14:paraId="4BDF606A" w14:textId="2A20B366"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w:t>
            </w:r>
            <w:r w:rsidR="00810014">
              <w:rPr>
                <w:sz w:val="18"/>
                <w:szCs w:val="18"/>
              </w:rPr>
              <w:t>2</w:t>
            </w:r>
            <w:r w:rsidRPr="009A1DC0">
              <w:rPr>
                <w:sz w:val="18"/>
                <w:szCs w:val="18"/>
              </w:rPr>
              <w:t>%</w:t>
            </w:r>
          </w:p>
        </w:tc>
        <w:tc>
          <w:tcPr>
            <w:tcW w:w="575" w:type="dxa"/>
          </w:tcPr>
          <w:p w14:paraId="5382A5DD" w14:textId="209B3760"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575" w:type="dxa"/>
          </w:tcPr>
          <w:p w14:paraId="5621E394" w14:textId="332090E6" w:rsidR="009A1DC0" w:rsidRPr="009A1DC0" w:rsidRDefault="00810014" w:rsidP="009A1DC0">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w:t>
            </w:r>
            <w:r w:rsidR="009A1DC0" w:rsidRPr="009A1DC0">
              <w:rPr>
                <w:sz w:val="18"/>
                <w:szCs w:val="18"/>
              </w:rPr>
              <w:t>%</w:t>
            </w:r>
          </w:p>
        </w:tc>
        <w:tc>
          <w:tcPr>
            <w:tcW w:w="575" w:type="dxa"/>
          </w:tcPr>
          <w:p w14:paraId="6D248BDD" w14:textId="35E77CE6"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2%</w:t>
            </w:r>
          </w:p>
        </w:tc>
        <w:tc>
          <w:tcPr>
            <w:tcW w:w="871" w:type="dxa"/>
          </w:tcPr>
          <w:p w14:paraId="2E169B17" w14:textId="0532B160" w:rsidR="009A1DC0" w:rsidRPr="009A1DC0" w:rsidRDefault="00745ACC" w:rsidP="009A1DC0">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6</w:t>
            </w:r>
            <w:r w:rsidR="009A1DC0" w:rsidRPr="009A1DC0">
              <w:rPr>
                <w:sz w:val="18"/>
                <w:szCs w:val="18"/>
              </w:rPr>
              <w:t>%</w:t>
            </w:r>
          </w:p>
        </w:tc>
      </w:tr>
      <w:tr w:rsidR="009A1DC0" w:rsidRPr="00BA492F" w14:paraId="1B7D46B3" w14:textId="77777777" w:rsidTr="00690075">
        <w:tc>
          <w:tcPr>
            <w:cnfStyle w:val="001000000000" w:firstRow="0" w:lastRow="0" w:firstColumn="1" w:lastColumn="0" w:oddVBand="0" w:evenVBand="0" w:oddHBand="0" w:evenHBand="0" w:firstRowFirstColumn="0" w:firstRowLastColumn="0" w:lastRowFirstColumn="0" w:lastRowLastColumn="0"/>
            <w:tcW w:w="1266" w:type="dxa"/>
          </w:tcPr>
          <w:p w14:paraId="43418D09" w14:textId="77903B10" w:rsidR="009A1DC0" w:rsidRPr="009A1DC0" w:rsidRDefault="009A1DC0" w:rsidP="009A1DC0">
            <w:pPr>
              <w:rPr>
                <w:sz w:val="18"/>
                <w:szCs w:val="18"/>
              </w:rPr>
            </w:pPr>
            <w:r w:rsidRPr="009A1DC0">
              <w:rPr>
                <w:sz w:val="18"/>
                <w:szCs w:val="18"/>
              </w:rPr>
              <w:t>Others</w:t>
            </w:r>
          </w:p>
        </w:tc>
        <w:tc>
          <w:tcPr>
            <w:tcW w:w="1004" w:type="dxa"/>
          </w:tcPr>
          <w:p w14:paraId="44CC6B96" w14:textId="3BB56ECE"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14%</w:t>
            </w:r>
          </w:p>
        </w:tc>
        <w:tc>
          <w:tcPr>
            <w:tcW w:w="885" w:type="dxa"/>
          </w:tcPr>
          <w:p w14:paraId="714820BF" w14:textId="41B69A5E"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15%</w:t>
            </w:r>
          </w:p>
        </w:tc>
        <w:tc>
          <w:tcPr>
            <w:tcW w:w="843" w:type="dxa"/>
          </w:tcPr>
          <w:p w14:paraId="771D359F" w14:textId="34180E4E" w:rsidR="009A1DC0" w:rsidRPr="009A1DC0" w:rsidRDefault="007F1F03"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w:t>
            </w:r>
            <w:r w:rsidR="009A1DC0" w:rsidRPr="009A1DC0">
              <w:rPr>
                <w:sz w:val="18"/>
                <w:szCs w:val="18"/>
              </w:rPr>
              <w:t>%</w:t>
            </w:r>
          </w:p>
        </w:tc>
        <w:tc>
          <w:tcPr>
            <w:tcW w:w="800" w:type="dxa"/>
          </w:tcPr>
          <w:p w14:paraId="369F06E1" w14:textId="4CAF1AAA"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w:t>
            </w:r>
          </w:p>
        </w:tc>
        <w:tc>
          <w:tcPr>
            <w:tcW w:w="791" w:type="dxa"/>
          </w:tcPr>
          <w:p w14:paraId="0DD7B1CB" w14:textId="4B6EA282"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w:t>
            </w:r>
          </w:p>
        </w:tc>
        <w:tc>
          <w:tcPr>
            <w:tcW w:w="782" w:type="dxa"/>
          </w:tcPr>
          <w:p w14:paraId="26CC7A3C" w14:textId="0874E202"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9%</w:t>
            </w:r>
          </w:p>
        </w:tc>
        <w:tc>
          <w:tcPr>
            <w:tcW w:w="720" w:type="dxa"/>
          </w:tcPr>
          <w:p w14:paraId="0D7A2033" w14:textId="2B7FECDC" w:rsidR="009A1DC0" w:rsidRPr="009A1DC0" w:rsidRDefault="00810014"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w:t>
            </w:r>
            <w:r w:rsidR="009A1DC0" w:rsidRPr="009A1DC0">
              <w:rPr>
                <w:sz w:val="18"/>
                <w:szCs w:val="18"/>
              </w:rPr>
              <w:t>%</w:t>
            </w:r>
          </w:p>
        </w:tc>
        <w:tc>
          <w:tcPr>
            <w:tcW w:w="575" w:type="dxa"/>
          </w:tcPr>
          <w:p w14:paraId="2131F42F" w14:textId="3682DAC7"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w:t>
            </w:r>
          </w:p>
        </w:tc>
        <w:tc>
          <w:tcPr>
            <w:tcW w:w="575" w:type="dxa"/>
          </w:tcPr>
          <w:p w14:paraId="147176A2" w14:textId="62F929CE" w:rsidR="009A1DC0" w:rsidRPr="009A1DC0" w:rsidRDefault="00810014"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9</w:t>
            </w:r>
            <w:r w:rsidR="009A1DC0" w:rsidRPr="009A1DC0">
              <w:rPr>
                <w:sz w:val="18"/>
                <w:szCs w:val="18"/>
              </w:rPr>
              <w:t>%</w:t>
            </w:r>
          </w:p>
        </w:tc>
        <w:tc>
          <w:tcPr>
            <w:tcW w:w="575" w:type="dxa"/>
          </w:tcPr>
          <w:p w14:paraId="5FE0EA3C" w14:textId="3E6DDF90"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4%</w:t>
            </w:r>
          </w:p>
        </w:tc>
        <w:tc>
          <w:tcPr>
            <w:tcW w:w="871" w:type="dxa"/>
          </w:tcPr>
          <w:p w14:paraId="5286E147" w14:textId="21CC98AA" w:rsidR="009A1DC0" w:rsidRPr="009A1DC0" w:rsidRDefault="00745ACC"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3</w:t>
            </w:r>
            <w:r w:rsidR="009A1DC0" w:rsidRPr="009A1DC0">
              <w:rPr>
                <w:sz w:val="18"/>
                <w:szCs w:val="18"/>
              </w:rPr>
              <w:t>%</w:t>
            </w:r>
          </w:p>
        </w:tc>
      </w:tr>
      <w:tr w:rsidR="009A1DC0" w:rsidRPr="00BA492F" w14:paraId="04C4488E" w14:textId="77777777" w:rsidTr="00690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3E9820C8" w14:textId="7920253B" w:rsidR="009A1DC0" w:rsidRPr="009A1DC0" w:rsidRDefault="009A1DC0" w:rsidP="009A1DC0">
            <w:pPr>
              <w:rPr>
                <w:sz w:val="18"/>
                <w:szCs w:val="18"/>
              </w:rPr>
            </w:pPr>
            <w:r w:rsidRPr="009A1DC0">
              <w:rPr>
                <w:sz w:val="18"/>
                <w:szCs w:val="18"/>
              </w:rPr>
              <w:t>C</w:t>
            </w:r>
          </w:p>
        </w:tc>
        <w:tc>
          <w:tcPr>
            <w:tcW w:w="1004" w:type="dxa"/>
          </w:tcPr>
          <w:p w14:paraId="6D2E6501" w14:textId="4319029E"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50%</w:t>
            </w:r>
          </w:p>
        </w:tc>
        <w:tc>
          <w:tcPr>
            <w:tcW w:w="885" w:type="dxa"/>
          </w:tcPr>
          <w:p w14:paraId="27E5DB17" w14:textId="62F7E4F7"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48%</w:t>
            </w:r>
          </w:p>
        </w:tc>
        <w:tc>
          <w:tcPr>
            <w:tcW w:w="843" w:type="dxa"/>
          </w:tcPr>
          <w:p w14:paraId="3812C16C" w14:textId="2E8DFFBE"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48%</w:t>
            </w:r>
          </w:p>
        </w:tc>
        <w:tc>
          <w:tcPr>
            <w:tcW w:w="800" w:type="dxa"/>
          </w:tcPr>
          <w:p w14:paraId="42930B53" w14:textId="5322E02A"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49%</w:t>
            </w:r>
          </w:p>
        </w:tc>
        <w:tc>
          <w:tcPr>
            <w:tcW w:w="791" w:type="dxa"/>
          </w:tcPr>
          <w:p w14:paraId="1E2646BF" w14:textId="07FA6FD1"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41%</w:t>
            </w:r>
          </w:p>
        </w:tc>
        <w:tc>
          <w:tcPr>
            <w:tcW w:w="782" w:type="dxa"/>
          </w:tcPr>
          <w:p w14:paraId="3D74CDD3" w14:textId="66EC0B66"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51%</w:t>
            </w:r>
          </w:p>
        </w:tc>
        <w:tc>
          <w:tcPr>
            <w:tcW w:w="720" w:type="dxa"/>
          </w:tcPr>
          <w:p w14:paraId="4508F995" w14:textId="1A3C2094"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4</w:t>
            </w:r>
            <w:r w:rsidR="00810014">
              <w:rPr>
                <w:sz w:val="18"/>
                <w:szCs w:val="18"/>
              </w:rPr>
              <w:t>1</w:t>
            </w:r>
            <w:r w:rsidRPr="009A1DC0">
              <w:rPr>
                <w:sz w:val="18"/>
                <w:szCs w:val="18"/>
              </w:rPr>
              <w:t>%</w:t>
            </w:r>
          </w:p>
        </w:tc>
        <w:tc>
          <w:tcPr>
            <w:tcW w:w="575" w:type="dxa"/>
          </w:tcPr>
          <w:p w14:paraId="045BB27B" w14:textId="5C569532"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55%</w:t>
            </w:r>
          </w:p>
        </w:tc>
        <w:tc>
          <w:tcPr>
            <w:tcW w:w="575" w:type="dxa"/>
          </w:tcPr>
          <w:p w14:paraId="4CDADAFF" w14:textId="3C240F22"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50%</w:t>
            </w:r>
          </w:p>
        </w:tc>
        <w:tc>
          <w:tcPr>
            <w:tcW w:w="575" w:type="dxa"/>
          </w:tcPr>
          <w:p w14:paraId="031038F7" w14:textId="14BEA321"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45%</w:t>
            </w:r>
          </w:p>
        </w:tc>
        <w:tc>
          <w:tcPr>
            <w:tcW w:w="871" w:type="dxa"/>
          </w:tcPr>
          <w:p w14:paraId="2066046B" w14:textId="25460961"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50%</w:t>
            </w:r>
          </w:p>
        </w:tc>
      </w:tr>
      <w:tr w:rsidR="009A1DC0" w:rsidRPr="00BA492F" w14:paraId="0C84541D" w14:textId="77777777" w:rsidTr="00690075">
        <w:tc>
          <w:tcPr>
            <w:cnfStyle w:val="001000000000" w:firstRow="0" w:lastRow="0" w:firstColumn="1" w:lastColumn="0" w:oddVBand="0" w:evenVBand="0" w:oddHBand="0" w:evenHBand="0" w:firstRowFirstColumn="0" w:firstRowLastColumn="0" w:lastRowFirstColumn="0" w:lastRowLastColumn="0"/>
            <w:tcW w:w="1266" w:type="dxa"/>
          </w:tcPr>
          <w:p w14:paraId="5097EE54" w14:textId="61414ABB" w:rsidR="009A1DC0" w:rsidRPr="009A1DC0" w:rsidRDefault="009A1DC0" w:rsidP="009A1DC0">
            <w:pPr>
              <w:rPr>
                <w:sz w:val="18"/>
                <w:szCs w:val="18"/>
              </w:rPr>
            </w:pPr>
            <w:r w:rsidRPr="009A1DC0">
              <w:rPr>
                <w:sz w:val="18"/>
                <w:szCs w:val="18"/>
              </w:rPr>
              <w:t>H</w:t>
            </w:r>
          </w:p>
        </w:tc>
        <w:tc>
          <w:tcPr>
            <w:tcW w:w="1004" w:type="dxa"/>
          </w:tcPr>
          <w:p w14:paraId="6F9EDF89" w14:textId="04372D38"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6%</w:t>
            </w:r>
          </w:p>
        </w:tc>
        <w:tc>
          <w:tcPr>
            <w:tcW w:w="885" w:type="dxa"/>
          </w:tcPr>
          <w:p w14:paraId="3CF26E80" w14:textId="39DE1EDD"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6%</w:t>
            </w:r>
          </w:p>
        </w:tc>
        <w:tc>
          <w:tcPr>
            <w:tcW w:w="843" w:type="dxa"/>
          </w:tcPr>
          <w:p w14:paraId="3B85F559" w14:textId="3CF7E9A9"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6%</w:t>
            </w:r>
          </w:p>
        </w:tc>
        <w:tc>
          <w:tcPr>
            <w:tcW w:w="800" w:type="dxa"/>
          </w:tcPr>
          <w:p w14:paraId="1D2230CD" w14:textId="70A64656"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5%</w:t>
            </w:r>
          </w:p>
        </w:tc>
        <w:tc>
          <w:tcPr>
            <w:tcW w:w="791" w:type="dxa"/>
          </w:tcPr>
          <w:p w14:paraId="43B6D74E" w14:textId="7C2FB04B"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6%</w:t>
            </w:r>
          </w:p>
        </w:tc>
        <w:tc>
          <w:tcPr>
            <w:tcW w:w="782" w:type="dxa"/>
          </w:tcPr>
          <w:p w14:paraId="586E92F7" w14:textId="6FD91F02" w:rsidR="009A1DC0" w:rsidRPr="009A1DC0" w:rsidRDefault="00810014"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w:t>
            </w:r>
            <w:r w:rsidR="009A1DC0" w:rsidRPr="009A1DC0">
              <w:rPr>
                <w:sz w:val="18"/>
                <w:szCs w:val="18"/>
              </w:rPr>
              <w:t>%</w:t>
            </w:r>
          </w:p>
        </w:tc>
        <w:tc>
          <w:tcPr>
            <w:tcW w:w="720" w:type="dxa"/>
          </w:tcPr>
          <w:p w14:paraId="25090073" w14:textId="2205DE71" w:rsidR="009A1DC0" w:rsidRPr="009A1DC0" w:rsidRDefault="00810014"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w:t>
            </w:r>
            <w:r w:rsidR="009A1DC0" w:rsidRPr="009A1DC0">
              <w:rPr>
                <w:sz w:val="18"/>
                <w:szCs w:val="18"/>
              </w:rPr>
              <w:t>%</w:t>
            </w:r>
          </w:p>
        </w:tc>
        <w:tc>
          <w:tcPr>
            <w:tcW w:w="575" w:type="dxa"/>
          </w:tcPr>
          <w:p w14:paraId="6562F2C6" w14:textId="0F209A28"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7%</w:t>
            </w:r>
          </w:p>
        </w:tc>
        <w:tc>
          <w:tcPr>
            <w:tcW w:w="575" w:type="dxa"/>
          </w:tcPr>
          <w:p w14:paraId="20087C36" w14:textId="49D9ED5F" w:rsidR="009A1DC0" w:rsidRPr="009A1DC0" w:rsidRDefault="00810014"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w:t>
            </w:r>
            <w:r w:rsidR="009A1DC0" w:rsidRPr="009A1DC0">
              <w:rPr>
                <w:sz w:val="18"/>
                <w:szCs w:val="18"/>
              </w:rPr>
              <w:t>%</w:t>
            </w:r>
          </w:p>
        </w:tc>
        <w:tc>
          <w:tcPr>
            <w:tcW w:w="575" w:type="dxa"/>
          </w:tcPr>
          <w:p w14:paraId="0091D4C6" w14:textId="3527261A"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6%</w:t>
            </w:r>
          </w:p>
        </w:tc>
        <w:tc>
          <w:tcPr>
            <w:tcW w:w="871" w:type="dxa"/>
          </w:tcPr>
          <w:p w14:paraId="759C6966" w14:textId="7E5A13B1" w:rsidR="009A1DC0" w:rsidRPr="009A1DC0" w:rsidRDefault="00745ACC"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7</w:t>
            </w:r>
            <w:r w:rsidR="009A1DC0" w:rsidRPr="009A1DC0">
              <w:rPr>
                <w:sz w:val="18"/>
                <w:szCs w:val="18"/>
              </w:rPr>
              <w:t>%</w:t>
            </w:r>
          </w:p>
        </w:tc>
      </w:tr>
      <w:tr w:rsidR="009A1DC0" w:rsidRPr="00BA492F" w14:paraId="7BB7C347" w14:textId="77777777" w:rsidTr="00690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7485D38D" w14:textId="20DCE358" w:rsidR="009A1DC0" w:rsidRPr="009A1DC0" w:rsidRDefault="009A1DC0" w:rsidP="009A1DC0">
            <w:pPr>
              <w:rPr>
                <w:sz w:val="18"/>
                <w:szCs w:val="18"/>
              </w:rPr>
            </w:pPr>
            <w:r w:rsidRPr="009A1DC0">
              <w:rPr>
                <w:sz w:val="18"/>
                <w:szCs w:val="18"/>
              </w:rPr>
              <w:t>N</w:t>
            </w:r>
          </w:p>
        </w:tc>
        <w:tc>
          <w:tcPr>
            <w:tcW w:w="1004" w:type="dxa"/>
          </w:tcPr>
          <w:p w14:paraId="4D11B518" w14:textId="67B8BE51"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0.3%</w:t>
            </w:r>
          </w:p>
        </w:tc>
        <w:tc>
          <w:tcPr>
            <w:tcW w:w="885" w:type="dxa"/>
          </w:tcPr>
          <w:p w14:paraId="3B5D30B6" w14:textId="196B56F5"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843" w:type="dxa"/>
          </w:tcPr>
          <w:p w14:paraId="01228B8A" w14:textId="2F8E0DE9"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0.6%</w:t>
            </w:r>
          </w:p>
        </w:tc>
        <w:tc>
          <w:tcPr>
            <w:tcW w:w="800" w:type="dxa"/>
          </w:tcPr>
          <w:p w14:paraId="254FE34F" w14:textId="77B87670"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2.7%</w:t>
            </w:r>
          </w:p>
        </w:tc>
        <w:tc>
          <w:tcPr>
            <w:tcW w:w="791" w:type="dxa"/>
          </w:tcPr>
          <w:p w14:paraId="04D00DB1" w14:textId="2318FF06"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6</w:t>
            </w:r>
            <w:r w:rsidR="00810014">
              <w:rPr>
                <w:sz w:val="18"/>
                <w:szCs w:val="18"/>
              </w:rPr>
              <w:t>.3</w:t>
            </w:r>
            <w:r w:rsidRPr="009A1DC0">
              <w:rPr>
                <w:sz w:val="18"/>
                <w:szCs w:val="18"/>
              </w:rPr>
              <w:t>%</w:t>
            </w:r>
          </w:p>
        </w:tc>
        <w:tc>
          <w:tcPr>
            <w:tcW w:w="782" w:type="dxa"/>
          </w:tcPr>
          <w:p w14:paraId="3CAA02ED" w14:textId="17FCBD83"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2.0%</w:t>
            </w:r>
          </w:p>
        </w:tc>
        <w:tc>
          <w:tcPr>
            <w:tcW w:w="720" w:type="dxa"/>
          </w:tcPr>
          <w:p w14:paraId="613F0218" w14:textId="6A6DE17F"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2</w:t>
            </w:r>
            <w:r w:rsidR="00810014">
              <w:rPr>
                <w:sz w:val="18"/>
                <w:szCs w:val="18"/>
              </w:rPr>
              <w:t>.3</w:t>
            </w:r>
            <w:r w:rsidRPr="009A1DC0">
              <w:rPr>
                <w:sz w:val="18"/>
                <w:szCs w:val="18"/>
              </w:rPr>
              <w:t>%</w:t>
            </w:r>
          </w:p>
        </w:tc>
        <w:tc>
          <w:tcPr>
            <w:tcW w:w="575" w:type="dxa"/>
          </w:tcPr>
          <w:p w14:paraId="49403985" w14:textId="36E3701E"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8.5%</w:t>
            </w:r>
          </w:p>
        </w:tc>
        <w:tc>
          <w:tcPr>
            <w:tcW w:w="575" w:type="dxa"/>
          </w:tcPr>
          <w:p w14:paraId="3FEB853F" w14:textId="4E51097C"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3.8%</w:t>
            </w:r>
          </w:p>
        </w:tc>
        <w:tc>
          <w:tcPr>
            <w:tcW w:w="575" w:type="dxa"/>
          </w:tcPr>
          <w:p w14:paraId="4963AB3C" w14:textId="2CFDA31D"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w:t>
            </w:r>
            <w:r w:rsidR="00745ACC">
              <w:rPr>
                <w:sz w:val="18"/>
                <w:szCs w:val="18"/>
              </w:rPr>
              <w:t>.1</w:t>
            </w:r>
            <w:r w:rsidRPr="009A1DC0">
              <w:rPr>
                <w:sz w:val="18"/>
                <w:szCs w:val="18"/>
              </w:rPr>
              <w:t>%</w:t>
            </w:r>
          </w:p>
        </w:tc>
        <w:tc>
          <w:tcPr>
            <w:tcW w:w="871" w:type="dxa"/>
          </w:tcPr>
          <w:p w14:paraId="0FAD057A" w14:textId="406D0F63" w:rsidR="009A1DC0" w:rsidRPr="009A1DC0" w:rsidRDefault="00745ACC" w:rsidP="009A1DC0">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w:t>
            </w:r>
            <w:r w:rsidR="009A1DC0" w:rsidRPr="009A1DC0">
              <w:rPr>
                <w:sz w:val="18"/>
                <w:szCs w:val="18"/>
              </w:rPr>
              <w:t>%</w:t>
            </w:r>
          </w:p>
        </w:tc>
      </w:tr>
      <w:tr w:rsidR="009A1DC0" w:rsidRPr="00BA492F" w14:paraId="122E69B2" w14:textId="77777777" w:rsidTr="00690075">
        <w:tc>
          <w:tcPr>
            <w:cnfStyle w:val="001000000000" w:firstRow="0" w:lastRow="0" w:firstColumn="1" w:lastColumn="0" w:oddVBand="0" w:evenVBand="0" w:oddHBand="0" w:evenHBand="0" w:firstRowFirstColumn="0" w:firstRowLastColumn="0" w:lastRowFirstColumn="0" w:lastRowLastColumn="0"/>
            <w:tcW w:w="1266" w:type="dxa"/>
          </w:tcPr>
          <w:p w14:paraId="38AC1189" w14:textId="550A60AA" w:rsidR="009A1DC0" w:rsidRPr="009A1DC0" w:rsidRDefault="009A1DC0" w:rsidP="009A1DC0">
            <w:pPr>
              <w:rPr>
                <w:sz w:val="18"/>
                <w:szCs w:val="18"/>
              </w:rPr>
            </w:pPr>
            <w:r w:rsidRPr="009A1DC0">
              <w:rPr>
                <w:sz w:val="18"/>
                <w:szCs w:val="18"/>
              </w:rPr>
              <w:t>O</w:t>
            </w:r>
          </w:p>
        </w:tc>
        <w:tc>
          <w:tcPr>
            <w:tcW w:w="1004" w:type="dxa"/>
          </w:tcPr>
          <w:p w14:paraId="3C29805F" w14:textId="0318D7B3"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41%</w:t>
            </w:r>
          </w:p>
        </w:tc>
        <w:tc>
          <w:tcPr>
            <w:tcW w:w="885" w:type="dxa"/>
          </w:tcPr>
          <w:p w14:paraId="1F2EA0EB" w14:textId="08DAA6BD"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41%</w:t>
            </w:r>
          </w:p>
        </w:tc>
        <w:tc>
          <w:tcPr>
            <w:tcW w:w="843" w:type="dxa"/>
          </w:tcPr>
          <w:p w14:paraId="5AE01A22" w14:textId="2C6FF379"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3</w:t>
            </w:r>
            <w:r w:rsidR="007F1F03">
              <w:rPr>
                <w:sz w:val="18"/>
                <w:szCs w:val="18"/>
              </w:rPr>
              <w:t>9</w:t>
            </w:r>
            <w:r w:rsidRPr="009A1DC0">
              <w:rPr>
                <w:sz w:val="18"/>
                <w:szCs w:val="18"/>
              </w:rPr>
              <w:t>%</w:t>
            </w:r>
          </w:p>
        </w:tc>
        <w:tc>
          <w:tcPr>
            <w:tcW w:w="800" w:type="dxa"/>
          </w:tcPr>
          <w:p w14:paraId="62575E1F" w14:textId="34F487E4"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32%</w:t>
            </w:r>
          </w:p>
        </w:tc>
        <w:tc>
          <w:tcPr>
            <w:tcW w:w="791" w:type="dxa"/>
          </w:tcPr>
          <w:p w14:paraId="4CC2A7F3" w14:textId="3CA9FCFF"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w:t>
            </w:r>
            <w:r w:rsidR="007F1F03">
              <w:rPr>
                <w:sz w:val="18"/>
                <w:szCs w:val="18"/>
              </w:rPr>
              <w:t>7</w:t>
            </w:r>
            <w:r w:rsidRPr="009A1DC0">
              <w:rPr>
                <w:sz w:val="18"/>
                <w:szCs w:val="18"/>
              </w:rPr>
              <w:t>%</w:t>
            </w:r>
          </w:p>
        </w:tc>
        <w:tc>
          <w:tcPr>
            <w:tcW w:w="782" w:type="dxa"/>
          </w:tcPr>
          <w:p w14:paraId="62B1E333" w14:textId="1F0593A3"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w:t>
            </w:r>
            <w:r w:rsidR="00810014">
              <w:rPr>
                <w:sz w:val="18"/>
                <w:szCs w:val="18"/>
              </w:rPr>
              <w:t>6</w:t>
            </w:r>
            <w:r w:rsidRPr="009A1DC0">
              <w:rPr>
                <w:sz w:val="18"/>
                <w:szCs w:val="18"/>
              </w:rPr>
              <w:t>%</w:t>
            </w:r>
          </w:p>
        </w:tc>
        <w:tc>
          <w:tcPr>
            <w:tcW w:w="720" w:type="dxa"/>
          </w:tcPr>
          <w:p w14:paraId="5D661822" w14:textId="44CE1219"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38%</w:t>
            </w:r>
          </w:p>
        </w:tc>
        <w:tc>
          <w:tcPr>
            <w:tcW w:w="575" w:type="dxa"/>
          </w:tcPr>
          <w:p w14:paraId="30B8ACD0" w14:textId="2190CD6D"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w:t>
            </w:r>
            <w:r w:rsidR="00810014">
              <w:rPr>
                <w:sz w:val="18"/>
                <w:szCs w:val="18"/>
              </w:rPr>
              <w:t>8</w:t>
            </w:r>
            <w:r w:rsidRPr="009A1DC0">
              <w:rPr>
                <w:sz w:val="18"/>
                <w:szCs w:val="18"/>
              </w:rPr>
              <w:t>%</w:t>
            </w:r>
          </w:p>
        </w:tc>
        <w:tc>
          <w:tcPr>
            <w:tcW w:w="575" w:type="dxa"/>
          </w:tcPr>
          <w:p w14:paraId="37CA86F2" w14:textId="2F010212"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34%</w:t>
            </w:r>
          </w:p>
        </w:tc>
        <w:tc>
          <w:tcPr>
            <w:tcW w:w="575" w:type="dxa"/>
          </w:tcPr>
          <w:p w14:paraId="6FA7D484" w14:textId="7C5162C4"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4</w:t>
            </w:r>
            <w:r w:rsidR="00745ACC">
              <w:rPr>
                <w:sz w:val="18"/>
                <w:szCs w:val="18"/>
              </w:rPr>
              <w:t>6</w:t>
            </w:r>
            <w:r w:rsidRPr="009A1DC0">
              <w:rPr>
                <w:sz w:val="18"/>
                <w:szCs w:val="18"/>
              </w:rPr>
              <w:t>%</w:t>
            </w:r>
          </w:p>
        </w:tc>
        <w:tc>
          <w:tcPr>
            <w:tcW w:w="871" w:type="dxa"/>
          </w:tcPr>
          <w:p w14:paraId="1490CDA8" w14:textId="5D12D18C"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35%</w:t>
            </w:r>
          </w:p>
        </w:tc>
      </w:tr>
      <w:tr w:rsidR="009A1DC0" w:rsidRPr="00BA492F" w14:paraId="25CB408B" w14:textId="77777777" w:rsidTr="00690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2D872DDD" w14:textId="0A2B2E5B" w:rsidR="009A1DC0" w:rsidRPr="009A1DC0" w:rsidRDefault="009A1DC0" w:rsidP="009A1DC0">
            <w:pPr>
              <w:rPr>
                <w:sz w:val="18"/>
                <w:szCs w:val="18"/>
              </w:rPr>
            </w:pPr>
            <w:r w:rsidRPr="009A1DC0">
              <w:rPr>
                <w:sz w:val="18"/>
                <w:szCs w:val="18"/>
              </w:rPr>
              <w:t>S</w:t>
            </w:r>
          </w:p>
        </w:tc>
        <w:tc>
          <w:tcPr>
            <w:tcW w:w="1004" w:type="dxa"/>
          </w:tcPr>
          <w:p w14:paraId="35F75326" w14:textId="3DAFAEFA"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0.1%</w:t>
            </w:r>
          </w:p>
        </w:tc>
        <w:tc>
          <w:tcPr>
            <w:tcW w:w="885" w:type="dxa"/>
          </w:tcPr>
          <w:p w14:paraId="6C3DA6CD" w14:textId="4BB2A1E5"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843" w:type="dxa"/>
          </w:tcPr>
          <w:p w14:paraId="14350A0D" w14:textId="7812C310"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0.1%</w:t>
            </w:r>
          </w:p>
        </w:tc>
        <w:tc>
          <w:tcPr>
            <w:tcW w:w="800" w:type="dxa"/>
          </w:tcPr>
          <w:p w14:paraId="51CF46B3" w14:textId="02D237C6"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0.2%</w:t>
            </w:r>
          </w:p>
        </w:tc>
        <w:tc>
          <w:tcPr>
            <w:tcW w:w="791" w:type="dxa"/>
          </w:tcPr>
          <w:p w14:paraId="17D820CA" w14:textId="340AB774"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r w:rsidR="007F1F03">
              <w:rPr>
                <w:sz w:val="18"/>
                <w:szCs w:val="18"/>
              </w:rPr>
              <w:t>9</w:t>
            </w:r>
            <w:r w:rsidRPr="009A1DC0">
              <w:rPr>
                <w:sz w:val="18"/>
                <w:szCs w:val="18"/>
              </w:rPr>
              <w:t>%</w:t>
            </w:r>
          </w:p>
        </w:tc>
        <w:tc>
          <w:tcPr>
            <w:tcW w:w="782" w:type="dxa"/>
          </w:tcPr>
          <w:p w14:paraId="596E9E1A" w14:textId="36B0548B"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0.2%</w:t>
            </w:r>
          </w:p>
        </w:tc>
        <w:tc>
          <w:tcPr>
            <w:tcW w:w="720" w:type="dxa"/>
          </w:tcPr>
          <w:p w14:paraId="03B4388B" w14:textId="25A81F61"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0.2%</w:t>
            </w:r>
          </w:p>
        </w:tc>
        <w:tc>
          <w:tcPr>
            <w:tcW w:w="575" w:type="dxa"/>
          </w:tcPr>
          <w:p w14:paraId="33E9F1F5" w14:textId="3DC89FA2"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0.5%</w:t>
            </w:r>
          </w:p>
        </w:tc>
        <w:tc>
          <w:tcPr>
            <w:tcW w:w="575" w:type="dxa"/>
          </w:tcPr>
          <w:p w14:paraId="30F40618" w14:textId="3D8922AF"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575" w:type="dxa"/>
          </w:tcPr>
          <w:p w14:paraId="1C9A8224" w14:textId="3C4023FB"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0.1%</w:t>
            </w:r>
          </w:p>
        </w:tc>
        <w:tc>
          <w:tcPr>
            <w:tcW w:w="871" w:type="dxa"/>
          </w:tcPr>
          <w:p w14:paraId="6E7F5420" w14:textId="03B1288F"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0.9%</w:t>
            </w:r>
          </w:p>
        </w:tc>
      </w:tr>
      <w:tr w:rsidR="009A1DC0" w:rsidRPr="00BA492F" w14:paraId="218EF0FD" w14:textId="77777777" w:rsidTr="00690075">
        <w:tc>
          <w:tcPr>
            <w:cnfStyle w:val="001000000000" w:firstRow="0" w:lastRow="0" w:firstColumn="1" w:lastColumn="0" w:oddVBand="0" w:evenVBand="0" w:oddHBand="0" w:evenHBand="0" w:firstRowFirstColumn="0" w:firstRowLastColumn="0" w:lastRowFirstColumn="0" w:lastRowLastColumn="0"/>
            <w:tcW w:w="1266" w:type="dxa"/>
          </w:tcPr>
          <w:p w14:paraId="42D5DE00" w14:textId="38BC68DE" w:rsidR="009A1DC0" w:rsidRPr="009A1DC0" w:rsidRDefault="009A1DC0" w:rsidP="009A1DC0">
            <w:pPr>
              <w:rPr>
                <w:sz w:val="18"/>
                <w:szCs w:val="18"/>
              </w:rPr>
            </w:pPr>
            <w:r w:rsidRPr="009A1DC0">
              <w:rPr>
                <w:sz w:val="18"/>
                <w:szCs w:val="18"/>
              </w:rPr>
              <w:t>P</w:t>
            </w:r>
          </w:p>
        </w:tc>
        <w:tc>
          <w:tcPr>
            <w:tcW w:w="1004" w:type="dxa"/>
          </w:tcPr>
          <w:p w14:paraId="21B28ADB" w14:textId="48D1FE9A"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0.1%</w:t>
            </w:r>
          </w:p>
        </w:tc>
        <w:tc>
          <w:tcPr>
            <w:tcW w:w="885" w:type="dxa"/>
          </w:tcPr>
          <w:p w14:paraId="5985B9C4" w14:textId="688B0547"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w:t>
            </w:r>
          </w:p>
        </w:tc>
        <w:tc>
          <w:tcPr>
            <w:tcW w:w="843" w:type="dxa"/>
          </w:tcPr>
          <w:p w14:paraId="7A34759B" w14:textId="3E6D974B"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0.1%</w:t>
            </w:r>
          </w:p>
        </w:tc>
        <w:tc>
          <w:tcPr>
            <w:tcW w:w="800" w:type="dxa"/>
          </w:tcPr>
          <w:p w14:paraId="4990C09B" w14:textId="0D51EB92"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0.6%</w:t>
            </w:r>
          </w:p>
        </w:tc>
        <w:tc>
          <w:tcPr>
            <w:tcW w:w="791" w:type="dxa"/>
          </w:tcPr>
          <w:p w14:paraId="5139D98B" w14:textId="1AC6F2EB"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2.6%</w:t>
            </w:r>
          </w:p>
        </w:tc>
        <w:tc>
          <w:tcPr>
            <w:tcW w:w="782" w:type="dxa"/>
          </w:tcPr>
          <w:p w14:paraId="335B7E2B" w14:textId="5D61E1A8"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0.3%</w:t>
            </w:r>
          </w:p>
        </w:tc>
        <w:tc>
          <w:tcPr>
            <w:tcW w:w="720" w:type="dxa"/>
          </w:tcPr>
          <w:p w14:paraId="5803F4D6" w14:textId="0F1AE464"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0.2%</w:t>
            </w:r>
          </w:p>
        </w:tc>
        <w:tc>
          <w:tcPr>
            <w:tcW w:w="575" w:type="dxa"/>
          </w:tcPr>
          <w:p w14:paraId="2AD49EF1" w14:textId="15B89B8F"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0.3%</w:t>
            </w:r>
          </w:p>
        </w:tc>
        <w:tc>
          <w:tcPr>
            <w:tcW w:w="575" w:type="dxa"/>
          </w:tcPr>
          <w:p w14:paraId="39E25E4A" w14:textId="66347E82"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0.8%</w:t>
            </w:r>
          </w:p>
        </w:tc>
        <w:tc>
          <w:tcPr>
            <w:tcW w:w="575" w:type="dxa"/>
          </w:tcPr>
          <w:p w14:paraId="3C481573" w14:textId="06E63EF6"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0.2%</w:t>
            </w:r>
          </w:p>
        </w:tc>
        <w:tc>
          <w:tcPr>
            <w:tcW w:w="871" w:type="dxa"/>
          </w:tcPr>
          <w:p w14:paraId="346BAB14" w14:textId="4A0A0EE6"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0.4%</w:t>
            </w:r>
          </w:p>
        </w:tc>
      </w:tr>
      <w:tr w:rsidR="009A1DC0" w:rsidRPr="00BA492F" w14:paraId="77CEAAA9" w14:textId="77777777" w:rsidTr="00690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227FF263" w14:textId="2F0FCDC3" w:rsidR="009A1DC0" w:rsidRPr="009A1DC0" w:rsidRDefault="009A1DC0" w:rsidP="009A1DC0">
            <w:pPr>
              <w:rPr>
                <w:sz w:val="18"/>
                <w:szCs w:val="18"/>
              </w:rPr>
            </w:pPr>
            <w:r w:rsidRPr="009A1DC0">
              <w:rPr>
                <w:sz w:val="18"/>
                <w:szCs w:val="18"/>
              </w:rPr>
              <w:t>K</w:t>
            </w:r>
          </w:p>
        </w:tc>
        <w:tc>
          <w:tcPr>
            <w:tcW w:w="1004" w:type="dxa"/>
          </w:tcPr>
          <w:p w14:paraId="218287C0" w14:textId="1F69400A"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0.7%</w:t>
            </w:r>
          </w:p>
        </w:tc>
        <w:tc>
          <w:tcPr>
            <w:tcW w:w="885" w:type="dxa"/>
          </w:tcPr>
          <w:p w14:paraId="279E84AD" w14:textId="1B067949"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0.1%</w:t>
            </w:r>
          </w:p>
        </w:tc>
        <w:tc>
          <w:tcPr>
            <w:tcW w:w="843" w:type="dxa"/>
          </w:tcPr>
          <w:p w14:paraId="0754B5F8" w14:textId="7EEA7BD8"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1.1%</w:t>
            </w:r>
          </w:p>
        </w:tc>
        <w:tc>
          <w:tcPr>
            <w:tcW w:w="800" w:type="dxa"/>
          </w:tcPr>
          <w:p w14:paraId="57D5ABC1" w14:textId="049E1C10"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3.7%</w:t>
            </w:r>
          </w:p>
        </w:tc>
        <w:tc>
          <w:tcPr>
            <w:tcW w:w="791" w:type="dxa"/>
          </w:tcPr>
          <w:p w14:paraId="3B2B01F3" w14:textId="40A73867"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0.9%</w:t>
            </w:r>
          </w:p>
        </w:tc>
        <w:tc>
          <w:tcPr>
            <w:tcW w:w="782" w:type="dxa"/>
          </w:tcPr>
          <w:p w14:paraId="7BF6A443" w14:textId="6A2B8FCC"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0.7%</w:t>
            </w:r>
          </w:p>
        </w:tc>
        <w:tc>
          <w:tcPr>
            <w:tcW w:w="720" w:type="dxa"/>
          </w:tcPr>
          <w:p w14:paraId="40088824" w14:textId="243870C9"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4.8%</w:t>
            </w:r>
          </w:p>
        </w:tc>
        <w:tc>
          <w:tcPr>
            <w:tcW w:w="575" w:type="dxa"/>
          </w:tcPr>
          <w:p w14:paraId="225B92D7" w14:textId="244B832C"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0.6%</w:t>
            </w:r>
          </w:p>
        </w:tc>
        <w:tc>
          <w:tcPr>
            <w:tcW w:w="575" w:type="dxa"/>
          </w:tcPr>
          <w:p w14:paraId="2E1CF9B4" w14:textId="7FF3F2A4"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1.0%</w:t>
            </w:r>
          </w:p>
        </w:tc>
        <w:tc>
          <w:tcPr>
            <w:tcW w:w="575" w:type="dxa"/>
          </w:tcPr>
          <w:p w14:paraId="28A43FB1" w14:textId="4CB07E9B"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1.2%</w:t>
            </w:r>
          </w:p>
        </w:tc>
        <w:tc>
          <w:tcPr>
            <w:tcW w:w="871" w:type="dxa"/>
          </w:tcPr>
          <w:p w14:paraId="402C1FD9" w14:textId="29F5D20F" w:rsidR="009A1DC0" w:rsidRPr="009A1DC0" w:rsidRDefault="009A1DC0" w:rsidP="009A1DC0">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1.1%</w:t>
            </w:r>
          </w:p>
        </w:tc>
      </w:tr>
      <w:tr w:rsidR="009A1DC0" w:rsidRPr="00BA492F" w14:paraId="103B3853" w14:textId="77777777" w:rsidTr="00690075">
        <w:tc>
          <w:tcPr>
            <w:cnfStyle w:val="001000000000" w:firstRow="0" w:lastRow="0" w:firstColumn="1" w:lastColumn="0" w:oddVBand="0" w:evenVBand="0" w:oddHBand="0" w:evenHBand="0" w:firstRowFirstColumn="0" w:firstRowLastColumn="0" w:lastRowFirstColumn="0" w:lastRowLastColumn="0"/>
            <w:tcW w:w="1266" w:type="dxa"/>
          </w:tcPr>
          <w:p w14:paraId="6AB313E3" w14:textId="2330A777" w:rsidR="009A1DC0" w:rsidRPr="009A1DC0" w:rsidRDefault="009A1DC0" w:rsidP="009A1DC0">
            <w:pPr>
              <w:rPr>
                <w:sz w:val="18"/>
                <w:szCs w:val="18"/>
              </w:rPr>
            </w:pPr>
            <w:r w:rsidRPr="009A1DC0">
              <w:rPr>
                <w:sz w:val="18"/>
                <w:szCs w:val="18"/>
              </w:rPr>
              <w:t>Rest</w:t>
            </w:r>
          </w:p>
        </w:tc>
        <w:tc>
          <w:tcPr>
            <w:tcW w:w="1004" w:type="dxa"/>
          </w:tcPr>
          <w:p w14:paraId="730EC9A6" w14:textId="19FD669C"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1.8%</w:t>
            </w:r>
          </w:p>
        </w:tc>
        <w:tc>
          <w:tcPr>
            <w:tcW w:w="885" w:type="dxa"/>
          </w:tcPr>
          <w:p w14:paraId="195ACB82" w14:textId="1D13227C"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4.9</w:t>
            </w:r>
            <w:r w:rsidRPr="009A1DC0">
              <w:rPr>
                <w:sz w:val="18"/>
                <w:szCs w:val="18"/>
              </w:rPr>
              <w:t>%</w:t>
            </w:r>
          </w:p>
        </w:tc>
        <w:tc>
          <w:tcPr>
            <w:tcW w:w="843" w:type="dxa"/>
          </w:tcPr>
          <w:p w14:paraId="4B3E0AC6" w14:textId="65298738"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5.</w:t>
            </w:r>
            <w:r w:rsidR="007F1F03">
              <w:rPr>
                <w:sz w:val="18"/>
                <w:szCs w:val="18"/>
              </w:rPr>
              <w:t>1</w:t>
            </w:r>
            <w:r w:rsidRPr="009A1DC0">
              <w:rPr>
                <w:sz w:val="18"/>
                <w:szCs w:val="18"/>
              </w:rPr>
              <w:t>%</w:t>
            </w:r>
          </w:p>
        </w:tc>
        <w:tc>
          <w:tcPr>
            <w:tcW w:w="800" w:type="dxa"/>
          </w:tcPr>
          <w:p w14:paraId="263031E3" w14:textId="4B47FB9C"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6.</w:t>
            </w:r>
            <w:r w:rsidR="007F1F03">
              <w:rPr>
                <w:sz w:val="18"/>
                <w:szCs w:val="18"/>
              </w:rPr>
              <w:t>8</w:t>
            </w:r>
            <w:r w:rsidRPr="009A1DC0">
              <w:rPr>
                <w:sz w:val="18"/>
                <w:szCs w:val="18"/>
              </w:rPr>
              <w:t>%</w:t>
            </w:r>
          </w:p>
        </w:tc>
        <w:tc>
          <w:tcPr>
            <w:tcW w:w="791" w:type="dxa"/>
          </w:tcPr>
          <w:p w14:paraId="21F690C8" w14:textId="39FFF010"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15.</w:t>
            </w:r>
            <w:r w:rsidR="00810014">
              <w:rPr>
                <w:sz w:val="18"/>
                <w:szCs w:val="18"/>
              </w:rPr>
              <w:t>3</w:t>
            </w:r>
            <w:r w:rsidRPr="009A1DC0">
              <w:rPr>
                <w:sz w:val="18"/>
                <w:szCs w:val="18"/>
              </w:rPr>
              <w:t>%</w:t>
            </w:r>
          </w:p>
        </w:tc>
        <w:tc>
          <w:tcPr>
            <w:tcW w:w="782" w:type="dxa"/>
          </w:tcPr>
          <w:p w14:paraId="0B1D0ECB" w14:textId="47614416"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1</w:t>
            </w:r>
            <w:r w:rsidR="00810014">
              <w:rPr>
                <w:sz w:val="18"/>
                <w:szCs w:val="18"/>
              </w:rPr>
              <w:t>2</w:t>
            </w:r>
            <w:r w:rsidRPr="009A1DC0">
              <w:rPr>
                <w:sz w:val="18"/>
                <w:szCs w:val="18"/>
              </w:rPr>
              <w:t>.</w:t>
            </w:r>
            <w:r w:rsidR="00810014">
              <w:rPr>
                <w:sz w:val="18"/>
                <w:szCs w:val="18"/>
              </w:rPr>
              <w:t>8</w:t>
            </w:r>
            <w:r w:rsidRPr="009A1DC0">
              <w:rPr>
                <w:sz w:val="18"/>
                <w:szCs w:val="18"/>
              </w:rPr>
              <w:t>%</w:t>
            </w:r>
          </w:p>
        </w:tc>
        <w:tc>
          <w:tcPr>
            <w:tcW w:w="720" w:type="dxa"/>
          </w:tcPr>
          <w:p w14:paraId="74CD35D2" w14:textId="1961A4C9" w:rsidR="009A1DC0" w:rsidRPr="009A1DC0" w:rsidRDefault="00810014" w:rsidP="009A1DC0">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6.7</w:t>
            </w:r>
            <w:r w:rsidR="009A1DC0" w:rsidRPr="009A1DC0">
              <w:rPr>
                <w:sz w:val="18"/>
                <w:szCs w:val="18"/>
              </w:rPr>
              <w:t>%</w:t>
            </w:r>
          </w:p>
        </w:tc>
        <w:tc>
          <w:tcPr>
            <w:tcW w:w="575" w:type="dxa"/>
          </w:tcPr>
          <w:p w14:paraId="7F969C57" w14:textId="7A775380"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w:t>
            </w:r>
            <w:r w:rsidR="00810014">
              <w:rPr>
                <w:sz w:val="18"/>
                <w:szCs w:val="18"/>
              </w:rPr>
              <w:t>1</w:t>
            </w:r>
            <w:r w:rsidRPr="009A1DC0">
              <w:rPr>
                <w:sz w:val="18"/>
                <w:szCs w:val="18"/>
              </w:rPr>
              <w:t>%</w:t>
            </w:r>
          </w:p>
        </w:tc>
        <w:tc>
          <w:tcPr>
            <w:tcW w:w="575" w:type="dxa"/>
          </w:tcPr>
          <w:p w14:paraId="4FF8BAE7" w14:textId="31E64D2E"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3.</w:t>
            </w:r>
            <w:r w:rsidR="00810014">
              <w:rPr>
                <w:sz w:val="18"/>
                <w:szCs w:val="18"/>
              </w:rPr>
              <w:t>4</w:t>
            </w:r>
            <w:r w:rsidRPr="009A1DC0">
              <w:rPr>
                <w:sz w:val="18"/>
                <w:szCs w:val="18"/>
              </w:rPr>
              <w:t>%</w:t>
            </w:r>
          </w:p>
        </w:tc>
        <w:tc>
          <w:tcPr>
            <w:tcW w:w="575" w:type="dxa"/>
          </w:tcPr>
          <w:p w14:paraId="14270F28" w14:textId="32E33118"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0</w:t>
            </w:r>
            <w:r w:rsidR="00745ACC">
              <w:rPr>
                <w:sz w:val="18"/>
                <w:szCs w:val="18"/>
              </w:rPr>
              <w:t>.3</w:t>
            </w:r>
            <w:r w:rsidRPr="009A1DC0">
              <w:rPr>
                <w:sz w:val="18"/>
                <w:szCs w:val="18"/>
              </w:rPr>
              <w:t>%</w:t>
            </w:r>
          </w:p>
        </w:tc>
        <w:tc>
          <w:tcPr>
            <w:tcW w:w="871" w:type="dxa"/>
          </w:tcPr>
          <w:p w14:paraId="397D1FD6" w14:textId="647550C1" w:rsidR="009A1DC0" w:rsidRPr="009A1DC0" w:rsidRDefault="009A1DC0" w:rsidP="009A1DC0">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2.</w:t>
            </w:r>
            <w:r w:rsidR="00745ACC">
              <w:rPr>
                <w:sz w:val="18"/>
                <w:szCs w:val="18"/>
              </w:rPr>
              <w:t>6</w:t>
            </w:r>
            <w:r w:rsidRPr="009A1DC0">
              <w:rPr>
                <w:sz w:val="18"/>
                <w:szCs w:val="18"/>
              </w:rPr>
              <w:t>%</w:t>
            </w:r>
          </w:p>
        </w:tc>
      </w:tr>
      <w:tr w:rsidR="00810014" w:rsidRPr="00BA492F" w14:paraId="634C71D1" w14:textId="77777777" w:rsidTr="00690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0D66F721" w14:textId="54186156" w:rsidR="00810014" w:rsidRPr="009A1DC0" w:rsidRDefault="00810014" w:rsidP="00810014">
            <w:pPr>
              <w:rPr>
                <w:sz w:val="18"/>
                <w:szCs w:val="18"/>
              </w:rPr>
            </w:pPr>
            <w:r w:rsidRPr="009A1DC0">
              <w:rPr>
                <w:sz w:val="18"/>
                <w:szCs w:val="18"/>
              </w:rPr>
              <w:t>Crude fibers</w:t>
            </w:r>
          </w:p>
        </w:tc>
        <w:tc>
          <w:tcPr>
            <w:tcW w:w="1004" w:type="dxa"/>
          </w:tcPr>
          <w:p w14:paraId="422368B5" w14:textId="285B7ABF"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9A1DC0">
              <w:rPr>
                <w:sz w:val="18"/>
                <w:szCs w:val="18"/>
              </w:rPr>
              <w:t>na</w:t>
            </w:r>
            <w:proofErr w:type="spellEnd"/>
          </w:p>
        </w:tc>
        <w:tc>
          <w:tcPr>
            <w:tcW w:w="885" w:type="dxa"/>
          </w:tcPr>
          <w:p w14:paraId="6374B8AD" w14:textId="5D6F3AD1"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9A1DC0">
              <w:rPr>
                <w:sz w:val="18"/>
                <w:szCs w:val="18"/>
              </w:rPr>
              <w:t>na</w:t>
            </w:r>
            <w:proofErr w:type="spellEnd"/>
          </w:p>
        </w:tc>
        <w:tc>
          <w:tcPr>
            <w:tcW w:w="843" w:type="dxa"/>
          </w:tcPr>
          <w:p w14:paraId="0FDDA549" w14:textId="10D287D9"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4</w:t>
            </w:r>
            <w:r>
              <w:rPr>
                <w:sz w:val="18"/>
                <w:szCs w:val="18"/>
              </w:rPr>
              <w:t>2</w:t>
            </w:r>
            <w:r w:rsidRPr="009A1DC0">
              <w:rPr>
                <w:sz w:val="18"/>
                <w:szCs w:val="18"/>
              </w:rPr>
              <w:t>%</w:t>
            </w:r>
          </w:p>
        </w:tc>
        <w:tc>
          <w:tcPr>
            <w:tcW w:w="800" w:type="dxa"/>
          </w:tcPr>
          <w:p w14:paraId="451A8C3B" w14:textId="5ECC6056"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22%</w:t>
            </w:r>
          </w:p>
        </w:tc>
        <w:tc>
          <w:tcPr>
            <w:tcW w:w="791" w:type="dxa"/>
          </w:tcPr>
          <w:p w14:paraId="26827B71" w14:textId="77FAB42D"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9A1DC0">
              <w:rPr>
                <w:sz w:val="18"/>
                <w:szCs w:val="18"/>
              </w:rPr>
              <w:t>na</w:t>
            </w:r>
            <w:proofErr w:type="spellEnd"/>
          </w:p>
        </w:tc>
        <w:tc>
          <w:tcPr>
            <w:tcW w:w="782" w:type="dxa"/>
          </w:tcPr>
          <w:p w14:paraId="76C666E1" w14:textId="6B629A53"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25%</w:t>
            </w:r>
          </w:p>
        </w:tc>
        <w:tc>
          <w:tcPr>
            <w:tcW w:w="720" w:type="dxa"/>
          </w:tcPr>
          <w:p w14:paraId="3465B4DC" w14:textId="3B4CB16F"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w:t>
            </w:r>
            <w:r>
              <w:rPr>
                <w:sz w:val="18"/>
                <w:szCs w:val="18"/>
              </w:rPr>
              <w:t>1</w:t>
            </w:r>
            <w:r w:rsidRPr="009A1DC0">
              <w:rPr>
                <w:sz w:val="18"/>
                <w:szCs w:val="18"/>
              </w:rPr>
              <w:t>%</w:t>
            </w:r>
          </w:p>
        </w:tc>
        <w:tc>
          <w:tcPr>
            <w:tcW w:w="575" w:type="dxa"/>
          </w:tcPr>
          <w:p w14:paraId="3CD81DC9" w14:textId="66DB1823"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p>
        </w:tc>
        <w:tc>
          <w:tcPr>
            <w:tcW w:w="575" w:type="dxa"/>
          </w:tcPr>
          <w:p w14:paraId="49FB74E5" w14:textId="071C2EAD"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8%</w:t>
            </w:r>
          </w:p>
        </w:tc>
        <w:tc>
          <w:tcPr>
            <w:tcW w:w="575" w:type="dxa"/>
          </w:tcPr>
          <w:p w14:paraId="4EC05CF7" w14:textId="34A4CDF7"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w:t>
            </w:r>
            <w:r w:rsidRPr="009A1DC0">
              <w:rPr>
                <w:sz w:val="18"/>
                <w:szCs w:val="18"/>
              </w:rPr>
              <w:t>%</w:t>
            </w:r>
          </w:p>
        </w:tc>
        <w:tc>
          <w:tcPr>
            <w:tcW w:w="871" w:type="dxa"/>
          </w:tcPr>
          <w:p w14:paraId="44BB5F86" w14:textId="5191ADBF"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17%</w:t>
            </w:r>
          </w:p>
        </w:tc>
      </w:tr>
      <w:tr w:rsidR="00810014" w:rsidRPr="00BA492F" w14:paraId="459F6BF1" w14:textId="77777777" w:rsidTr="00690075">
        <w:tc>
          <w:tcPr>
            <w:cnfStyle w:val="001000000000" w:firstRow="0" w:lastRow="0" w:firstColumn="1" w:lastColumn="0" w:oddVBand="0" w:evenVBand="0" w:oddHBand="0" w:evenHBand="0" w:firstRowFirstColumn="0" w:firstRowLastColumn="0" w:lastRowFirstColumn="0" w:lastRowLastColumn="0"/>
            <w:tcW w:w="1266" w:type="dxa"/>
          </w:tcPr>
          <w:p w14:paraId="4D01834A" w14:textId="4C5BAF8D" w:rsidR="00810014" w:rsidRPr="009A1DC0" w:rsidRDefault="00810014" w:rsidP="00810014">
            <w:pPr>
              <w:rPr>
                <w:sz w:val="18"/>
                <w:szCs w:val="18"/>
              </w:rPr>
            </w:pPr>
            <w:r w:rsidRPr="009A1DC0">
              <w:rPr>
                <w:sz w:val="18"/>
                <w:szCs w:val="18"/>
              </w:rPr>
              <w:t>Digestibility</w:t>
            </w:r>
          </w:p>
        </w:tc>
        <w:tc>
          <w:tcPr>
            <w:tcW w:w="1004" w:type="dxa"/>
          </w:tcPr>
          <w:p w14:paraId="4E168579" w14:textId="28B51EB8" w:rsidR="00810014" w:rsidRPr="009A1DC0" w:rsidRDefault="00810014" w:rsidP="00810014">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9A1DC0">
              <w:rPr>
                <w:sz w:val="18"/>
                <w:szCs w:val="18"/>
              </w:rPr>
              <w:t>na</w:t>
            </w:r>
            <w:proofErr w:type="spellEnd"/>
          </w:p>
        </w:tc>
        <w:tc>
          <w:tcPr>
            <w:tcW w:w="885" w:type="dxa"/>
          </w:tcPr>
          <w:p w14:paraId="510B59C2" w14:textId="0F305B37" w:rsidR="00810014" w:rsidRPr="009A1DC0" w:rsidRDefault="00810014" w:rsidP="00810014">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9A1DC0">
              <w:rPr>
                <w:sz w:val="18"/>
                <w:szCs w:val="18"/>
              </w:rPr>
              <w:t>na</w:t>
            </w:r>
            <w:proofErr w:type="spellEnd"/>
          </w:p>
        </w:tc>
        <w:tc>
          <w:tcPr>
            <w:tcW w:w="843" w:type="dxa"/>
          </w:tcPr>
          <w:p w14:paraId="3B7F4969" w14:textId="0CB3208A" w:rsidR="00810014" w:rsidRPr="009A1DC0" w:rsidRDefault="00810014" w:rsidP="00810014">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45%</w:t>
            </w:r>
          </w:p>
        </w:tc>
        <w:tc>
          <w:tcPr>
            <w:tcW w:w="800" w:type="dxa"/>
          </w:tcPr>
          <w:p w14:paraId="1D300422" w14:textId="690CB868" w:rsidR="00810014" w:rsidRPr="009A1DC0" w:rsidRDefault="00810014" w:rsidP="00810014">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Pr>
                <w:sz w:val="18"/>
                <w:szCs w:val="18"/>
              </w:rPr>
              <w:t>na</w:t>
            </w:r>
            <w:proofErr w:type="spellEnd"/>
          </w:p>
        </w:tc>
        <w:tc>
          <w:tcPr>
            <w:tcW w:w="791" w:type="dxa"/>
          </w:tcPr>
          <w:p w14:paraId="561B4EA9" w14:textId="73380FD5" w:rsidR="00810014" w:rsidRPr="009A1DC0" w:rsidRDefault="00810014" w:rsidP="00810014">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9A1DC0">
              <w:rPr>
                <w:sz w:val="18"/>
                <w:szCs w:val="18"/>
              </w:rPr>
              <w:t>na</w:t>
            </w:r>
            <w:proofErr w:type="spellEnd"/>
          </w:p>
        </w:tc>
        <w:tc>
          <w:tcPr>
            <w:tcW w:w="782" w:type="dxa"/>
          </w:tcPr>
          <w:p w14:paraId="70A5A014" w14:textId="027DE8FC" w:rsidR="00810014" w:rsidRPr="009A1DC0" w:rsidRDefault="00810014" w:rsidP="00810014">
            <w:pPr>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50</w:t>
            </w:r>
            <w:r w:rsidRPr="009A1DC0">
              <w:rPr>
                <w:sz w:val="18"/>
                <w:szCs w:val="18"/>
              </w:rPr>
              <w:t>%</w:t>
            </w:r>
          </w:p>
        </w:tc>
        <w:tc>
          <w:tcPr>
            <w:tcW w:w="720" w:type="dxa"/>
          </w:tcPr>
          <w:p w14:paraId="1CFB14AE" w14:textId="083D4F65" w:rsidR="00810014" w:rsidRPr="009A1DC0" w:rsidRDefault="00810014" w:rsidP="00810014">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8</w:t>
            </w:r>
            <w:r>
              <w:rPr>
                <w:sz w:val="18"/>
                <w:szCs w:val="18"/>
              </w:rPr>
              <w:t>1</w:t>
            </w:r>
            <w:r w:rsidRPr="009A1DC0">
              <w:rPr>
                <w:sz w:val="18"/>
                <w:szCs w:val="18"/>
              </w:rPr>
              <w:t>%</w:t>
            </w:r>
          </w:p>
        </w:tc>
        <w:tc>
          <w:tcPr>
            <w:tcW w:w="575" w:type="dxa"/>
          </w:tcPr>
          <w:p w14:paraId="675522F6" w14:textId="6889F8CF" w:rsidR="00810014" w:rsidRPr="009A1DC0" w:rsidRDefault="00810014" w:rsidP="00810014">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89%</w:t>
            </w:r>
          </w:p>
        </w:tc>
        <w:tc>
          <w:tcPr>
            <w:tcW w:w="575" w:type="dxa"/>
          </w:tcPr>
          <w:p w14:paraId="482B29B5" w14:textId="1220A16A" w:rsidR="00810014" w:rsidRPr="009A1DC0" w:rsidRDefault="00810014" w:rsidP="00810014">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76%</w:t>
            </w:r>
          </w:p>
        </w:tc>
        <w:tc>
          <w:tcPr>
            <w:tcW w:w="575" w:type="dxa"/>
          </w:tcPr>
          <w:p w14:paraId="3AEBE5A3" w14:textId="56F14F07" w:rsidR="00810014" w:rsidRPr="009A1DC0" w:rsidRDefault="00810014" w:rsidP="00810014">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87%</w:t>
            </w:r>
          </w:p>
        </w:tc>
        <w:tc>
          <w:tcPr>
            <w:tcW w:w="871" w:type="dxa"/>
          </w:tcPr>
          <w:p w14:paraId="06D572BD" w14:textId="6CBB19D6" w:rsidR="00810014" w:rsidRPr="009A1DC0" w:rsidRDefault="00810014" w:rsidP="00810014">
            <w:pPr>
              <w:cnfStyle w:val="000000000000" w:firstRow="0" w:lastRow="0" w:firstColumn="0" w:lastColumn="0" w:oddVBand="0" w:evenVBand="0" w:oddHBand="0" w:evenHBand="0" w:firstRowFirstColumn="0" w:firstRowLastColumn="0" w:lastRowFirstColumn="0" w:lastRowLastColumn="0"/>
              <w:rPr>
                <w:sz w:val="18"/>
                <w:szCs w:val="18"/>
              </w:rPr>
            </w:pPr>
            <w:r w:rsidRPr="009A1DC0">
              <w:rPr>
                <w:sz w:val="18"/>
                <w:szCs w:val="18"/>
              </w:rPr>
              <w:t>84%</w:t>
            </w:r>
          </w:p>
        </w:tc>
      </w:tr>
      <w:tr w:rsidR="00810014" w:rsidRPr="00BA492F" w14:paraId="7535BE21" w14:textId="77777777" w:rsidTr="00690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0A77DCCD" w14:textId="20E7A675" w:rsidR="00810014" w:rsidRPr="009A1DC0" w:rsidRDefault="00810014" w:rsidP="00810014">
            <w:pPr>
              <w:rPr>
                <w:sz w:val="18"/>
                <w:szCs w:val="18"/>
              </w:rPr>
            </w:pPr>
            <w:r w:rsidRPr="009A1DC0">
              <w:rPr>
                <w:sz w:val="18"/>
                <w:szCs w:val="18"/>
              </w:rPr>
              <w:t>TAN</w:t>
            </w:r>
          </w:p>
        </w:tc>
        <w:tc>
          <w:tcPr>
            <w:tcW w:w="1004" w:type="dxa"/>
          </w:tcPr>
          <w:p w14:paraId="335E558D" w14:textId="766C6DC7"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0.2%</w:t>
            </w:r>
          </w:p>
        </w:tc>
        <w:tc>
          <w:tcPr>
            <w:tcW w:w="885" w:type="dxa"/>
          </w:tcPr>
          <w:p w14:paraId="4504DB16" w14:textId="6F5E7D0B"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843" w:type="dxa"/>
          </w:tcPr>
          <w:p w14:paraId="6655C52A" w14:textId="4EF3FFF6"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0.0%</w:t>
            </w:r>
          </w:p>
        </w:tc>
        <w:tc>
          <w:tcPr>
            <w:tcW w:w="800" w:type="dxa"/>
          </w:tcPr>
          <w:p w14:paraId="0379C4DD" w14:textId="0F20753A"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1.6</w:t>
            </w:r>
            <w:r w:rsidRPr="009A1DC0">
              <w:rPr>
                <w:sz w:val="18"/>
                <w:szCs w:val="18"/>
              </w:rPr>
              <w:t>%</w:t>
            </w:r>
          </w:p>
        </w:tc>
        <w:tc>
          <w:tcPr>
            <w:tcW w:w="791" w:type="dxa"/>
          </w:tcPr>
          <w:p w14:paraId="7181F546" w14:textId="48C441BC"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0.2%</w:t>
            </w:r>
          </w:p>
        </w:tc>
        <w:tc>
          <w:tcPr>
            <w:tcW w:w="782" w:type="dxa"/>
          </w:tcPr>
          <w:p w14:paraId="21AB77F7" w14:textId="5DB88B38"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r>
              <w:rPr>
                <w:sz w:val="18"/>
                <w:szCs w:val="18"/>
              </w:rPr>
              <w:t>2</w:t>
            </w:r>
            <w:r w:rsidRPr="009A1DC0">
              <w:rPr>
                <w:sz w:val="18"/>
                <w:szCs w:val="18"/>
              </w:rPr>
              <w:t>%</w:t>
            </w:r>
          </w:p>
        </w:tc>
        <w:tc>
          <w:tcPr>
            <w:tcW w:w="720" w:type="dxa"/>
          </w:tcPr>
          <w:p w14:paraId="4A260A2F" w14:textId="331B862C"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0.1%</w:t>
            </w:r>
          </w:p>
        </w:tc>
        <w:tc>
          <w:tcPr>
            <w:tcW w:w="575" w:type="dxa"/>
          </w:tcPr>
          <w:p w14:paraId="3061838B" w14:textId="2E0A90B2"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r>
              <w:rPr>
                <w:sz w:val="18"/>
                <w:szCs w:val="18"/>
              </w:rPr>
              <w:t>1</w:t>
            </w:r>
            <w:r w:rsidRPr="009A1DC0">
              <w:rPr>
                <w:sz w:val="18"/>
                <w:szCs w:val="18"/>
              </w:rPr>
              <w:t>%</w:t>
            </w:r>
          </w:p>
        </w:tc>
        <w:tc>
          <w:tcPr>
            <w:tcW w:w="575" w:type="dxa"/>
          </w:tcPr>
          <w:p w14:paraId="28003680" w14:textId="08DD286B"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0.3%</w:t>
            </w:r>
          </w:p>
        </w:tc>
        <w:tc>
          <w:tcPr>
            <w:tcW w:w="575" w:type="dxa"/>
          </w:tcPr>
          <w:p w14:paraId="2B379F86" w14:textId="04F3E150"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w:t>
            </w:r>
            <w:r>
              <w:rPr>
                <w:sz w:val="18"/>
                <w:szCs w:val="18"/>
              </w:rPr>
              <w:t>7</w:t>
            </w:r>
            <w:r w:rsidRPr="009A1DC0">
              <w:rPr>
                <w:sz w:val="18"/>
                <w:szCs w:val="18"/>
              </w:rPr>
              <w:t>%</w:t>
            </w:r>
          </w:p>
        </w:tc>
        <w:tc>
          <w:tcPr>
            <w:tcW w:w="871" w:type="dxa"/>
          </w:tcPr>
          <w:p w14:paraId="0FEF950D" w14:textId="6E49DA21" w:rsidR="00810014" w:rsidRPr="009A1DC0" w:rsidRDefault="00810014" w:rsidP="00810014">
            <w:pPr>
              <w:cnfStyle w:val="000000100000" w:firstRow="0" w:lastRow="0" w:firstColumn="0" w:lastColumn="0" w:oddVBand="0" w:evenVBand="0" w:oddHBand="1" w:evenHBand="0" w:firstRowFirstColumn="0" w:firstRowLastColumn="0" w:lastRowFirstColumn="0" w:lastRowLastColumn="0"/>
              <w:rPr>
                <w:sz w:val="18"/>
                <w:szCs w:val="18"/>
              </w:rPr>
            </w:pPr>
            <w:r w:rsidRPr="009A1DC0">
              <w:rPr>
                <w:sz w:val="18"/>
                <w:szCs w:val="18"/>
              </w:rPr>
              <w:t>0.04%</w:t>
            </w:r>
          </w:p>
        </w:tc>
      </w:tr>
      <w:tr w:rsidR="00810014" w:rsidRPr="00BA492F" w14:paraId="5BDE6684" w14:textId="77777777" w:rsidTr="00745ACC">
        <w:tc>
          <w:tcPr>
            <w:cnfStyle w:val="001000000000" w:firstRow="0" w:lastRow="0" w:firstColumn="1" w:lastColumn="0" w:oddVBand="0" w:evenVBand="0" w:oddHBand="0" w:evenHBand="0" w:firstRowFirstColumn="0" w:firstRowLastColumn="0" w:lastRowFirstColumn="0" w:lastRowLastColumn="0"/>
            <w:tcW w:w="9687" w:type="dxa"/>
            <w:gridSpan w:val="12"/>
            <w:shd w:val="clear" w:color="auto" w:fill="E7E6E6" w:themeFill="background2"/>
          </w:tcPr>
          <w:p w14:paraId="051042C6" w14:textId="27BDD858" w:rsidR="00810014" w:rsidRPr="009A1DC0" w:rsidRDefault="00810014" w:rsidP="00810014">
            <w:pPr>
              <w:rPr>
                <w:b w:val="0"/>
                <w:sz w:val="18"/>
                <w:szCs w:val="18"/>
              </w:rPr>
            </w:pPr>
            <w:r w:rsidRPr="009A1DC0">
              <w:rPr>
                <w:sz w:val="18"/>
                <w:szCs w:val="18"/>
              </w:rPr>
              <w:t>Potential</w:t>
            </w:r>
            <w:r w:rsidR="00CC63E5">
              <w:rPr>
                <w:sz w:val="18"/>
                <w:szCs w:val="18"/>
              </w:rPr>
              <w:t xml:space="preserve"> for</w:t>
            </w:r>
            <w:r w:rsidRPr="009A1DC0">
              <w:rPr>
                <w:sz w:val="18"/>
                <w:szCs w:val="18"/>
              </w:rPr>
              <w:t xml:space="preserve"> France</w:t>
            </w:r>
            <w:r w:rsidR="00690075">
              <w:rPr>
                <w:sz w:val="18"/>
                <w:szCs w:val="18"/>
              </w:rPr>
              <w:fldChar w:fldCharType="begin"/>
            </w:r>
            <w:r w:rsidR="00CD084F">
              <w:rPr>
                <w:sz w:val="18"/>
                <w:szCs w:val="18"/>
              </w:rPr>
              <w:instrText xml:space="preserve"> ADDIN ZOTERO_ITEM CSL_CITATION {"citationID":"4BPCsD5i","properties":{"formattedCitation":"\\super 1,2\\nosupersub{}","plainCitation":"1,2","noteIndex":0},"citationItems":[{"id":14334,"uris":["http://zotero.org/users/6423791/items/VWPZYH5Z"],"itemData":{"id":14334,"type":"article","DOI":"https://doi.org/10.21203/rs.3.rs-3671083/v1","genre":"preprint","publisher":"Research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id":13553,"uris":["http://zotero.org/users/6423791/items/EU8KLJZY"],"itemData":{"id":13553,"type":"article-journal","abstract":"Transforming residual biomass into edible ingredients is increasingly\npromoted to alleviate the environmental impacts of food systems. Yet,\nthese approaches mostly rely on emerging technologies and constrained\nresources, and their environmental benefits remain unclear. By combining\nprocess-based consequential life cycle analysis, uncertainty assessment\nand biomass resource estimation, we quantified the impacts of deploying\nwaste-to-nutrition pathways, here applied to the upgrading of agrifood\nco-products by solid-state fermentation (SSF). The benefits of reducing the\ndemand for soybean meal by enhancing the protein concentration of feed\nthrough SSF do not compensate for the environmental burdens induced\nby the process on climate change, water depletion and land use. Besides\nunlocking feed markets to low-feed-quality streams, SSF outperforms\nenergy valorization for most environmental impacts but is less competitive\nto mitigate climate change. Yet, SSF yields overall environmental benefits\nwhen unlocking food markets rather than supplying feed and energy\nservices. Systematic methodological harmonization is required to assess the\npotential of novel ingredients, as outcomes vary according to the displaced\nfood and feed baskets, and related land use changes.","container-title":"Nature Food","DOI":"10.1038/s43016-022-00621-9","journalAbbreviation":"Nat Food","language":"en","page":"911-920","title":"Upgrading agrifood co-products via solid fermentation yields environmental benefits under specific conditions only","volume":"3","author":[{"family":"Javourez","given":"Ugo"},{"family":"Rosero Delgado","given":"Ernesto Alonso"},{"family":"Hamelin","given":"Lorie"}],"issued":{"date-parts":[["2022",10,31]]}}}],"schema":"https://github.com/citation-style-language/schema/raw/master/csl-citation.json"} </w:instrText>
            </w:r>
            <w:r w:rsidR="00690075">
              <w:rPr>
                <w:sz w:val="18"/>
                <w:szCs w:val="18"/>
              </w:rPr>
              <w:fldChar w:fldCharType="separate"/>
            </w:r>
            <w:r w:rsidR="00690075" w:rsidRPr="00690075">
              <w:rPr>
                <w:rFonts w:ascii="Calibri" w:hAnsi="Calibri" w:cs="Calibri"/>
                <w:sz w:val="18"/>
                <w:szCs w:val="24"/>
                <w:vertAlign w:val="superscript"/>
              </w:rPr>
              <w:t>1,2</w:t>
            </w:r>
            <w:r w:rsidR="00690075">
              <w:rPr>
                <w:sz w:val="18"/>
                <w:szCs w:val="18"/>
              </w:rPr>
              <w:fldChar w:fldCharType="end"/>
            </w:r>
          </w:p>
        </w:tc>
      </w:tr>
      <w:tr w:rsidR="00810014" w:rsidRPr="00BA492F" w14:paraId="64571E44" w14:textId="77777777" w:rsidTr="00690075">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266" w:type="dxa"/>
          </w:tcPr>
          <w:p w14:paraId="7BCDBB00" w14:textId="04714ED5" w:rsidR="00810014" w:rsidRPr="00690075" w:rsidRDefault="00690075" w:rsidP="00690075">
            <w:pPr>
              <w:rPr>
                <w:sz w:val="18"/>
                <w:szCs w:val="18"/>
              </w:rPr>
            </w:pPr>
            <w:r w:rsidRPr="00690075">
              <w:rPr>
                <w:sz w:val="18"/>
                <w:szCs w:val="18"/>
              </w:rPr>
              <w:t>Mt</w:t>
            </w:r>
            <w:r w:rsidRPr="00690075">
              <w:rPr>
                <w:sz w:val="18"/>
                <w:szCs w:val="18"/>
                <w:vertAlign w:val="subscript"/>
              </w:rPr>
              <w:t>ww</w:t>
            </w:r>
            <w:r w:rsidRPr="00690075">
              <w:rPr>
                <w:sz w:val="18"/>
                <w:szCs w:val="18"/>
              </w:rPr>
              <w:t>.y</w:t>
            </w:r>
            <w:r w:rsidRPr="00690075">
              <w:rPr>
                <w:sz w:val="18"/>
                <w:szCs w:val="18"/>
                <w:vertAlign w:val="superscript"/>
              </w:rPr>
              <w:t>-1</w:t>
            </w:r>
          </w:p>
        </w:tc>
        <w:tc>
          <w:tcPr>
            <w:tcW w:w="1004" w:type="dxa"/>
          </w:tcPr>
          <w:p w14:paraId="1E8BD8BA" w14:textId="48FBCFA2" w:rsidR="00810014" w:rsidRPr="00690075" w:rsidRDefault="00690075" w:rsidP="00810014">
            <w:pPr>
              <w:cnfStyle w:val="000000100000" w:firstRow="0" w:lastRow="0" w:firstColumn="0" w:lastColumn="0" w:oddVBand="0" w:evenVBand="0" w:oddHBand="1" w:evenHBand="0" w:firstRowFirstColumn="0" w:firstRowLastColumn="0" w:lastRowFirstColumn="0" w:lastRowLastColumn="0"/>
              <w:rPr>
                <w:sz w:val="18"/>
                <w:szCs w:val="18"/>
              </w:rPr>
            </w:pPr>
            <w:r w:rsidRPr="00690075">
              <w:rPr>
                <w:sz w:val="18"/>
                <w:szCs w:val="18"/>
              </w:rPr>
              <w:t>8.3</w:t>
            </w:r>
          </w:p>
        </w:tc>
        <w:tc>
          <w:tcPr>
            <w:tcW w:w="885" w:type="dxa"/>
          </w:tcPr>
          <w:p w14:paraId="7606166F" w14:textId="4D1FC2C9" w:rsidR="00810014" w:rsidRPr="00690075" w:rsidRDefault="00690075" w:rsidP="0081001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11.6</w:t>
            </w:r>
          </w:p>
        </w:tc>
        <w:tc>
          <w:tcPr>
            <w:tcW w:w="843" w:type="dxa"/>
          </w:tcPr>
          <w:p w14:paraId="6297895F" w14:textId="57036331" w:rsidR="00810014" w:rsidRPr="00690075" w:rsidRDefault="00690075" w:rsidP="0081001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33.8</w:t>
            </w:r>
          </w:p>
        </w:tc>
        <w:tc>
          <w:tcPr>
            <w:tcW w:w="800" w:type="dxa"/>
          </w:tcPr>
          <w:p w14:paraId="6A7DF4D3" w14:textId="7BDA6E19" w:rsidR="00810014" w:rsidRPr="00690075" w:rsidRDefault="00690075" w:rsidP="0081001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73.9</w:t>
            </w:r>
          </w:p>
        </w:tc>
        <w:tc>
          <w:tcPr>
            <w:tcW w:w="791" w:type="dxa"/>
          </w:tcPr>
          <w:p w14:paraId="7D263165" w14:textId="311725B2" w:rsidR="00810014" w:rsidRPr="00690075" w:rsidRDefault="00690075" w:rsidP="0081001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4.2</w:t>
            </w:r>
          </w:p>
        </w:tc>
        <w:tc>
          <w:tcPr>
            <w:tcW w:w="782" w:type="dxa"/>
          </w:tcPr>
          <w:p w14:paraId="3D41DB5D" w14:textId="562065AA" w:rsidR="00810014" w:rsidRPr="00690075" w:rsidRDefault="00690075" w:rsidP="0081001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11.5</w:t>
            </w:r>
          </w:p>
        </w:tc>
        <w:tc>
          <w:tcPr>
            <w:tcW w:w="720" w:type="dxa"/>
          </w:tcPr>
          <w:p w14:paraId="22895960" w14:textId="07B895B5" w:rsidR="00810014" w:rsidRPr="00690075" w:rsidRDefault="00690075" w:rsidP="0081001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20.5</w:t>
            </w:r>
          </w:p>
        </w:tc>
        <w:tc>
          <w:tcPr>
            <w:tcW w:w="575" w:type="dxa"/>
          </w:tcPr>
          <w:p w14:paraId="0A368282" w14:textId="114B62FD" w:rsidR="00810014" w:rsidRPr="00690075" w:rsidRDefault="00690075" w:rsidP="0081001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r w:rsidR="00AF12FB">
              <w:rPr>
                <w:sz w:val="18"/>
                <w:szCs w:val="18"/>
              </w:rPr>
              <w:t>5</w:t>
            </w:r>
          </w:p>
        </w:tc>
        <w:tc>
          <w:tcPr>
            <w:tcW w:w="575" w:type="dxa"/>
          </w:tcPr>
          <w:p w14:paraId="68396567" w14:textId="4BD8B26A" w:rsidR="00810014" w:rsidRPr="00690075" w:rsidRDefault="00690075" w:rsidP="0081001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1.0</w:t>
            </w:r>
          </w:p>
        </w:tc>
        <w:tc>
          <w:tcPr>
            <w:tcW w:w="575" w:type="dxa"/>
          </w:tcPr>
          <w:p w14:paraId="7CF418C0" w14:textId="39598FC2" w:rsidR="00810014" w:rsidRPr="00690075" w:rsidRDefault="00690075" w:rsidP="0081001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0.5</w:t>
            </w:r>
          </w:p>
        </w:tc>
        <w:tc>
          <w:tcPr>
            <w:tcW w:w="871" w:type="dxa"/>
          </w:tcPr>
          <w:p w14:paraId="3B667303" w14:textId="5B747B47" w:rsidR="00810014" w:rsidRPr="00690075" w:rsidRDefault="00690075" w:rsidP="00810014">
            <w:pPr>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4.8</w:t>
            </w:r>
          </w:p>
        </w:tc>
      </w:tr>
      <w:tr w:rsidR="00745ACC" w:rsidRPr="00BA492F" w14:paraId="6C0DB083" w14:textId="77777777" w:rsidTr="00690075">
        <w:tc>
          <w:tcPr>
            <w:cnfStyle w:val="001000000000" w:firstRow="0" w:lastRow="0" w:firstColumn="1" w:lastColumn="0" w:oddVBand="0" w:evenVBand="0" w:oddHBand="0" w:evenHBand="0" w:firstRowFirstColumn="0" w:firstRowLastColumn="0" w:lastRowFirstColumn="0" w:lastRowLastColumn="0"/>
            <w:tcW w:w="1266" w:type="dxa"/>
          </w:tcPr>
          <w:p w14:paraId="2A51F770" w14:textId="64EE7FAC" w:rsidR="00745ACC" w:rsidRPr="00690075" w:rsidRDefault="00CC63E5" w:rsidP="00690075">
            <w:pPr>
              <w:rPr>
                <w:sz w:val="18"/>
                <w:szCs w:val="18"/>
              </w:rPr>
            </w:pPr>
            <w:r>
              <w:rPr>
                <w:sz w:val="18"/>
                <w:szCs w:val="18"/>
              </w:rPr>
              <w:t>Current</w:t>
            </w:r>
            <w:r w:rsidR="00690075" w:rsidRPr="00690075">
              <w:rPr>
                <w:sz w:val="18"/>
                <w:szCs w:val="18"/>
              </w:rPr>
              <w:t xml:space="preserve"> use</w:t>
            </w:r>
            <w:r w:rsidR="00690075">
              <w:rPr>
                <w:sz w:val="18"/>
                <w:szCs w:val="18"/>
              </w:rPr>
              <w:fldChar w:fldCharType="begin"/>
            </w:r>
            <w:r w:rsidR="00CD084F">
              <w:rPr>
                <w:sz w:val="18"/>
                <w:szCs w:val="18"/>
              </w:rPr>
              <w:instrText xml:space="preserve"> ADDIN ZOTERO_ITEM CSL_CITATION {"citationID":"b7GI7qtV","properties":{"formattedCitation":"\\super 3\\nosupersub{}","plainCitation":"3","noteIndex":0},"citationItems":[{"id":14333,"uris":["http://zotero.org/users/6423791/items/XCNA2SYX"],"itemData":{"id":14333,"type":"article","DOI":"10.21203/rs.3.rs-3626167/v2","genre":"preprint","publisher":"Research Square","title":"Setting the environmental performance threshold for diverting residual streams towards bioeconomy strategies","author":[{"family":"Javourez","given":"U."},{"family":"Karan","given":"S. K."},{"family":"Hamelin","given":"L."}],"issued":{"date-parts":[["2023",11,20]]}}}],"schema":"https://github.com/citation-style-language/schema/raw/master/csl-citation.json"} </w:instrText>
            </w:r>
            <w:r w:rsidR="00690075">
              <w:rPr>
                <w:sz w:val="18"/>
                <w:szCs w:val="18"/>
              </w:rPr>
              <w:fldChar w:fldCharType="separate"/>
            </w:r>
            <w:r w:rsidR="00690075" w:rsidRPr="00690075">
              <w:rPr>
                <w:rFonts w:ascii="Calibri" w:hAnsi="Calibri" w:cs="Calibri"/>
                <w:sz w:val="18"/>
                <w:szCs w:val="24"/>
                <w:vertAlign w:val="superscript"/>
              </w:rPr>
              <w:t>3</w:t>
            </w:r>
            <w:r w:rsidR="00690075">
              <w:rPr>
                <w:sz w:val="18"/>
                <w:szCs w:val="18"/>
              </w:rPr>
              <w:fldChar w:fldCharType="end"/>
            </w:r>
          </w:p>
        </w:tc>
        <w:tc>
          <w:tcPr>
            <w:tcW w:w="1004" w:type="dxa"/>
          </w:tcPr>
          <w:p w14:paraId="258E3B23" w14:textId="1817C1FB" w:rsidR="00745ACC" w:rsidRPr="00690075" w:rsidRDefault="00690075" w:rsidP="00810014">
            <w:pPr>
              <w:cnfStyle w:val="000000000000" w:firstRow="0" w:lastRow="0" w:firstColumn="0" w:lastColumn="0" w:oddVBand="0" w:evenVBand="0" w:oddHBand="0" w:evenHBand="0" w:firstRowFirstColumn="0" w:firstRowLastColumn="0" w:lastRowFirstColumn="0" w:lastRowLastColumn="0"/>
              <w:rPr>
                <w:sz w:val="18"/>
                <w:szCs w:val="18"/>
              </w:rPr>
            </w:pPr>
            <w:r w:rsidRPr="00690075">
              <w:rPr>
                <w:sz w:val="18"/>
                <w:szCs w:val="18"/>
              </w:rPr>
              <w:t>Decay</w:t>
            </w:r>
          </w:p>
        </w:tc>
        <w:tc>
          <w:tcPr>
            <w:tcW w:w="885" w:type="dxa"/>
          </w:tcPr>
          <w:p w14:paraId="5C7F7113" w14:textId="36E77011" w:rsidR="00745ACC" w:rsidRPr="00690075" w:rsidRDefault="00690075" w:rsidP="00810014">
            <w:pPr>
              <w:cnfStyle w:val="000000000000" w:firstRow="0" w:lastRow="0" w:firstColumn="0" w:lastColumn="0" w:oddVBand="0" w:evenVBand="0" w:oddHBand="0" w:evenHBand="0" w:firstRowFirstColumn="0" w:firstRowLastColumn="0" w:lastRowFirstColumn="0" w:lastRowLastColumn="0"/>
              <w:rPr>
                <w:sz w:val="18"/>
                <w:szCs w:val="18"/>
              </w:rPr>
            </w:pPr>
            <w:proofErr w:type="spellStart"/>
            <w:r w:rsidRPr="00690075">
              <w:rPr>
                <w:sz w:val="18"/>
                <w:szCs w:val="18"/>
              </w:rPr>
              <w:t>Heat_ind</w:t>
            </w:r>
            <w:proofErr w:type="spellEnd"/>
          </w:p>
        </w:tc>
        <w:tc>
          <w:tcPr>
            <w:tcW w:w="843" w:type="dxa"/>
          </w:tcPr>
          <w:p w14:paraId="2021CB0F" w14:textId="77410D82" w:rsidR="00745ACC" w:rsidRPr="00690075" w:rsidRDefault="00690075" w:rsidP="00810014">
            <w:pPr>
              <w:cnfStyle w:val="000000000000" w:firstRow="0" w:lastRow="0" w:firstColumn="0" w:lastColumn="0" w:oddVBand="0" w:evenVBand="0" w:oddHBand="0" w:evenHBand="0" w:firstRowFirstColumn="0" w:firstRowLastColumn="0" w:lastRowFirstColumn="0" w:lastRowLastColumn="0"/>
              <w:rPr>
                <w:sz w:val="18"/>
                <w:szCs w:val="18"/>
              </w:rPr>
            </w:pPr>
            <w:r w:rsidRPr="00690075">
              <w:rPr>
                <w:sz w:val="18"/>
                <w:szCs w:val="18"/>
              </w:rPr>
              <w:t>Plough</w:t>
            </w:r>
          </w:p>
        </w:tc>
        <w:tc>
          <w:tcPr>
            <w:tcW w:w="800" w:type="dxa"/>
          </w:tcPr>
          <w:p w14:paraId="4B77BA2B" w14:textId="4360BB46" w:rsidR="00745ACC" w:rsidRPr="00690075" w:rsidRDefault="00690075" w:rsidP="00810014">
            <w:pPr>
              <w:cnfStyle w:val="000000000000" w:firstRow="0" w:lastRow="0" w:firstColumn="0" w:lastColumn="0" w:oddVBand="0" w:evenVBand="0" w:oddHBand="0" w:evenHBand="0" w:firstRowFirstColumn="0" w:firstRowLastColumn="0" w:lastRowFirstColumn="0" w:lastRowLastColumn="0"/>
              <w:rPr>
                <w:sz w:val="18"/>
                <w:szCs w:val="18"/>
              </w:rPr>
            </w:pPr>
            <w:r w:rsidRPr="00690075">
              <w:rPr>
                <w:sz w:val="18"/>
                <w:szCs w:val="18"/>
              </w:rPr>
              <w:t>Spread</w:t>
            </w:r>
          </w:p>
        </w:tc>
        <w:tc>
          <w:tcPr>
            <w:tcW w:w="791" w:type="dxa"/>
          </w:tcPr>
          <w:p w14:paraId="4B2DD48B" w14:textId="463307B5" w:rsidR="00745ACC" w:rsidRPr="00690075" w:rsidRDefault="00690075" w:rsidP="00810014">
            <w:pPr>
              <w:cnfStyle w:val="000000000000" w:firstRow="0" w:lastRow="0" w:firstColumn="0" w:lastColumn="0" w:oddVBand="0" w:evenVBand="0" w:oddHBand="0" w:evenHBand="0" w:firstRowFirstColumn="0" w:firstRowLastColumn="0" w:lastRowFirstColumn="0" w:lastRowLastColumn="0"/>
              <w:rPr>
                <w:sz w:val="18"/>
                <w:szCs w:val="18"/>
              </w:rPr>
            </w:pPr>
            <w:r w:rsidRPr="00690075">
              <w:rPr>
                <w:sz w:val="18"/>
                <w:szCs w:val="18"/>
              </w:rPr>
              <w:t>Spread</w:t>
            </w:r>
          </w:p>
        </w:tc>
        <w:tc>
          <w:tcPr>
            <w:tcW w:w="782" w:type="dxa"/>
          </w:tcPr>
          <w:p w14:paraId="383FB8EE" w14:textId="1BCAC245" w:rsidR="00745ACC" w:rsidRPr="00690075" w:rsidRDefault="00690075" w:rsidP="00810014">
            <w:pPr>
              <w:cnfStyle w:val="000000000000" w:firstRow="0" w:lastRow="0" w:firstColumn="0" w:lastColumn="0" w:oddVBand="0" w:evenVBand="0" w:oddHBand="0" w:evenHBand="0" w:firstRowFirstColumn="0" w:firstRowLastColumn="0" w:lastRowFirstColumn="0" w:lastRowLastColumn="0"/>
              <w:rPr>
                <w:sz w:val="18"/>
                <w:szCs w:val="18"/>
              </w:rPr>
            </w:pPr>
            <w:r w:rsidRPr="00690075">
              <w:rPr>
                <w:sz w:val="18"/>
                <w:szCs w:val="18"/>
              </w:rPr>
              <w:t>Decay</w:t>
            </w:r>
          </w:p>
        </w:tc>
        <w:tc>
          <w:tcPr>
            <w:tcW w:w="720" w:type="dxa"/>
          </w:tcPr>
          <w:p w14:paraId="7FA65388" w14:textId="62F4550E" w:rsidR="00745ACC" w:rsidRPr="00690075" w:rsidRDefault="00690075" w:rsidP="00810014">
            <w:pPr>
              <w:cnfStyle w:val="000000000000" w:firstRow="0" w:lastRow="0" w:firstColumn="0" w:lastColumn="0" w:oddVBand="0" w:evenVBand="0" w:oddHBand="0" w:evenHBand="0" w:firstRowFirstColumn="0" w:firstRowLastColumn="0" w:lastRowFirstColumn="0" w:lastRowLastColumn="0"/>
              <w:rPr>
                <w:sz w:val="18"/>
                <w:szCs w:val="18"/>
              </w:rPr>
            </w:pPr>
            <w:r w:rsidRPr="00690075">
              <w:rPr>
                <w:sz w:val="18"/>
                <w:szCs w:val="18"/>
              </w:rPr>
              <w:t>Plough</w:t>
            </w:r>
          </w:p>
        </w:tc>
        <w:tc>
          <w:tcPr>
            <w:tcW w:w="575" w:type="dxa"/>
          </w:tcPr>
          <w:p w14:paraId="2ADF76C7" w14:textId="2994A094" w:rsidR="00745ACC" w:rsidRPr="00690075" w:rsidRDefault="00690075" w:rsidP="00810014">
            <w:pPr>
              <w:cnfStyle w:val="000000000000" w:firstRow="0" w:lastRow="0" w:firstColumn="0" w:lastColumn="0" w:oddVBand="0" w:evenVBand="0" w:oddHBand="0" w:evenHBand="0" w:firstRowFirstColumn="0" w:firstRowLastColumn="0" w:lastRowFirstColumn="0" w:lastRowLastColumn="0"/>
              <w:rPr>
                <w:sz w:val="18"/>
                <w:szCs w:val="18"/>
              </w:rPr>
            </w:pPr>
            <w:r w:rsidRPr="00690075">
              <w:rPr>
                <w:sz w:val="18"/>
                <w:szCs w:val="18"/>
              </w:rPr>
              <w:t>CF</w:t>
            </w:r>
          </w:p>
        </w:tc>
        <w:tc>
          <w:tcPr>
            <w:tcW w:w="575" w:type="dxa"/>
          </w:tcPr>
          <w:p w14:paraId="59DC7932" w14:textId="6740D36E" w:rsidR="00745ACC" w:rsidRPr="00690075" w:rsidRDefault="00690075" w:rsidP="00810014">
            <w:pPr>
              <w:cnfStyle w:val="000000000000" w:firstRow="0" w:lastRow="0" w:firstColumn="0" w:lastColumn="0" w:oddVBand="0" w:evenVBand="0" w:oddHBand="0" w:evenHBand="0" w:firstRowFirstColumn="0" w:firstRowLastColumn="0" w:lastRowFirstColumn="0" w:lastRowLastColumn="0"/>
              <w:rPr>
                <w:sz w:val="18"/>
                <w:szCs w:val="18"/>
              </w:rPr>
            </w:pPr>
            <w:r w:rsidRPr="00690075">
              <w:rPr>
                <w:sz w:val="18"/>
                <w:szCs w:val="18"/>
              </w:rPr>
              <w:t>CF</w:t>
            </w:r>
          </w:p>
        </w:tc>
        <w:tc>
          <w:tcPr>
            <w:tcW w:w="575" w:type="dxa"/>
          </w:tcPr>
          <w:p w14:paraId="7A22693F" w14:textId="2DB02D05" w:rsidR="00745ACC" w:rsidRPr="00690075" w:rsidRDefault="00690075" w:rsidP="00810014">
            <w:pPr>
              <w:cnfStyle w:val="000000000000" w:firstRow="0" w:lastRow="0" w:firstColumn="0" w:lastColumn="0" w:oddVBand="0" w:evenVBand="0" w:oddHBand="0" w:evenHBand="0" w:firstRowFirstColumn="0" w:firstRowLastColumn="0" w:lastRowFirstColumn="0" w:lastRowLastColumn="0"/>
              <w:rPr>
                <w:sz w:val="18"/>
                <w:szCs w:val="18"/>
              </w:rPr>
            </w:pPr>
            <w:r w:rsidRPr="00690075">
              <w:rPr>
                <w:sz w:val="18"/>
                <w:szCs w:val="18"/>
              </w:rPr>
              <w:t>CF</w:t>
            </w:r>
          </w:p>
        </w:tc>
        <w:tc>
          <w:tcPr>
            <w:tcW w:w="871" w:type="dxa"/>
          </w:tcPr>
          <w:p w14:paraId="152CA048" w14:textId="62C87D56" w:rsidR="00745ACC" w:rsidRPr="00690075" w:rsidRDefault="00690075" w:rsidP="00810014">
            <w:pPr>
              <w:cnfStyle w:val="000000000000" w:firstRow="0" w:lastRow="0" w:firstColumn="0" w:lastColumn="0" w:oddVBand="0" w:evenVBand="0" w:oddHBand="0" w:evenHBand="0" w:firstRowFirstColumn="0" w:firstRowLastColumn="0" w:lastRowFirstColumn="0" w:lastRowLastColumn="0"/>
              <w:rPr>
                <w:sz w:val="18"/>
                <w:szCs w:val="18"/>
              </w:rPr>
            </w:pPr>
            <w:r w:rsidRPr="00690075">
              <w:rPr>
                <w:sz w:val="18"/>
                <w:szCs w:val="18"/>
              </w:rPr>
              <w:t>Compost</w:t>
            </w:r>
          </w:p>
        </w:tc>
      </w:tr>
    </w:tbl>
    <w:p w14:paraId="0439C882" w14:textId="743573AD" w:rsidR="000802E5" w:rsidRPr="00BA492F" w:rsidRDefault="009A1DC0" w:rsidP="00056920">
      <w:pPr>
        <w:rPr>
          <w:sz w:val="18"/>
        </w:rPr>
      </w:pPr>
      <w:r>
        <w:rPr>
          <w:sz w:val="18"/>
        </w:rPr>
        <w:t xml:space="preserve">Rounded values. </w:t>
      </w:r>
      <w:r w:rsidR="00BA492F" w:rsidRPr="00BA492F">
        <w:rPr>
          <w:sz w:val="18"/>
        </w:rPr>
        <w:t>PAT: Processed animal proteins. CSG: Corn spent grains</w:t>
      </w:r>
      <w:r w:rsidR="004E6D7F">
        <w:rPr>
          <w:sz w:val="18"/>
        </w:rPr>
        <w:t xml:space="preserve"> (referred to as </w:t>
      </w:r>
      <w:proofErr w:type="gramStart"/>
      <w:r w:rsidR="004E6D7F">
        <w:rPr>
          <w:sz w:val="18"/>
        </w:rPr>
        <w:t>distillers</w:t>
      </w:r>
      <w:proofErr w:type="gramEnd"/>
      <w:r w:rsidR="004E6D7F">
        <w:rPr>
          <w:sz w:val="18"/>
        </w:rPr>
        <w:t xml:space="preserve"> grains in the main manuscript)</w:t>
      </w:r>
      <w:r w:rsidR="00BA492F" w:rsidRPr="00BA492F">
        <w:rPr>
          <w:sz w:val="18"/>
        </w:rPr>
        <w:t>. PS: Potato screenings</w:t>
      </w:r>
      <w:r>
        <w:rPr>
          <w:sz w:val="18"/>
        </w:rPr>
        <w:t>.</w:t>
      </w:r>
      <w:r w:rsidR="00CC63E5">
        <w:rPr>
          <w:sz w:val="18"/>
        </w:rPr>
        <w:t xml:space="preserve"> Name of pathways as in </w:t>
      </w:r>
      <w:r w:rsidR="00CC63E5" w:rsidRPr="00CC63E5">
        <w:rPr>
          <w:b/>
          <w:sz w:val="18"/>
        </w:rPr>
        <w:t>Table 1</w:t>
      </w:r>
      <w:r w:rsidR="00CC63E5">
        <w:rPr>
          <w:sz w:val="18"/>
        </w:rPr>
        <w:t xml:space="preserve"> of main manuscript.</w:t>
      </w:r>
    </w:p>
    <w:p w14:paraId="162DFE9E" w14:textId="165DC32C" w:rsidR="009955BF" w:rsidRDefault="009955BF">
      <w:pPr>
        <w:rPr>
          <w:b/>
        </w:rPr>
      </w:pPr>
      <w:r>
        <w:rPr>
          <w:b/>
        </w:rPr>
        <w:br w:type="page"/>
      </w:r>
    </w:p>
    <w:p w14:paraId="1B92604B" w14:textId="42FE5B80" w:rsidR="00C938DD" w:rsidRPr="00793512" w:rsidRDefault="00F13E53" w:rsidP="000C2201">
      <w:pPr>
        <w:pStyle w:val="Titre1"/>
        <w:numPr>
          <w:ilvl w:val="0"/>
          <w:numId w:val="31"/>
        </w:numPr>
      </w:pPr>
      <w:bookmarkStart w:id="4" w:name="_Toc155516865"/>
      <w:r>
        <w:lastRenderedPageBreak/>
        <w:t>Identification of marginal suppliers and scenarios definition</w:t>
      </w:r>
      <w:bookmarkEnd w:id="4"/>
    </w:p>
    <w:p w14:paraId="47BE1C9F" w14:textId="25C7A2DA" w:rsidR="0004184D" w:rsidRPr="00793512" w:rsidRDefault="0004184D" w:rsidP="00F13E53">
      <w:pPr>
        <w:jc w:val="both"/>
      </w:pPr>
      <w:r w:rsidRPr="00793512">
        <w:t xml:space="preserve">This section details the rationale, sources and assumptions used to model </w:t>
      </w:r>
      <w:r w:rsidR="00F13E53">
        <w:t xml:space="preserve">plausible development contexts for residual biomass </w:t>
      </w:r>
      <w:r w:rsidR="004E6D7F">
        <w:t>valorization</w:t>
      </w:r>
      <w:r w:rsidR="00F13E53">
        <w:t xml:space="preserve"> </w:t>
      </w:r>
      <w:r w:rsidRPr="00793512">
        <w:t>pathways</w:t>
      </w:r>
      <w:r w:rsidR="00F13E53">
        <w:t xml:space="preserve">, formulated as </w:t>
      </w:r>
      <w:r w:rsidR="004E6D7F">
        <w:t>exploratory</w:t>
      </w:r>
      <w:r w:rsidR="00F13E53">
        <w:t xml:space="preserve"> scenarios. Background data and calculations</w:t>
      </w:r>
      <w:r w:rsidRPr="00793512">
        <w:t xml:space="preserve"> </w:t>
      </w:r>
      <w:r w:rsidR="00F13E53">
        <w:t xml:space="preserve">are </w:t>
      </w:r>
      <w:r w:rsidRPr="00793512">
        <w:t xml:space="preserve">available in </w:t>
      </w:r>
      <w:r w:rsidR="00F13E53">
        <w:t xml:space="preserve">the </w:t>
      </w:r>
      <w:r w:rsidR="00F13E53" w:rsidRPr="00F13E53">
        <w:rPr>
          <w:b/>
        </w:rPr>
        <w:t>data repository</w:t>
      </w:r>
      <w:r w:rsidRPr="00793512">
        <w:t>.</w:t>
      </w:r>
      <w:r w:rsidR="0026081A" w:rsidRPr="00793512">
        <w:t xml:space="preserve"> </w:t>
      </w:r>
      <w:r w:rsidR="00D66581">
        <w:t>The scenarios were elaborated to capture the main uncertainties regarding the</w:t>
      </w:r>
      <w:r w:rsidR="00F13E53">
        <w:t xml:space="preserve"> future </w:t>
      </w:r>
      <w:r w:rsidR="0026081A" w:rsidRPr="00793512">
        <w:t>evolutions</w:t>
      </w:r>
      <w:r w:rsidR="00F13E53">
        <w:t xml:space="preserve"> of</w:t>
      </w:r>
      <w:r w:rsidR="0026081A" w:rsidRPr="00793512">
        <w:t xml:space="preserve"> energy, fertilizer</w:t>
      </w:r>
      <w:r w:rsidR="00F13E53">
        <w:t xml:space="preserve">, </w:t>
      </w:r>
      <w:r w:rsidR="0026081A" w:rsidRPr="00793512">
        <w:t xml:space="preserve">food and feed </w:t>
      </w:r>
      <w:r w:rsidR="00F13E53">
        <w:t>markets</w:t>
      </w:r>
      <w:r w:rsidR="0026081A" w:rsidRPr="00793512">
        <w:t>.</w:t>
      </w:r>
    </w:p>
    <w:p w14:paraId="261D02D3" w14:textId="77777777" w:rsidR="009955BF" w:rsidRDefault="009955BF" w:rsidP="009955BF">
      <w:pPr>
        <w:pStyle w:val="Contenudetableau"/>
      </w:pPr>
    </w:p>
    <w:p w14:paraId="284965B5" w14:textId="05AF0344" w:rsidR="00CA4C29" w:rsidRPr="00793512" w:rsidRDefault="0026081A" w:rsidP="0026081A">
      <w:pPr>
        <w:pStyle w:val="Titre2"/>
      </w:pPr>
      <w:r w:rsidRPr="00793512">
        <w:t>Energy markets</w:t>
      </w:r>
    </w:p>
    <w:p w14:paraId="4D23C4BE" w14:textId="0662CD13" w:rsidR="00760046" w:rsidRPr="00793512" w:rsidRDefault="00D66581" w:rsidP="00F13E53">
      <w:pPr>
        <w:jc w:val="both"/>
      </w:pPr>
      <w:r>
        <w:t xml:space="preserve">Almost all selected </w:t>
      </w:r>
      <w:r w:rsidR="0026081A" w:rsidRPr="00793512">
        <w:t xml:space="preserve">pathways </w:t>
      </w:r>
      <w:r>
        <w:t xml:space="preserve">supply and consume power </w:t>
      </w:r>
      <w:r w:rsidR="0026081A" w:rsidRPr="00793512">
        <w:t xml:space="preserve">and heat. </w:t>
      </w:r>
      <w:r>
        <w:t xml:space="preserve">Both markets </w:t>
      </w:r>
      <w:r w:rsidR="0026081A" w:rsidRPr="00793512">
        <w:t xml:space="preserve">are further detailed separately. </w:t>
      </w:r>
      <w:r>
        <w:t>No scenarios on future t</w:t>
      </w:r>
      <w:r w:rsidR="0026081A" w:rsidRPr="00793512">
        <w:t xml:space="preserve">ransportation </w:t>
      </w:r>
      <w:r>
        <w:t xml:space="preserve">markets </w:t>
      </w:r>
      <w:r w:rsidR="0026081A" w:rsidRPr="00793512">
        <w:t xml:space="preserve">were included </w:t>
      </w:r>
      <w:r>
        <w:t xml:space="preserve">in the analysis </w:t>
      </w:r>
      <w:r w:rsidR="0026081A" w:rsidRPr="00793512">
        <w:t>as no</w:t>
      </w:r>
      <w:r>
        <w:t>ne of</w:t>
      </w:r>
      <w:r w:rsidR="0026081A" w:rsidRPr="00793512">
        <w:t xml:space="preserve"> </w:t>
      </w:r>
      <w:r>
        <w:t>the selected</w:t>
      </w:r>
      <w:r w:rsidR="0026081A" w:rsidRPr="00793512">
        <w:t xml:space="preserve"> pathway</w:t>
      </w:r>
      <w:r>
        <w:t>s</w:t>
      </w:r>
      <w:r w:rsidR="0026081A" w:rsidRPr="00793512">
        <w:t xml:space="preserve"> </w:t>
      </w:r>
      <w:r w:rsidR="00F13E53">
        <w:t xml:space="preserve">specifically </w:t>
      </w:r>
      <w:r w:rsidR="0026081A" w:rsidRPr="00793512">
        <w:t>suppli</w:t>
      </w:r>
      <w:r>
        <w:t>ed</w:t>
      </w:r>
      <w:r w:rsidR="0026081A" w:rsidRPr="00793512">
        <w:t xml:space="preserve"> transportation services, and </w:t>
      </w:r>
      <w:r w:rsidR="00F13E53">
        <w:t xml:space="preserve">because </w:t>
      </w:r>
      <w:r>
        <w:t>transportation was found as neglectable in the LCA contribution analysis</w:t>
      </w:r>
      <w:r w:rsidR="0026081A" w:rsidRPr="00793512">
        <w:t xml:space="preserve"> (foreground supply chains</w:t>
      </w:r>
      <w:r w:rsidR="00F13E53">
        <w:t xml:space="preserve"> assumed at France scale</w:t>
      </w:r>
      <w:r w:rsidR="0026081A" w:rsidRPr="00793512">
        <w:t xml:space="preserve">). </w:t>
      </w:r>
      <w:r>
        <w:t>Here, t</w:t>
      </w:r>
      <w:r w:rsidR="0026081A" w:rsidRPr="00793512">
        <w:t>ransportation</w:t>
      </w:r>
      <w:r>
        <w:t xml:space="preserve"> requirements were modeled with a </w:t>
      </w:r>
      <w:r w:rsidR="0026081A" w:rsidRPr="00793512">
        <w:t xml:space="preserve">fixed </w:t>
      </w:r>
      <w:proofErr w:type="spellStart"/>
      <w:r>
        <w:t>ecoinvent</w:t>
      </w:r>
      <w:proofErr w:type="spellEnd"/>
      <w:r>
        <w:t xml:space="preserve"> activity proxy, </w:t>
      </w:r>
      <w:r w:rsidR="0026081A" w:rsidRPr="00793512">
        <w:t>as detailed in</w:t>
      </w:r>
      <w:r w:rsidR="00F13E53">
        <w:t xml:space="preserve"> </w:t>
      </w:r>
      <w:r>
        <w:t xml:space="preserve">a </w:t>
      </w:r>
      <w:r w:rsidR="00F13E53">
        <w:t>previous study</w:t>
      </w:r>
      <w:r w:rsidR="00F13E53">
        <w:fldChar w:fldCharType="begin"/>
      </w:r>
      <w:r w:rsidR="00CD084F">
        <w:instrText xml:space="preserve"> ADDIN ZOTERO_ITEM CSL_CITATION {"citationID":"amYkwJ6P","properties":{"formattedCitation":"\\super 1\\nosupersub{}","plainCitation":"1","noteIndex":0},"citationItems":[{"id":14334,"uris":["http://zotero.org/users/6423791/items/VWPZYH5Z"],"itemData":{"id":14334,"type":"article","DOI":"https://doi.org/10.21203/rs.3.rs-3671083/v1","genre":"preprint","publisher":"Research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pathways","author":[{"family":"Javourez","given":"U."},{"family":"Tiruta-Barna","given":"L."},{"family":"Hamelin","given":"L."}],"issued":{"date-parts":[["2023",11,20]]}}}],"schema":"https://github.com/citation-style-language/schema/raw/master/csl-citation.json"} </w:instrText>
      </w:r>
      <w:r w:rsidR="00F13E53">
        <w:fldChar w:fldCharType="separate"/>
      </w:r>
      <w:r w:rsidR="00F13E53" w:rsidRPr="00F13E53">
        <w:rPr>
          <w:rFonts w:ascii="Calibri" w:hAnsi="Calibri" w:cs="Calibri"/>
          <w:szCs w:val="24"/>
          <w:vertAlign w:val="superscript"/>
        </w:rPr>
        <w:t>1</w:t>
      </w:r>
      <w:r w:rsidR="00F13E53">
        <w:fldChar w:fldCharType="end"/>
      </w:r>
      <w:r w:rsidR="0026081A" w:rsidRPr="00793512">
        <w:t xml:space="preserve">. Planning future roadmaps for </w:t>
      </w:r>
      <w:r>
        <w:t xml:space="preserve">energy </w:t>
      </w:r>
      <w:r w:rsidR="0026081A" w:rsidRPr="00793512">
        <w:t xml:space="preserve">markets is already widely developed at each country scale. </w:t>
      </w:r>
      <w:r>
        <w:t>Thus</w:t>
      </w:r>
      <w:r w:rsidR="0026081A" w:rsidRPr="00793512">
        <w:t xml:space="preserve">, </w:t>
      </w:r>
      <w:r>
        <w:t xml:space="preserve">contrasted </w:t>
      </w:r>
      <w:r w:rsidRPr="00793512">
        <w:t xml:space="preserve">marginal </w:t>
      </w:r>
      <w:r>
        <w:t>power</w:t>
      </w:r>
      <w:r w:rsidRPr="00793512">
        <w:t xml:space="preserve"> and heat production </w:t>
      </w:r>
      <w:r>
        <w:t>suppliers</w:t>
      </w:r>
      <w:r w:rsidRPr="00793512">
        <w:t xml:space="preserve"> for France</w:t>
      </w:r>
      <w:r>
        <w:t xml:space="preserve"> were identified based on a benchmark </w:t>
      </w:r>
      <w:r w:rsidR="0026081A" w:rsidRPr="00793512">
        <w:t xml:space="preserve">of </w:t>
      </w:r>
      <w:r>
        <w:t>authoritative</w:t>
      </w:r>
      <w:r w:rsidR="0026081A" w:rsidRPr="00793512">
        <w:t xml:space="preserve"> energy </w:t>
      </w:r>
      <w:r w:rsidR="00F13E53">
        <w:t>systems forecasts</w:t>
      </w:r>
      <w:r w:rsidR="0026081A" w:rsidRPr="00793512">
        <w:t xml:space="preserve"> for France </w:t>
      </w:r>
      <w:r>
        <w:t>elaborated</w:t>
      </w:r>
      <w:r w:rsidR="0026081A" w:rsidRPr="00793512">
        <w:t xml:space="preserve"> in a companion study</w:t>
      </w:r>
      <w:r w:rsidR="00F13E53">
        <w:fldChar w:fldCharType="begin"/>
      </w:r>
      <w:r w:rsidR="00CD084F">
        <w:instrText xml:space="preserve"> ADDIN ZOTERO_ITEM CSL_CITATION {"citationID":"zlf8FY3E","properties":{"formattedCitation":"\\super 3\\nosupersub{}","plainCitation":"3","noteIndex":0},"citationItems":[{"id":14333,"uris":["http://zotero.org/users/6423791/items/XCNA2SYX"],"itemData":{"id":14333,"type":"article","DOI":"10.21203/rs.3.rs-3626167/v2","genre":"preprint","publisher":"Research Square","title":"Setting the environmental performance threshold for diverting residual streams towards bioeconomy strategies","author":[{"family":"Javourez","given":"U."},{"family":"Karan","given":"S. K."},{"family":"Hamelin","given":"L."}],"issued":{"date-parts":[["2023",11,20]]}}}],"schema":"https://github.com/citation-style-language/schema/raw/master/csl-citation.json"} </w:instrText>
      </w:r>
      <w:r w:rsidR="00F13E53">
        <w:fldChar w:fldCharType="separate"/>
      </w:r>
      <w:r w:rsidR="00F13E53" w:rsidRPr="00F13E53">
        <w:rPr>
          <w:rFonts w:ascii="Calibri" w:hAnsi="Calibri" w:cs="Calibri"/>
          <w:szCs w:val="24"/>
          <w:vertAlign w:val="superscript"/>
        </w:rPr>
        <w:t>3</w:t>
      </w:r>
      <w:r w:rsidR="00F13E53">
        <w:fldChar w:fldCharType="end"/>
      </w:r>
      <w:r w:rsidR="00760046" w:rsidRPr="00793512">
        <w:t>.</w:t>
      </w:r>
    </w:p>
    <w:p w14:paraId="52375566" w14:textId="12CCAB5E" w:rsidR="00760046" w:rsidRPr="00793512" w:rsidRDefault="00760046" w:rsidP="00760046">
      <w:pPr>
        <w:pStyle w:val="Titre3"/>
      </w:pPr>
      <w:r w:rsidRPr="00793512">
        <w:t>Electricity markets</w:t>
      </w:r>
    </w:p>
    <w:p w14:paraId="106E79E6" w14:textId="12ABADAA" w:rsidR="0026081A" w:rsidRPr="00793512" w:rsidRDefault="00FF59CD" w:rsidP="00760046">
      <w:pPr>
        <w:jc w:val="both"/>
      </w:pPr>
      <w:r>
        <w:t xml:space="preserve">The </w:t>
      </w:r>
      <w:r w:rsidR="00760046" w:rsidRPr="00793512">
        <w:t xml:space="preserve">marginal power </w:t>
      </w:r>
      <w:r>
        <w:t xml:space="preserve">suppliers </w:t>
      </w:r>
      <w:r w:rsidR="00760046" w:rsidRPr="00793512">
        <w:t>mix</w:t>
      </w:r>
      <w:r>
        <w:t>es</w:t>
      </w:r>
      <w:r w:rsidR="00760046" w:rsidRPr="00793512">
        <w:t xml:space="preserve"> </w:t>
      </w:r>
      <w:r w:rsidR="00C61A9E">
        <w:t>(</w:t>
      </w:r>
      <w:r>
        <w:t>as estimated with the</w:t>
      </w:r>
      <w:r w:rsidR="00C61A9E">
        <w:t xml:space="preserve"> reviewed forecasts</w:t>
      </w:r>
      <w:r w:rsidR="00C61A9E">
        <w:fldChar w:fldCharType="begin"/>
      </w:r>
      <w:r w:rsidR="00CD084F">
        <w:instrText xml:space="preserve"> ADDIN ZOTERO_ITEM CSL_CITATION {"citationID":"oIgHQTWT","properties":{"formattedCitation":"\\super 3\\nosupersub{}","plainCitation":"3","noteIndex":0},"citationItems":[{"id":14333,"uris":["http://zotero.org/users/6423791/items/XCNA2SYX"],"itemData":{"id":14333,"type":"article","DOI":"10.21203/rs.3.rs-3626167/v2","genre":"preprint","publisher":"Research Square","title":"Setting the environmental performance threshold for diverting residual streams towards bioeconomy strategies","author":[{"family":"Javourez","given":"U."},{"family":"Karan","given":"S. K."},{"family":"Hamelin","given":"L."}],"issued":{"date-parts":[["2023",11,20]]}}}],"schema":"https://github.com/citation-style-language/schema/raw/master/csl-citation.json"} </w:instrText>
      </w:r>
      <w:r w:rsidR="00C61A9E">
        <w:fldChar w:fldCharType="separate"/>
      </w:r>
      <w:r w:rsidR="00C61A9E" w:rsidRPr="00C61A9E">
        <w:rPr>
          <w:rFonts w:ascii="Calibri" w:hAnsi="Calibri" w:cs="Calibri"/>
          <w:szCs w:val="24"/>
          <w:vertAlign w:val="superscript"/>
        </w:rPr>
        <w:t>3</w:t>
      </w:r>
      <w:r w:rsidR="00C61A9E">
        <w:fldChar w:fldCharType="end"/>
      </w:r>
      <w:r w:rsidR="00C61A9E">
        <w:t xml:space="preserve">) </w:t>
      </w:r>
      <w:r w:rsidR="00760046" w:rsidRPr="00793512">
        <w:t>w</w:t>
      </w:r>
      <w:r>
        <w:t>ere</w:t>
      </w:r>
      <w:r w:rsidR="00760046" w:rsidRPr="00793512">
        <w:t xml:space="preserve"> found m</w:t>
      </w:r>
      <w:r>
        <w:t>ainly</w:t>
      </w:r>
      <w:r w:rsidR="00760046" w:rsidRPr="00793512">
        <w:t xml:space="preserve"> </w:t>
      </w:r>
      <w:r>
        <w:t>composed</w:t>
      </w:r>
      <w:r w:rsidR="00760046" w:rsidRPr="00793512">
        <w:t xml:space="preserve"> by renewable technologies (</w:t>
      </w:r>
      <w:r w:rsidR="00F13E53" w:rsidRPr="00F13E53">
        <w:rPr>
          <w:b/>
        </w:rPr>
        <w:t>Table SI2</w:t>
      </w:r>
      <w:r w:rsidR="00F13E53">
        <w:t>)</w:t>
      </w:r>
      <w:r>
        <w:t>. Yet,</w:t>
      </w:r>
      <w:r w:rsidR="00760046" w:rsidRPr="00793512">
        <w:t xml:space="preserve"> </w:t>
      </w:r>
      <w:r w:rsidR="00C61A9E">
        <w:t>RTE’s forecasts</w:t>
      </w:r>
      <w:r w:rsidR="00C61A9E">
        <w:fldChar w:fldCharType="begin"/>
      </w:r>
      <w:r w:rsidR="00C61A9E">
        <w:instrText xml:space="preserve"> ADDIN ZOTERO_ITEM CSL_CITATION {"citationID":"XKh3uSQp","properties":{"formattedCitation":"\\super 4\\nosupersub{}","plainCitation":"4","noteIndex":0},"citationItems":[{"id":13239,"uris":["http://zotero.org/users/6423791/items/PU82UIAN"],"itemData":{"id":13239,"type":"report","event-place":"Paris","page":"64","publisher":"RTE","publisher-place":"Paris","title":"Energy pathways to 2050 - Key results - Executive summary","author":[{"literal":"RTE"}],"issued":{"date-parts":[["2021"]]}}}],"schema":"https://github.com/citation-style-language/schema/raw/master/csl-citation.json"} </w:instrText>
      </w:r>
      <w:r w:rsidR="00C61A9E">
        <w:fldChar w:fldCharType="separate"/>
      </w:r>
      <w:r w:rsidR="00C61A9E" w:rsidRPr="00C61A9E">
        <w:rPr>
          <w:rFonts w:ascii="Calibri" w:hAnsi="Calibri" w:cs="Calibri"/>
          <w:szCs w:val="24"/>
          <w:vertAlign w:val="superscript"/>
        </w:rPr>
        <w:t>4</w:t>
      </w:r>
      <w:r w:rsidR="00C61A9E">
        <w:fldChar w:fldCharType="end"/>
      </w:r>
      <w:r w:rsidR="00760046" w:rsidRPr="00793512">
        <w:t xml:space="preserve"> and recent debates in France highlight the uncertain role </w:t>
      </w:r>
      <w:r w:rsidR="006572FC">
        <w:t xml:space="preserve">that </w:t>
      </w:r>
      <w:r w:rsidR="00760046" w:rsidRPr="00793512">
        <w:t>nuclear-based technologies will play in future French power supplies. The eventuality that France revamps existing facilities and boosts the development of additional nuclear production capacities was therefore assessed as an alternative scenario</w:t>
      </w:r>
      <w:r w:rsidR="008F0D2D" w:rsidRPr="00793512">
        <w:t xml:space="preserve"> “Towards high electrification”</w:t>
      </w:r>
      <w:r w:rsidR="00760046" w:rsidRPr="00793512">
        <w:t>.</w:t>
      </w:r>
      <w:r w:rsidR="008F0D2D" w:rsidRPr="00793512">
        <w:t xml:space="preserve"> </w:t>
      </w:r>
      <w:r w:rsidR="00793512">
        <w:t>To illustrate the outcomes of the LCA model in a context of unfavorable power mix</w:t>
      </w:r>
      <w:r>
        <w:t xml:space="preserve"> (in terms of environmental impacts)</w:t>
      </w:r>
      <w:r w:rsidR="00793512">
        <w:t xml:space="preserve">, the average European (EU) situation was taken as an example. </w:t>
      </w:r>
      <w:r w:rsidR="00C61A9E">
        <w:t xml:space="preserve">The </w:t>
      </w:r>
      <w:r w:rsidR="00793512">
        <w:t xml:space="preserve">2030 average EU mix was directly </w:t>
      </w:r>
      <w:r w:rsidR="00390B3C">
        <w:t>derived</w:t>
      </w:r>
      <w:r w:rsidR="00793512">
        <w:t xml:space="preserve"> from projections by the EUREF2020 scenario</w:t>
      </w:r>
      <w:r w:rsidR="00793512">
        <w:fldChar w:fldCharType="begin"/>
      </w:r>
      <w:r w:rsidR="00C61A9E">
        <w:instrText xml:space="preserve"> ADDIN ZOTERO_ITEM CSL_CITATION {"citationID":"PABSmOy7","properties":{"formattedCitation":"\\super 5\\nosupersub{}","plainCitation":"5","noteIndex":0},"citationItems":[{"id":13241,"uris":["http://zotero.org/users/6423791/items/4I7TA53T"],"itemData":{"id":13241,"type":"book","event-place":"LU","ISBN":"978-92-76-39356-6","language":"en","number-of-pages":"184","publisher":"Publications Office of the European Union","publisher-place":"LU","source":"DOI.org (CSL JSON)","title":"EU reference scenario 2020: energy, transport and GHG emissions : trends to 2050.","title-short":"EU reference scenario 2020","URL":"https://data.europa.eu/doi/10.2833/35750","author":[{"literal":"European Commission"}],"accessed":{"date-parts":[["2022",5,1]]},"issued":{"date-parts":[["2021"]]}}}],"schema":"https://github.com/citation-style-language/schema/raw/master/csl-citation.json"} </w:instrText>
      </w:r>
      <w:r w:rsidR="00793512">
        <w:fldChar w:fldCharType="separate"/>
      </w:r>
      <w:r w:rsidR="00C61A9E" w:rsidRPr="00C61A9E">
        <w:rPr>
          <w:rFonts w:ascii="Calibri" w:hAnsi="Calibri" w:cs="Calibri"/>
          <w:szCs w:val="24"/>
          <w:vertAlign w:val="superscript"/>
        </w:rPr>
        <w:t>5</w:t>
      </w:r>
      <w:r w:rsidR="00793512">
        <w:fldChar w:fldCharType="end"/>
      </w:r>
      <w:r w:rsidR="00793512">
        <w:t xml:space="preserve">. </w:t>
      </w:r>
      <w:r w:rsidR="008F0D2D" w:rsidRPr="00793512">
        <w:t xml:space="preserve">LCI modeling and selected background </w:t>
      </w:r>
      <w:r w:rsidR="00492142">
        <w:t>activities</w:t>
      </w:r>
      <w:r w:rsidR="008F0D2D" w:rsidRPr="00793512">
        <w:t xml:space="preserve"> were detailed in </w:t>
      </w:r>
      <w:r>
        <w:t xml:space="preserve">a </w:t>
      </w:r>
      <w:r w:rsidR="008F0D2D" w:rsidRPr="00793512">
        <w:t>previous study</w:t>
      </w:r>
      <w:r w:rsidR="00C61A9E">
        <w:fldChar w:fldCharType="begin"/>
      </w:r>
      <w:r w:rsidR="00CD084F">
        <w:instrText xml:space="preserve"> ADDIN ZOTERO_ITEM CSL_CITATION {"citationID":"HHxTAtaI","properties":{"formattedCitation":"\\super 3\\nosupersub{}","plainCitation":"3","noteIndex":0},"citationItems":[{"id":14333,"uris":["http://zotero.org/users/6423791/items/XCNA2SYX"],"itemData":{"id":14333,"type":"article","DOI":"10.21203/rs.3.rs-3626167/v2","genre":"preprint","publisher":"Research Square","title":"Setting the environmental performance threshold for diverting residual streams towards bioeconomy strategies","author":[{"family":"Javourez","given":"U."},{"family":"Karan","given":"S. K."},{"family":"Hamelin","given":"L."}],"issued":{"date-parts":[["2023",11,20]]}}}],"schema":"https://github.com/citation-style-language/schema/raw/master/csl-citation.json"} </w:instrText>
      </w:r>
      <w:r w:rsidR="00C61A9E">
        <w:fldChar w:fldCharType="separate"/>
      </w:r>
      <w:r w:rsidR="00C61A9E" w:rsidRPr="00C61A9E">
        <w:rPr>
          <w:rFonts w:ascii="Calibri" w:hAnsi="Calibri" w:cs="Calibri"/>
          <w:szCs w:val="24"/>
          <w:vertAlign w:val="superscript"/>
        </w:rPr>
        <w:t>3</w:t>
      </w:r>
      <w:r w:rsidR="00C61A9E">
        <w:fldChar w:fldCharType="end"/>
      </w:r>
      <w:r w:rsidR="008F0D2D" w:rsidRPr="00793512">
        <w:t>.</w:t>
      </w:r>
    </w:p>
    <w:p w14:paraId="3405896A" w14:textId="5E911AAD" w:rsidR="00394B16" w:rsidRPr="00793512" w:rsidRDefault="00F13E53" w:rsidP="00225F94">
      <w:pPr>
        <w:pStyle w:val="Lgende"/>
        <w:jc w:val="left"/>
      </w:pPr>
      <w:bookmarkStart w:id="5" w:name="_Ref151650016"/>
      <w:bookmarkStart w:id="6" w:name="_Toc155516838"/>
      <w:r>
        <w:t>Table SI</w:t>
      </w:r>
      <w:r>
        <w:fldChar w:fldCharType="begin"/>
      </w:r>
      <w:r>
        <w:instrText xml:space="preserve"> SEQ Table \* ARABIC </w:instrText>
      </w:r>
      <w:r>
        <w:fldChar w:fldCharType="separate"/>
      </w:r>
      <w:r w:rsidR="00C65861">
        <w:rPr>
          <w:noProof/>
        </w:rPr>
        <w:t>2</w:t>
      </w:r>
      <w:r>
        <w:fldChar w:fldCharType="end"/>
      </w:r>
      <w:bookmarkEnd w:id="5"/>
      <w:r>
        <w:t xml:space="preserve"> </w:t>
      </w:r>
      <w:r w:rsidR="00394B16" w:rsidRPr="00793512">
        <w:t xml:space="preserve">– </w:t>
      </w:r>
      <w:r w:rsidR="00F248E3">
        <w:t>LCA scores</w:t>
      </w:r>
      <w:r w:rsidR="00394B16" w:rsidRPr="00793512">
        <w:t xml:space="preserve"> of marginal power mixes in </w:t>
      </w:r>
      <w:r w:rsidR="00FF59CD">
        <w:t>three future</w:t>
      </w:r>
      <w:r w:rsidR="00394B16" w:rsidRPr="00793512">
        <w:t xml:space="preserve"> energy scenarios</w:t>
      </w:r>
      <w:bookmarkEnd w:id="6"/>
    </w:p>
    <w:tbl>
      <w:tblPr>
        <w:tblStyle w:val="Tableausimple2"/>
        <w:tblW w:w="0" w:type="auto"/>
        <w:tblLook w:val="04A0" w:firstRow="1" w:lastRow="0" w:firstColumn="1" w:lastColumn="0" w:noHBand="0" w:noVBand="1"/>
      </w:tblPr>
      <w:tblGrid>
        <w:gridCol w:w="2211"/>
        <w:gridCol w:w="2297"/>
        <w:gridCol w:w="2013"/>
        <w:gridCol w:w="2409"/>
      </w:tblGrid>
      <w:tr w:rsidR="00793512" w:rsidRPr="00AE3D44" w14:paraId="619863E0" w14:textId="69FEDFDC" w:rsidTr="00225F9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0330554" w14:textId="77777777" w:rsidR="00793512" w:rsidRPr="00225F94" w:rsidRDefault="00793512" w:rsidP="00225F94">
            <w:pPr>
              <w:pStyle w:val="Contenudetableau"/>
              <w:rPr>
                <w:bCs w:val="0"/>
                <w:color w:val="000000"/>
                <w:sz w:val="18"/>
                <w:szCs w:val="18"/>
              </w:rPr>
            </w:pPr>
            <w:r w:rsidRPr="00225F94">
              <w:rPr>
                <w:color w:val="000000"/>
                <w:sz w:val="18"/>
                <w:szCs w:val="18"/>
              </w:rPr>
              <w:t>Technology group</w:t>
            </w:r>
          </w:p>
          <w:p w14:paraId="50604C4B" w14:textId="77777777" w:rsidR="00793512" w:rsidRPr="00225F94" w:rsidRDefault="00793512" w:rsidP="00225F94">
            <w:pPr>
              <w:pStyle w:val="Contenudetableau"/>
              <w:rPr>
                <w:rFonts w:ascii="Calibri" w:hAnsi="Calibri"/>
                <w:b w:val="0"/>
                <w:bCs w:val="0"/>
                <w:color w:val="000000"/>
                <w:sz w:val="18"/>
                <w:szCs w:val="18"/>
              </w:rPr>
            </w:pPr>
            <w:r w:rsidRPr="00225F94">
              <w:rPr>
                <w:color w:val="000000"/>
                <w:sz w:val="18"/>
                <w:szCs w:val="18"/>
              </w:rPr>
              <w:t>(% in mix)</w:t>
            </w:r>
          </w:p>
        </w:tc>
        <w:tc>
          <w:tcPr>
            <w:tcW w:w="0" w:type="auto"/>
          </w:tcPr>
          <w:p w14:paraId="3C09DE0D" w14:textId="2FAC5CC9" w:rsidR="00793512" w:rsidRPr="00793512" w:rsidRDefault="00793512" w:rsidP="007F4C02">
            <w:pPr>
              <w:pStyle w:val="Contenudetableau"/>
              <w:cnfStyle w:val="100000000000" w:firstRow="1" w:lastRow="0" w:firstColumn="0" w:lastColumn="0" w:oddVBand="0" w:evenVBand="0" w:oddHBand="0" w:evenHBand="0" w:firstRowFirstColumn="0" w:firstRowLastColumn="0" w:lastRowFirstColumn="0" w:lastRowLastColumn="0"/>
              <w:rPr>
                <w:rFonts w:ascii="Calibri" w:hAnsi="Calibri"/>
                <w:b w:val="0"/>
                <w:bCs w:val="0"/>
                <w:color w:val="000000"/>
                <w:sz w:val="18"/>
                <w:szCs w:val="18"/>
              </w:rPr>
            </w:pPr>
            <w:r w:rsidRPr="00793512">
              <w:rPr>
                <w:color w:val="000000"/>
                <w:sz w:val="18"/>
                <w:szCs w:val="18"/>
              </w:rPr>
              <w:t>Toward renewable energies</w:t>
            </w:r>
          </w:p>
        </w:tc>
        <w:tc>
          <w:tcPr>
            <w:tcW w:w="2013" w:type="dxa"/>
          </w:tcPr>
          <w:p w14:paraId="254D4B13" w14:textId="0FCD844A" w:rsidR="00793512" w:rsidRPr="00793512" w:rsidRDefault="00793512" w:rsidP="007F4C02">
            <w:pPr>
              <w:pStyle w:val="Contenudetableau"/>
              <w:cnfStyle w:val="100000000000" w:firstRow="1" w:lastRow="0" w:firstColumn="0" w:lastColumn="0" w:oddVBand="0" w:evenVBand="0" w:oddHBand="0" w:evenHBand="0" w:firstRowFirstColumn="0" w:firstRowLastColumn="0" w:lastRowFirstColumn="0" w:lastRowLastColumn="0"/>
              <w:rPr>
                <w:color w:val="000000"/>
                <w:sz w:val="18"/>
                <w:szCs w:val="18"/>
              </w:rPr>
            </w:pPr>
            <w:r w:rsidRPr="00793512">
              <w:rPr>
                <w:color w:val="000000"/>
                <w:sz w:val="18"/>
                <w:szCs w:val="18"/>
              </w:rPr>
              <w:t>Towards high electrification</w:t>
            </w:r>
          </w:p>
        </w:tc>
        <w:tc>
          <w:tcPr>
            <w:tcW w:w="2409" w:type="dxa"/>
          </w:tcPr>
          <w:p w14:paraId="0E4C44D1" w14:textId="38640E03" w:rsidR="00793512" w:rsidRPr="00F7197B" w:rsidRDefault="00793512" w:rsidP="007F4C02">
            <w:pPr>
              <w:pStyle w:val="Contenudetableau"/>
              <w:cnfStyle w:val="100000000000" w:firstRow="1" w:lastRow="0" w:firstColumn="0" w:lastColumn="0" w:oddVBand="0" w:evenVBand="0" w:oddHBand="0" w:evenHBand="0" w:firstRowFirstColumn="0" w:firstRowLastColumn="0" w:lastRowFirstColumn="0" w:lastRowLastColumn="0"/>
              <w:rPr>
                <w:b w:val="0"/>
                <w:bCs w:val="0"/>
                <w:color w:val="000000"/>
                <w:sz w:val="18"/>
                <w:szCs w:val="18"/>
                <w:vertAlign w:val="superscript"/>
                <w:lang w:val="fr-FR"/>
              </w:rPr>
            </w:pPr>
            <w:r w:rsidRPr="00F7197B">
              <w:rPr>
                <w:color w:val="000000"/>
                <w:sz w:val="18"/>
                <w:szCs w:val="18"/>
                <w:lang w:val="fr-FR"/>
              </w:rPr>
              <w:t>Average EU situation, 2030</w:t>
            </w:r>
          </w:p>
          <w:p w14:paraId="71DED7FB" w14:textId="3C80EF21" w:rsidR="00793512" w:rsidRPr="00F7197B" w:rsidRDefault="00793512" w:rsidP="007F4C02">
            <w:pPr>
              <w:pStyle w:val="Contenudetableau"/>
              <w:cnfStyle w:val="100000000000" w:firstRow="1" w:lastRow="0" w:firstColumn="0" w:lastColumn="0" w:oddVBand="0" w:evenVBand="0" w:oddHBand="0" w:evenHBand="0" w:firstRowFirstColumn="0" w:firstRowLastColumn="0" w:lastRowFirstColumn="0" w:lastRowLastColumn="0"/>
              <w:rPr>
                <w:b w:val="0"/>
                <w:bCs w:val="0"/>
                <w:color w:val="000000"/>
                <w:sz w:val="18"/>
                <w:szCs w:val="18"/>
                <w:lang w:val="fr-FR"/>
              </w:rPr>
            </w:pPr>
            <w:r w:rsidRPr="00F7197B">
              <w:rPr>
                <w:color w:val="000000"/>
                <w:sz w:val="18"/>
                <w:szCs w:val="18"/>
                <w:lang w:val="fr-FR"/>
              </w:rPr>
              <w:t>(</w:t>
            </w:r>
            <w:r w:rsidRPr="00F7197B">
              <w:rPr>
                <w:i/>
                <w:color w:val="000000"/>
                <w:sz w:val="18"/>
                <w:szCs w:val="18"/>
                <w:lang w:val="fr-FR"/>
              </w:rPr>
              <w:t xml:space="preserve">Illustrative </w:t>
            </w:r>
            <w:proofErr w:type="spellStart"/>
            <w:r w:rsidRPr="00F7197B">
              <w:rPr>
                <w:i/>
                <w:color w:val="000000"/>
                <w:sz w:val="18"/>
                <w:szCs w:val="18"/>
                <w:lang w:val="fr-FR"/>
              </w:rPr>
              <w:t>purposes</w:t>
            </w:r>
            <w:proofErr w:type="spellEnd"/>
            <w:r w:rsidRPr="00F7197B">
              <w:rPr>
                <w:color w:val="000000"/>
                <w:sz w:val="18"/>
                <w:szCs w:val="18"/>
                <w:lang w:val="fr-FR"/>
              </w:rPr>
              <w:t>)</w:t>
            </w:r>
          </w:p>
        </w:tc>
      </w:tr>
      <w:tr w:rsidR="00793512" w:rsidRPr="00793512" w14:paraId="541C0F2D" w14:textId="0D10A8F4" w:rsidTr="00225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2E3C6955" w14:textId="77777777" w:rsidR="00793512" w:rsidRPr="00225F94" w:rsidRDefault="00793512" w:rsidP="00225F94">
            <w:pPr>
              <w:pStyle w:val="Contenudetableau"/>
              <w:rPr>
                <w:rFonts w:ascii="Calibri" w:hAnsi="Calibri"/>
                <w:b w:val="0"/>
                <w:color w:val="000000"/>
                <w:sz w:val="18"/>
                <w:szCs w:val="18"/>
              </w:rPr>
            </w:pPr>
            <w:r w:rsidRPr="00225F94">
              <w:rPr>
                <w:b w:val="0"/>
                <w:color w:val="000000"/>
                <w:sz w:val="18"/>
                <w:szCs w:val="18"/>
              </w:rPr>
              <w:t>Nuclear</w:t>
            </w:r>
          </w:p>
        </w:tc>
        <w:tc>
          <w:tcPr>
            <w:tcW w:w="0" w:type="auto"/>
          </w:tcPr>
          <w:p w14:paraId="0FD0B0D2" w14:textId="77777777"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0.1%</w:t>
            </w:r>
          </w:p>
        </w:tc>
        <w:tc>
          <w:tcPr>
            <w:tcW w:w="2013" w:type="dxa"/>
          </w:tcPr>
          <w:p w14:paraId="12102671" w14:textId="0577092D"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99.3%</w:t>
            </w:r>
          </w:p>
        </w:tc>
        <w:tc>
          <w:tcPr>
            <w:tcW w:w="2409" w:type="dxa"/>
          </w:tcPr>
          <w:p w14:paraId="532E5A5A" w14:textId="203CFD3E"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17.3%</w:t>
            </w:r>
          </w:p>
        </w:tc>
      </w:tr>
      <w:tr w:rsidR="00793512" w:rsidRPr="00793512" w14:paraId="05611DF6" w14:textId="344D1400" w:rsidTr="00225F94">
        <w:tc>
          <w:tcPr>
            <w:cnfStyle w:val="001000000000" w:firstRow="0" w:lastRow="0" w:firstColumn="1" w:lastColumn="0" w:oddVBand="0" w:evenVBand="0" w:oddHBand="0" w:evenHBand="0" w:firstRowFirstColumn="0" w:firstRowLastColumn="0" w:lastRowFirstColumn="0" w:lastRowLastColumn="0"/>
            <w:tcW w:w="0" w:type="auto"/>
          </w:tcPr>
          <w:p w14:paraId="537F159A" w14:textId="77777777" w:rsidR="00793512" w:rsidRPr="00225F94" w:rsidRDefault="00793512" w:rsidP="00225F94">
            <w:pPr>
              <w:pStyle w:val="Contenudetableau"/>
              <w:rPr>
                <w:rFonts w:ascii="Calibri" w:hAnsi="Calibri"/>
                <w:b w:val="0"/>
                <w:color w:val="000000"/>
                <w:sz w:val="18"/>
                <w:szCs w:val="18"/>
              </w:rPr>
            </w:pPr>
            <w:r w:rsidRPr="00225F94">
              <w:rPr>
                <w:b w:val="0"/>
                <w:color w:val="000000"/>
                <w:sz w:val="18"/>
                <w:szCs w:val="18"/>
              </w:rPr>
              <w:t>Biomass-waste</w:t>
            </w:r>
          </w:p>
        </w:tc>
        <w:tc>
          <w:tcPr>
            <w:tcW w:w="0" w:type="auto"/>
          </w:tcPr>
          <w:p w14:paraId="4DE2804E" w14:textId="77777777" w:rsidR="00793512" w:rsidRPr="00C17A27" w:rsidRDefault="00793512"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1.4%</w:t>
            </w:r>
          </w:p>
        </w:tc>
        <w:tc>
          <w:tcPr>
            <w:tcW w:w="2013" w:type="dxa"/>
          </w:tcPr>
          <w:p w14:paraId="5105AD32" w14:textId="77777777" w:rsidR="00793512" w:rsidRPr="00C17A27" w:rsidRDefault="00793512"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p>
        </w:tc>
        <w:tc>
          <w:tcPr>
            <w:tcW w:w="2409" w:type="dxa"/>
          </w:tcPr>
          <w:p w14:paraId="0C050DA8" w14:textId="6E31C780" w:rsidR="00793512" w:rsidRPr="00C17A27" w:rsidRDefault="00793512"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5.7%</w:t>
            </w:r>
          </w:p>
        </w:tc>
      </w:tr>
      <w:tr w:rsidR="00793512" w:rsidRPr="00793512" w14:paraId="7C45F296" w14:textId="38E9AEB6" w:rsidTr="00225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9C70FE0" w14:textId="77777777" w:rsidR="00793512" w:rsidRPr="00225F94" w:rsidRDefault="00793512" w:rsidP="00225F94">
            <w:pPr>
              <w:pStyle w:val="Contenudetableau"/>
              <w:rPr>
                <w:rFonts w:ascii="Calibri" w:hAnsi="Calibri"/>
                <w:b w:val="0"/>
                <w:color w:val="000000"/>
                <w:sz w:val="18"/>
                <w:szCs w:val="18"/>
              </w:rPr>
            </w:pPr>
            <w:r w:rsidRPr="00225F94">
              <w:rPr>
                <w:b w:val="0"/>
                <w:color w:val="000000"/>
                <w:sz w:val="18"/>
                <w:szCs w:val="18"/>
              </w:rPr>
              <w:t>Hydro</w:t>
            </w:r>
          </w:p>
        </w:tc>
        <w:tc>
          <w:tcPr>
            <w:tcW w:w="0" w:type="auto"/>
          </w:tcPr>
          <w:p w14:paraId="03C6CA27" w14:textId="77777777"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0.9%</w:t>
            </w:r>
          </w:p>
        </w:tc>
        <w:tc>
          <w:tcPr>
            <w:tcW w:w="2013" w:type="dxa"/>
          </w:tcPr>
          <w:p w14:paraId="583E7E91" w14:textId="77777777"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409" w:type="dxa"/>
          </w:tcPr>
          <w:p w14:paraId="77E05D4C" w14:textId="1181603F"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12.1%</w:t>
            </w:r>
          </w:p>
        </w:tc>
      </w:tr>
      <w:tr w:rsidR="00793512" w:rsidRPr="00793512" w14:paraId="664433D6" w14:textId="75681D00" w:rsidTr="00225F94">
        <w:tc>
          <w:tcPr>
            <w:cnfStyle w:val="001000000000" w:firstRow="0" w:lastRow="0" w:firstColumn="1" w:lastColumn="0" w:oddVBand="0" w:evenVBand="0" w:oddHBand="0" w:evenHBand="0" w:firstRowFirstColumn="0" w:firstRowLastColumn="0" w:lastRowFirstColumn="0" w:lastRowLastColumn="0"/>
            <w:tcW w:w="0" w:type="auto"/>
          </w:tcPr>
          <w:p w14:paraId="22785C14" w14:textId="77777777" w:rsidR="00793512" w:rsidRPr="00225F94" w:rsidRDefault="00793512" w:rsidP="00225F94">
            <w:pPr>
              <w:pStyle w:val="Contenudetableau"/>
              <w:rPr>
                <w:rFonts w:ascii="Calibri" w:hAnsi="Calibri"/>
                <w:b w:val="0"/>
                <w:color w:val="000000"/>
                <w:sz w:val="18"/>
                <w:szCs w:val="18"/>
              </w:rPr>
            </w:pPr>
            <w:r w:rsidRPr="00225F94">
              <w:rPr>
                <w:b w:val="0"/>
                <w:color w:val="000000"/>
                <w:sz w:val="18"/>
                <w:szCs w:val="18"/>
              </w:rPr>
              <w:t>Wind, onshore</w:t>
            </w:r>
          </w:p>
        </w:tc>
        <w:tc>
          <w:tcPr>
            <w:tcW w:w="0" w:type="auto"/>
          </w:tcPr>
          <w:p w14:paraId="61A7325E" w14:textId="77777777" w:rsidR="00793512" w:rsidRPr="00C17A27" w:rsidRDefault="00793512"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42.3%</w:t>
            </w:r>
          </w:p>
        </w:tc>
        <w:tc>
          <w:tcPr>
            <w:tcW w:w="2013" w:type="dxa"/>
          </w:tcPr>
          <w:p w14:paraId="0A4BA2C3" w14:textId="77777777" w:rsidR="00793512" w:rsidRPr="00C17A27" w:rsidRDefault="00793512"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p>
        </w:tc>
        <w:tc>
          <w:tcPr>
            <w:tcW w:w="2409" w:type="dxa"/>
          </w:tcPr>
          <w:p w14:paraId="362D7486" w14:textId="24F10852" w:rsidR="00793512" w:rsidRPr="00C17A27" w:rsidRDefault="00793512"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22.5%</w:t>
            </w:r>
          </w:p>
        </w:tc>
      </w:tr>
      <w:tr w:rsidR="00793512" w:rsidRPr="00793512" w14:paraId="50A5AD2C" w14:textId="08DC0556" w:rsidTr="00225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18583F6" w14:textId="77777777" w:rsidR="00793512" w:rsidRPr="00225F94" w:rsidRDefault="00793512" w:rsidP="00225F94">
            <w:pPr>
              <w:pStyle w:val="Contenudetableau"/>
              <w:rPr>
                <w:rFonts w:ascii="Calibri" w:hAnsi="Calibri"/>
                <w:b w:val="0"/>
                <w:color w:val="000000"/>
                <w:sz w:val="18"/>
                <w:szCs w:val="18"/>
              </w:rPr>
            </w:pPr>
            <w:r w:rsidRPr="00225F94">
              <w:rPr>
                <w:b w:val="0"/>
                <w:color w:val="000000"/>
                <w:sz w:val="18"/>
                <w:szCs w:val="18"/>
              </w:rPr>
              <w:t>Wind, offshore</w:t>
            </w:r>
          </w:p>
        </w:tc>
        <w:tc>
          <w:tcPr>
            <w:tcW w:w="0" w:type="auto"/>
          </w:tcPr>
          <w:p w14:paraId="35F344DD" w14:textId="77777777"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24.2%</w:t>
            </w:r>
          </w:p>
        </w:tc>
        <w:tc>
          <w:tcPr>
            <w:tcW w:w="2013" w:type="dxa"/>
          </w:tcPr>
          <w:p w14:paraId="7C9CDFFE" w14:textId="77777777"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409" w:type="dxa"/>
          </w:tcPr>
          <w:p w14:paraId="7BC560BF" w14:textId="7F4C8DDF"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6.8%</w:t>
            </w:r>
          </w:p>
        </w:tc>
      </w:tr>
      <w:tr w:rsidR="00793512" w:rsidRPr="00793512" w14:paraId="7BB04F1C" w14:textId="5E1D7B8B" w:rsidTr="00225F94">
        <w:tc>
          <w:tcPr>
            <w:cnfStyle w:val="001000000000" w:firstRow="0" w:lastRow="0" w:firstColumn="1" w:lastColumn="0" w:oddVBand="0" w:evenVBand="0" w:oddHBand="0" w:evenHBand="0" w:firstRowFirstColumn="0" w:firstRowLastColumn="0" w:lastRowFirstColumn="0" w:lastRowLastColumn="0"/>
            <w:tcW w:w="0" w:type="auto"/>
          </w:tcPr>
          <w:p w14:paraId="7EF1577C" w14:textId="77777777" w:rsidR="00793512" w:rsidRPr="00225F94" w:rsidRDefault="00793512" w:rsidP="00225F94">
            <w:pPr>
              <w:pStyle w:val="Contenudetableau"/>
              <w:rPr>
                <w:rFonts w:ascii="Calibri" w:hAnsi="Calibri"/>
                <w:b w:val="0"/>
                <w:color w:val="000000"/>
                <w:sz w:val="18"/>
                <w:szCs w:val="18"/>
              </w:rPr>
            </w:pPr>
            <w:r w:rsidRPr="00225F94">
              <w:rPr>
                <w:b w:val="0"/>
                <w:color w:val="000000"/>
                <w:sz w:val="18"/>
                <w:szCs w:val="18"/>
              </w:rPr>
              <w:t>Solar</w:t>
            </w:r>
          </w:p>
        </w:tc>
        <w:tc>
          <w:tcPr>
            <w:tcW w:w="0" w:type="auto"/>
          </w:tcPr>
          <w:p w14:paraId="4411D8A0" w14:textId="77777777" w:rsidR="00793512" w:rsidRPr="00C17A27" w:rsidRDefault="00793512"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30.5%</w:t>
            </w:r>
          </w:p>
        </w:tc>
        <w:tc>
          <w:tcPr>
            <w:tcW w:w="2013" w:type="dxa"/>
          </w:tcPr>
          <w:p w14:paraId="1675E820" w14:textId="77777777" w:rsidR="00793512" w:rsidRPr="00C17A27" w:rsidRDefault="00793512"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p>
        </w:tc>
        <w:tc>
          <w:tcPr>
            <w:tcW w:w="2409" w:type="dxa"/>
          </w:tcPr>
          <w:p w14:paraId="2C195C96" w14:textId="15052A5D" w:rsidR="00793512" w:rsidRPr="00C17A27" w:rsidRDefault="00793512"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11.7%</w:t>
            </w:r>
          </w:p>
        </w:tc>
      </w:tr>
      <w:tr w:rsidR="00793512" w:rsidRPr="00793512" w14:paraId="5E405FFD" w14:textId="6401BF35" w:rsidTr="00225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D7CEF9" w14:textId="77777777" w:rsidR="00793512" w:rsidRPr="00225F94" w:rsidRDefault="00793512" w:rsidP="00225F94">
            <w:pPr>
              <w:pStyle w:val="Contenudetableau"/>
              <w:rPr>
                <w:rFonts w:ascii="Calibri" w:hAnsi="Calibri"/>
                <w:b w:val="0"/>
                <w:color w:val="000000"/>
                <w:sz w:val="18"/>
                <w:szCs w:val="18"/>
              </w:rPr>
            </w:pPr>
            <w:r w:rsidRPr="00225F94">
              <w:rPr>
                <w:b w:val="0"/>
                <w:color w:val="000000"/>
                <w:sz w:val="18"/>
                <w:szCs w:val="18"/>
              </w:rPr>
              <w:t>Geothermal</w:t>
            </w:r>
          </w:p>
        </w:tc>
        <w:tc>
          <w:tcPr>
            <w:tcW w:w="0" w:type="auto"/>
          </w:tcPr>
          <w:p w14:paraId="491FA66C" w14:textId="5258A723"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013" w:type="dxa"/>
          </w:tcPr>
          <w:p w14:paraId="53A4B9A3" w14:textId="77777777"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409" w:type="dxa"/>
          </w:tcPr>
          <w:p w14:paraId="3211307E" w14:textId="0F172EB9"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0.2%</w:t>
            </w:r>
          </w:p>
        </w:tc>
      </w:tr>
      <w:tr w:rsidR="00793512" w:rsidRPr="00793512" w14:paraId="21DF7083" w14:textId="587E1C40" w:rsidTr="00225F94">
        <w:tc>
          <w:tcPr>
            <w:cnfStyle w:val="001000000000" w:firstRow="0" w:lastRow="0" w:firstColumn="1" w:lastColumn="0" w:oddVBand="0" w:evenVBand="0" w:oddHBand="0" w:evenHBand="0" w:firstRowFirstColumn="0" w:firstRowLastColumn="0" w:lastRowFirstColumn="0" w:lastRowLastColumn="0"/>
            <w:tcW w:w="0" w:type="auto"/>
          </w:tcPr>
          <w:p w14:paraId="66AF562F" w14:textId="77777777" w:rsidR="00793512" w:rsidRPr="00225F94" w:rsidRDefault="00793512" w:rsidP="00225F94">
            <w:pPr>
              <w:pStyle w:val="Contenudetableau"/>
              <w:rPr>
                <w:rFonts w:ascii="Calibri" w:hAnsi="Calibri"/>
                <w:b w:val="0"/>
                <w:color w:val="000000"/>
                <w:sz w:val="18"/>
                <w:szCs w:val="18"/>
              </w:rPr>
            </w:pPr>
            <w:r w:rsidRPr="00225F94">
              <w:rPr>
                <w:b w:val="0"/>
                <w:color w:val="000000"/>
                <w:sz w:val="18"/>
                <w:szCs w:val="18"/>
              </w:rPr>
              <w:t>Solid fossil fuel</w:t>
            </w:r>
          </w:p>
        </w:tc>
        <w:tc>
          <w:tcPr>
            <w:tcW w:w="0" w:type="auto"/>
          </w:tcPr>
          <w:p w14:paraId="6A6438AF" w14:textId="2E10C714" w:rsidR="00793512" w:rsidRPr="00C17A27" w:rsidRDefault="00793512"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p>
        </w:tc>
        <w:tc>
          <w:tcPr>
            <w:tcW w:w="2013" w:type="dxa"/>
          </w:tcPr>
          <w:p w14:paraId="52277E93" w14:textId="77777777" w:rsidR="00793512" w:rsidRPr="00C17A27" w:rsidRDefault="00793512"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p>
        </w:tc>
        <w:tc>
          <w:tcPr>
            <w:tcW w:w="2409" w:type="dxa"/>
          </w:tcPr>
          <w:p w14:paraId="790EB237" w14:textId="7C6E5B3A" w:rsidR="00793512" w:rsidRPr="00C17A27" w:rsidRDefault="00793512"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9.0%</w:t>
            </w:r>
            <w:r w:rsidR="0098795B" w:rsidRPr="0098795B">
              <w:rPr>
                <w:rFonts w:ascii="Calibri" w:hAnsi="Calibri"/>
                <w:color w:val="000000"/>
                <w:sz w:val="18"/>
                <w:szCs w:val="18"/>
                <w:vertAlign w:val="superscript"/>
              </w:rPr>
              <w:t>*</w:t>
            </w:r>
          </w:p>
        </w:tc>
      </w:tr>
      <w:tr w:rsidR="00793512" w:rsidRPr="00793512" w14:paraId="0A6C722B" w14:textId="43D7E88F" w:rsidTr="00225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3EC0A63" w14:textId="77777777" w:rsidR="00793512" w:rsidRPr="00225F94" w:rsidRDefault="00793512" w:rsidP="00225F94">
            <w:pPr>
              <w:pStyle w:val="Contenudetableau"/>
              <w:rPr>
                <w:rFonts w:ascii="Calibri" w:hAnsi="Calibri"/>
                <w:b w:val="0"/>
                <w:color w:val="000000"/>
                <w:sz w:val="18"/>
                <w:szCs w:val="18"/>
              </w:rPr>
            </w:pPr>
            <w:r w:rsidRPr="00225F94">
              <w:rPr>
                <w:b w:val="0"/>
                <w:color w:val="000000"/>
                <w:sz w:val="18"/>
                <w:szCs w:val="18"/>
              </w:rPr>
              <w:t>Petroleum products</w:t>
            </w:r>
          </w:p>
        </w:tc>
        <w:tc>
          <w:tcPr>
            <w:tcW w:w="0" w:type="auto"/>
          </w:tcPr>
          <w:p w14:paraId="69BCC8B3" w14:textId="54B20A2E"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013" w:type="dxa"/>
          </w:tcPr>
          <w:p w14:paraId="4EA00DA9" w14:textId="77777777"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409" w:type="dxa"/>
          </w:tcPr>
          <w:p w14:paraId="4D018419" w14:textId="30AEAE5E"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0.2%</w:t>
            </w:r>
            <w:r w:rsidR="0098795B" w:rsidRPr="0098795B">
              <w:rPr>
                <w:rFonts w:ascii="Calibri" w:hAnsi="Calibri"/>
                <w:color w:val="000000"/>
                <w:sz w:val="18"/>
                <w:szCs w:val="18"/>
                <w:vertAlign w:val="superscript"/>
              </w:rPr>
              <w:t>*</w:t>
            </w:r>
          </w:p>
        </w:tc>
      </w:tr>
      <w:tr w:rsidR="00793512" w:rsidRPr="00793512" w14:paraId="1626E2F6" w14:textId="4E359E3B" w:rsidTr="00225F94">
        <w:tc>
          <w:tcPr>
            <w:cnfStyle w:val="001000000000" w:firstRow="0" w:lastRow="0" w:firstColumn="1" w:lastColumn="0" w:oddVBand="0" w:evenVBand="0" w:oddHBand="0" w:evenHBand="0" w:firstRowFirstColumn="0" w:firstRowLastColumn="0" w:lastRowFirstColumn="0" w:lastRowLastColumn="0"/>
            <w:tcW w:w="0" w:type="auto"/>
          </w:tcPr>
          <w:p w14:paraId="7D6487C0" w14:textId="77777777" w:rsidR="00793512" w:rsidRPr="00225F94" w:rsidRDefault="00793512" w:rsidP="00225F94">
            <w:pPr>
              <w:pStyle w:val="Contenudetableau"/>
              <w:rPr>
                <w:rFonts w:ascii="Calibri" w:hAnsi="Calibri"/>
                <w:b w:val="0"/>
                <w:color w:val="000000"/>
                <w:sz w:val="18"/>
                <w:szCs w:val="18"/>
              </w:rPr>
            </w:pPr>
            <w:r w:rsidRPr="00225F94">
              <w:rPr>
                <w:b w:val="0"/>
                <w:color w:val="000000"/>
                <w:sz w:val="18"/>
                <w:szCs w:val="18"/>
              </w:rPr>
              <w:t>Gases</w:t>
            </w:r>
          </w:p>
        </w:tc>
        <w:tc>
          <w:tcPr>
            <w:tcW w:w="0" w:type="auto"/>
          </w:tcPr>
          <w:p w14:paraId="7CD86EFD" w14:textId="77777777" w:rsidR="00793512" w:rsidRPr="00C17A27" w:rsidRDefault="00793512"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0.7%</w:t>
            </w:r>
          </w:p>
        </w:tc>
        <w:tc>
          <w:tcPr>
            <w:tcW w:w="2013" w:type="dxa"/>
          </w:tcPr>
          <w:p w14:paraId="3CF645AC" w14:textId="5D20E75C" w:rsidR="00793512" w:rsidRPr="00C17A27" w:rsidRDefault="00793512"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0.7%</w:t>
            </w:r>
          </w:p>
        </w:tc>
        <w:tc>
          <w:tcPr>
            <w:tcW w:w="2409" w:type="dxa"/>
          </w:tcPr>
          <w:p w14:paraId="7A040D87" w14:textId="4DF8776D" w:rsidR="00793512" w:rsidRPr="00C17A27" w:rsidRDefault="00793512"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14.5%</w:t>
            </w:r>
          </w:p>
        </w:tc>
      </w:tr>
      <w:tr w:rsidR="00793512" w:rsidRPr="00793512" w14:paraId="2B273ADA" w14:textId="0887FAEB" w:rsidTr="00225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CDDC55D" w14:textId="77777777" w:rsidR="00793512" w:rsidRPr="00225F94" w:rsidRDefault="00793512" w:rsidP="00225F94">
            <w:pPr>
              <w:pStyle w:val="Contenudetableau"/>
              <w:rPr>
                <w:rFonts w:ascii="Calibri" w:hAnsi="Calibri"/>
                <w:b w:val="0"/>
                <w:color w:val="000000"/>
                <w:sz w:val="18"/>
                <w:szCs w:val="18"/>
              </w:rPr>
            </w:pPr>
            <w:r w:rsidRPr="00225F94">
              <w:rPr>
                <w:b w:val="0"/>
                <w:color w:val="000000"/>
                <w:sz w:val="18"/>
                <w:szCs w:val="18"/>
              </w:rPr>
              <w:t>Hydrogen</w:t>
            </w:r>
          </w:p>
        </w:tc>
        <w:tc>
          <w:tcPr>
            <w:tcW w:w="0" w:type="auto"/>
          </w:tcPr>
          <w:p w14:paraId="7F84F7E6" w14:textId="4D3D5E3A"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013" w:type="dxa"/>
          </w:tcPr>
          <w:p w14:paraId="5E7BFFD2" w14:textId="77777777"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409" w:type="dxa"/>
          </w:tcPr>
          <w:p w14:paraId="63B1BB0C" w14:textId="77777777" w:rsidR="00793512" w:rsidRPr="00C17A27" w:rsidRDefault="00793512" w:rsidP="00A20660">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r>
      <w:tr w:rsidR="00793512" w:rsidRPr="00793512" w14:paraId="0DDF4A54" w14:textId="3461A59C" w:rsidTr="00225F94">
        <w:tc>
          <w:tcPr>
            <w:cnfStyle w:val="001000000000" w:firstRow="0" w:lastRow="0" w:firstColumn="1" w:lastColumn="0" w:oddVBand="0" w:evenVBand="0" w:oddHBand="0" w:evenHBand="0" w:firstRowFirstColumn="0" w:firstRowLastColumn="0" w:lastRowFirstColumn="0" w:lastRowLastColumn="0"/>
            <w:tcW w:w="0" w:type="auto"/>
          </w:tcPr>
          <w:p w14:paraId="1B098042" w14:textId="77777777" w:rsidR="00793512" w:rsidRPr="00225F94" w:rsidRDefault="00793512" w:rsidP="00225F94">
            <w:pPr>
              <w:pStyle w:val="Contenudetableau"/>
              <w:rPr>
                <w:rFonts w:ascii="Calibri" w:hAnsi="Calibri"/>
                <w:b w:val="0"/>
                <w:color w:val="000000"/>
                <w:sz w:val="18"/>
                <w:szCs w:val="18"/>
              </w:rPr>
            </w:pPr>
            <w:r w:rsidRPr="00225F94">
              <w:rPr>
                <w:b w:val="0"/>
                <w:color w:val="000000"/>
                <w:sz w:val="18"/>
                <w:szCs w:val="18"/>
              </w:rPr>
              <w:t>Others</w:t>
            </w:r>
          </w:p>
        </w:tc>
        <w:tc>
          <w:tcPr>
            <w:tcW w:w="0" w:type="auto"/>
          </w:tcPr>
          <w:p w14:paraId="5A3DBF43" w14:textId="6C2FBC58" w:rsidR="00793512" w:rsidRPr="00C61A9E" w:rsidRDefault="00C61A9E"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i/>
                <w:color w:val="000000"/>
                <w:sz w:val="18"/>
                <w:szCs w:val="18"/>
              </w:rPr>
            </w:pPr>
            <w:r>
              <w:rPr>
                <w:rFonts w:ascii="Calibri" w:hAnsi="Calibri"/>
                <w:i/>
                <w:color w:val="000000"/>
                <w:sz w:val="18"/>
                <w:szCs w:val="18"/>
              </w:rPr>
              <w:t>Review</w:t>
            </w:r>
            <w:r w:rsidR="009D6544">
              <w:rPr>
                <w:rFonts w:ascii="Calibri" w:hAnsi="Calibri"/>
                <w:i/>
                <w:color w:val="000000"/>
                <w:sz w:val="18"/>
                <w:szCs w:val="18"/>
              </w:rPr>
              <w:t>ed</w:t>
            </w:r>
            <w:r>
              <w:rPr>
                <w:rFonts w:ascii="Calibri" w:hAnsi="Calibri"/>
                <w:i/>
                <w:color w:val="000000"/>
                <w:sz w:val="18"/>
                <w:szCs w:val="18"/>
              </w:rPr>
              <w:t xml:space="preserve"> French forecasts</w:t>
            </w:r>
            <w:r>
              <w:rPr>
                <w:rFonts w:ascii="Calibri" w:hAnsi="Calibri"/>
                <w:i/>
                <w:color w:val="000000"/>
                <w:sz w:val="18"/>
                <w:szCs w:val="18"/>
              </w:rPr>
              <w:fldChar w:fldCharType="begin"/>
            </w:r>
            <w:r w:rsidR="00CD084F">
              <w:rPr>
                <w:rFonts w:ascii="Calibri" w:hAnsi="Calibri"/>
                <w:i/>
                <w:color w:val="000000"/>
                <w:sz w:val="18"/>
                <w:szCs w:val="18"/>
              </w:rPr>
              <w:instrText xml:space="preserve"> ADDIN ZOTERO_ITEM CSL_CITATION {"citationID":"psl6VV4A","properties":{"formattedCitation":"\\super 3\\nosupersub{}","plainCitation":"3","noteIndex":0},"citationItems":[{"id":14333,"uris":["http://zotero.org/users/6423791/items/XCNA2SYX"],"itemData":{"id":14333,"type":"article","DOI":"10.21203/rs.3.rs-3626167/v2","genre":"preprint","publisher":"Research Square","title":"Setting the environmental performance threshold for diverting residual streams towards bioeconomy strategies","author":[{"family":"Javourez","given":"U."},{"family":"Karan","given":"S. K."},{"family":"Hamelin","given":"L."}],"issued":{"date-parts":[["2023",11,20]]}}}],"schema":"https://github.com/citation-style-language/schema/raw/master/csl-citation.json"} </w:instrText>
            </w:r>
            <w:r>
              <w:rPr>
                <w:rFonts w:ascii="Calibri" w:hAnsi="Calibri"/>
                <w:i/>
                <w:color w:val="000000"/>
                <w:sz w:val="18"/>
                <w:szCs w:val="18"/>
              </w:rPr>
              <w:fldChar w:fldCharType="separate"/>
            </w:r>
            <w:r w:rsidRPr="00C61A9E">
              <w:rPr>
                <w:rFonts w:ascii="Calibri" w:hAnsi="Calibri" w:cs="Calibri"/>
                <w:sz w:val="18"/>
                <w:szCs w:val="24"/>
                <w:vertAlign w:val="superscript"/>
              </w:rPr>
              <w:t>3</w:t>
            </w:r>
            <w:r>
              <w:rPr>
                <w:rFonts w:ascii="Calibri" w:hAnsi="Calibri"/>
                <w:i/>
                <w:color w:val="000000"/>
                <w:sz w:val="18"/>
                <w:szCs w:val="18"/>
              </w:rPr>
              <w:fldChar w:fldCharType="end"/>
            </w:r>
          </w:p>
        </w:tc>
        <w:tc>
          <w:tcPr>
            <w:tcW w:w="2013" w:type="dxa"/>
          </w:tcPr>
          <w:p w14:paraId="0CFDE1BF" w14:textId="1BB55E57" w:rsidR="00793512" w:rsidRPr="009D6544" w:rsidRDefault="009D6544"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i/>
                <w:color w:val="000000"/>
                <w:sz w:val="18"/>
                <w:szCs w:val="18"/>
              </w:rPr>
            </w:pPr>
            <w:r>
              <w:rPr>
                <w:rFonts w:ascii="Calibri" w:hAnsi="Calibri"/>
                <w:i/>
                <w:color w:val="000000"/>
                <w:sz w:val="18"/>
                <w:szCs w:val="18"/>
              </w:rPr>
              <w:t>Assumed</w:t>
            </w:r>
          </w:p>
        </w:tc>
        <w:tc>
          <w:tcPr>
            <w:tcW w:w="2409" w:type="dxa"/>
          </w:tcPr>
          <w:p w14:paraId="211B1AE1" w14:textId="03651C5F" w:rsidR="00793512" w:rsidRPr="009D6544" w:rsidRDefault="009D6544" w:rsidP="00A20660">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i/>
                <w:color w:val="000000"/>
                <w:sz w:val="18"/>
                <w:szCs w:val="18"/>
              </w:rPr>
            </w:pPr>
            <w:r w:rsidRPr="009D6544">
              <w:rPr>
                <w:i/>
                <w:sz w:val="18"/>
              </w:rPr>
              <w:t>EUREF2020 scenario</w:t>
            </w:r>
            <w:r w:rsidRPr="009D6544">
              <w:rPr>
                <w:i/>
                <w:sz w:val="18"/>
              </w:rPr>
              <w:fldChar w:fldCharType="begin"/>
            </w:r>
            <w:r w:rsidRPr="009D6544">
              <w:rPr>
                <w:i/>
                <w:sz w:val="18"/>
              </w:rPr>
              <w:instrText xml:space="preserve"> ADDIN ZOTERO_ITEM CSL_CITATION {"citationID":"kC1xKKMZ","properties":{"formattedCitation":"\\super 5\\nosupersub{}","plainCitation":"5","noteIndex":0},"citationItems":[{"id":13241,"uris":["http://zotero.org/users/6423791/items/4I7TA53T"],"itemData":{"id":13241,"type":"book","event-place":"LU","ISBN":"978-92-76-39356-6","language":"en","number-of-pages":"184","publisher":"Publications Office of the European Union","publisher-place":"LU","source":"DOI.org (CSL JSON)","title":"EU reference scenario 2020: energy, transport and GHG emissions : trends to 2050.","title-short":"EU reference scenario 2020","URL":"https://data.europa.eu/doi/10.2833/35750","author":[{"literal":"European Commission"}],"accessed":{"date-parts":[["2022",5,1]]},"issued":{"date-parts":[["2021"]]}}}],"schema":"https://github.com/citation-style-language/schema/raw/master/csl-citation.json"} </w:instrText>
            </w:r>
            <w:r w:rsidRPr="009D6544">
              <w:rPr>
                <w:i/>
                <w:sz w:val="18"/>
              </w:rPr>
              <w:fldChar w:fldCharType="separate"/>
            </w:r>
            <w:r w:rsidRPr="009D6544">
              <w:rPr>
                <w:rFonts w:ascii="Calibri" w:hAnsi="Calibri" w:cs="Calibri"/>
                <w:i/>
                <w:sz w:val="18"/>
                <w:szCs w:val="24"/>
                <w:vertAlign w:val="superscript"/>
              </w:rPr>
              <w:t>5</w:t>
            </w:r>
            <w:r w:rsidRPr="009D6544">
              <w:rPr>
                <w:i/>
                <w:sz w:val="18"/>
              </w:rPr>
              <w:fldChar w:fldCharType="end"/>
            </w:r>
          </w:p>
        </w:tc>
      </w:tr>
      <w:tr w:rsidR="00793512" w:rsidRPr="00793512" w14:paraId="68289567" w14:textId="77777777" w:rsidTr="00225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7E6E6" w:themeFill="background2"/>
          </w:tcPr>
          <w:p w14:paraId="7818BD71" w14:textId="092FE79B" w:rsidR="00793512" w:rsidRPr="00225F94" w:rsidRDefault="00C17A27" w:rsidP="00225F94">
            <w:pPr>
              <w:rPr>
                <w:rFonts w:ascii="Calibri" w:hAnsi="Calibri"/>
                <w:color w:val="000000"/>
                <w:sz w:val="18"/>
                <w:szCs w:val="18"/>
              </w:rPr>
            </w:pPr>
            <w:r w:rsidRPr="00225F94">
              <w:rPr>
                <w:sz w:val="18"/>
              </w:rPr>
              <w:t xml:space="preserve">Environmental </w:t>
            </w:r>
            <w:r w:rsidR="00793512" w:rsidRPr="00225F94">
              <w:rPr>
                <w:sz w:val="18"/>
              </w:rPr>
              <w:t>impacts</w:t>
            </w:r>
            <w:r w:rsidRPr="00225F94">
              <w:rPr>
                <w:sz w:val="18"/>
              </w:rPr>
              <w:t xml:space="preserve"> (EF 3.0)</w:t>
            </w:r>
            <w:r w:rsidR="00793512" w:rsidRPr="00225F94">
              <w:rPr>
                <w:sz w:val="18"/>
              </w:rPr>
              <w:t>, expressed per kWh supplied</w:t>
            </w:r>
          </w:p>
        </w:tc>
      </w:tr>
      <w:tr w:rsidR="00793512" w:rsidRPr="00793512" w14:paraId="1F323FCD" w14:textId="77777777" w:rsidTr="00225F94">
        <w:tc>
          <w:tcPr>
            <w:cnfStyle w:val="001000000000" w:firstRow="0" w:lastRow="0" w:firstColumn="1" w:lastColumn="0" w:oddVBand="0" w:evenVBand="0" w:oddHBand="0" w:evenHBand="0" w:firstRowFirstColumn="0" w:firstRowLastColumn="0" w:lastRowFirstColumn="0" w:lastRowLastColumn="0"/>
            <w:tcW w:w="0" w:type="auto"/>
          </w:tcPr>
          <w:p w14:paraId="4C6B6044" w14:textId="335044AD" w:rsidR="00793512" w:rsidRPr="00225F94" w:rsidRDefault="00793512" w:rsidP="00225F94">
            <w:pPr>
              <w:rPr>
                <w:b w:val="0"/>
                <w:sz w:val="18"/>
              </w:rPr>
            </w:pPr>
            <w:r w:rsidRPr="00225F94">
              <w:rPr>
                <w:b w:val="0"/>
                <w:sz w:val="18"/>
              </w:rPr>
              <w:t>Climate change (kgCO</w:t>
            </w:r>
            <w:r w:rsidRPr="00225F94">
              <w:rPr>
                <w:b w:val="0"/>
                <w:sz w:val="18"/>
                <w:vertAlign w:val="subscript"/>
              </w:rPr>
              <w:t>2</w:t>
            </w:r>
            <w:r w:rsidRPr="00225F94">
              <w:rPr>
                <w:b w:val="0"/>
                <w:sz w:val="18"/>
              </w:rPr>
              <w:t>-eq)</w:t>
            </w:r>
          </w:p>
        </w:tc>
        <w:tc>
          <w:tcPr>
            <w:tcW w:w="0" w:type="auto"/>
          </w:tcPr>
          <w:p w14:paraId="4E58E765" w14:textId="429D3ACA" w:rsidR="00793512" w:rsidRPr="00C17A27" w:rsidRDefault="00C17A27" w:rsidP="00793512">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0.059</w:t>
            </w:r>
          </w:p>
        </w:tc>
        <w:tc>
          <w:tcPr>
            <w:tcW w:w="2013" w:type="dxa"/>
          </w:tcPr>
          <w:p w14:paraId="43B1ED9A" w14:textId="7304B97C" w:rsidR="00793512" w:rsidRPr="00C17A27" w:rsidRDefault="00C17A27" w:rsidP="00793512">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0.016</w:t>
            </w:r>
          </w:p>
        </w:tc>
        <w:tc>
          <w:tcPr>
            <w:tcW w:w="2409" w:type="dxa"/>
          </w:tcPr>
          <w:p w14:paraId="1BF4F39B" w14:textId="3295DB21" w:rsidR="00793512" w:rsidRPr="00C17A27" w:rsidRDefault="00C17A27" w:rsidP="00793512">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0.158</w:t>
            </w:r>
          </w:p>
        </w:tc>
      </w:tr>
      <w:tr w:rsidR="00793512" w:rsidRPr="00793512" w14:paraId="7D20DBB8" w14:textId="77777777" w:rsidTr="00225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9F0DA7C" w14:textId="7629382A" w:rsidR="00793512" w:rsidRPr="00225F94" w:rsidRDefault="00793512" w:rsidP="00225F94">
            <w:pPr>
              <w:rPr>
                <w:b w:val="0"/>
                <w:sz w:val="18"/>
              </w:rPr>
            </w:pPr>
            <w:r w:rsidRPr="00225F94">
              <w:rPr>
                <w:b w:val="0"/>
                <w:sz w:val="18"/>
              </w:rPr>
              <w:t>Marine eutrophic</w:t>
            </w:r>
            <w:r w:rsidR="00896D2D" w:rsidRPr="00225F94">
              <w:rPr>
                <w:b w:val="0"/>
                <w:sz w:val="18"/>
              </w:rPr>
              <w:t>.</w:t>
            </w:r>
            <w:r w:rsidRPr="00225F94">
              <w:rPr>
                <w:b w:val="0"/>
                <w:sz w:val="18"/>
              </w:rPr>
              <w:t xml:space="preserve"> (kgN-eq)</w:t>
            </w:r>
          </w:p>
        </w:tc>
        <w:tc>
          <w:tcPr>
            <w:tcW w:w="0" w:type="auto"/>
          </w:tcPr>
          <w:p w14:paraId="47FA9665" w14:textId="63879B5E" w:rsidR="00793512" w:rsidRPr="00C17A27" w:rsidRDefault="00C17A27" w:rsidP="00793512">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6.8 x 10</w:t>
            </w:r>
            <w:r w:rsidRPr="00C17A27">
              <w:rPr>
                <w:rFonts w:ascii="Calibri" w:hAnsi="Calibri"/>
                <w:color w:val="000000"/>
                <w:sz w:val="18"/>
                <w:szCs w:val="18"/>
                <w:vertAlign w:val="superscript"/>
              </w:rPr>
              <w:t>-5</w:t>
            </w:r>
          </w:p>
        </w:tc>
        <w:tc>
          <w:tcPr>
            <w:tcW w:w="2013" w:type="dxa"/>
          </w:tcPr>
          <w:p w14:paraId="7368883D" w14:textId="26D26F0E" w:rsidR="00793512" w:rsidRPr="00C17A27" w:rsidRDefault="00C17A27" w:rsidP="00793512">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C17A27">
              <w:rPr>
                <w:rFonts w:ascii="Calibri" w:hAnsi="Calibri"/>
                <w:color w:val="000000"/>
                <w:sz w:val="18"/>
                <w:szCs w:val="18"/>
              </w:rPr>
              <w:t>6.</w:t>
            </w:r>
            <w:r>
              <w:rPr>
                <w:rFonts w:ascii="Calibri" w:hAnsi="Calibri"/>
                <w:color w:val="000000"/>
                <w:sz w:val="18"/>
                <w:szCs w:val="18"/>
              </w:rPr>
              <w:t>2</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-5</w:t>
            </w:r>
          </w:p>
        </w:tc>
        <w:tc>
          <w:tcPr>
            <w:tcW w:w="2409" w:type="dxa"/>
          </w:tcPr>
          <w:p w14:paraId="0C3F8D6A" w14:textId="757D8721" w:rsidR="00793512" w:rsidRPr="00C17A27" w:rsidRDefault="00C17A27" w:rsidP="00793512">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9.6</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-5</w:t>
            </w:r>
          </w:p>
        </w:tc>
      </w:tr>
      <w:tr w:rsidR="00793512" w:rsidRPr="00793512" w14:paraId="4AE78ED9" w14:textId="77777777" w:rsidTr="00225F94">
        <w:tc>
          <w:tcPr>
            <w:cnfStyle w:val="001000000000" w:firstRow="0" w:lastRow="0" w:firstColumn="1" w:lastColumn="0" w:oddVBand="0" w:evenVBand="0" w:oddHBand="0" w:evenHBand="0" w:firstRowFirstColumn="0" w:firstRowLastColumn="0" w:lastRowFirstColumn="0" w:lastRowLastColumn="0"/>
            <w:tcW w:w="0" w:type="auto"/>
          </w:tcPr>
          <w:p w14:paraId="7A337C49" w14:textId="3196B9AC" w:rsidR="00793512" w:rsidRPr="00225F94" w:rsidRDefault="00793512" w:rsidP="00225F94">
            <w:pPr>
              <w:rPr>
                <w:b w:val="0"/>
                <w:sz w:val="18"/>
              </w:rPr>
            </w:pPr>
            <w:r w:rsidRPr="00225F94">
              <w:rPr>
                <w:b w:val="0"/>
                <w:sz w:val="18"/>
              </w:rPr>
              <w:t>Land use (points)</w:t>
            </w:r>
          </w:p>
        </w:tc>
        <w:tc>
          <w:tcPr>
            <w:tcW w:w="0" w:type="auto"/>
          </w:tcPr>
          <w:p w14:paraId="2433E951" w14:textId="56B16E91" w:rsidR="00793512" w:rsidRPr="00C17A27" w:rsidRDefault="00C17A27" w:rsidP="00793512">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4.8</w:t>
            </w:r>
          </w:p>
        </w:tc>
        <w:tc>
          <w:tcPr>
            <w:tcW w:w="2013" w:type="dxa"/>
          </w:tcPr>
          <w:p w14:paraId="768A985F" w14:textId="4F1C9DDB" w:rsidR="00793512" w:rsidRPr="00C17A27" w:rsidRDefault="00C17A27" w:rsidP="00793512">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0.1</w:t>
            </w:r>
          </w:p>
        </w:tc>
        <w:tc>
          <w:tcPr>
            <w:tcW w:w="2409" w:type="dxa"/>
          </w:tcPr>
          <w:p w14:paraId="3E046D72" w14:textId="776FC412" w:rsidR="00793512" w:rsidRPr="00C17A27" w:rsidRDefault="00C17A27" w:rsidP="00793512">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4.5</w:t>
            </w:r>
          </w:p>
        </w:tc>
      </w:tr>
      <w:tr w:rsidR="00793512" w:rsidRPr="00793512" w14:paraId="4F11269F" w14:textId="77777777" w:rsidTr="00225F94">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9A7631B" w14:textId="78612AA8" w:rsidR="00793512" w:rsidRPr="00225F94" w:rsidRDefault="00793512" w:rsidP="00225F94">
            <w:pPr>
              <w:pStyle w:val="Contenudetableau"/>
              <w:rPr>
                <w:b w:val="0"/>
                <w:color w:val="000000"/>
                <w:sz w:val="18"/>
                <w:szCs w:val="18"/>
              </w:rPr>
            </w:pPr>
            <w:r w:rsidRPr="00225F94">
              <w:rPr>
                <w:b w:val="0"/>
                <w:color w:val="000000"/>
                <w:sz w:val="18"/>
                <w:szCs w:val="18"/>
              </w:rPr>
              <w:t>Water use (m</w:t>
            </w:r>
            <w:r w:rsidRPr="00225F94">
              <w:rPr>
                <w:b w:val="0"/>
                <w:color w:val="000000"/>
                <w:sz w:val="18"/>
                <w:szCs w:val="18"/>
                <w:vertAlign w:val="superscript"/>
              </w:rPr>
              <w:t>3</w:t>
            </w:r>
            <w:r w:rsidRPr="00225F94">
              <w:rPr>
                <w:b w:val="0"/>
                <w:color w:val="000000"/>
                <w:sz w:val="18"/>
                <w:szCs w:val="18"/>
              </w:rPr>
              <w:t>-eq)</w:t>
            </w:r>
          </w:p>
        </w:tc>
        <w:tc>
          <w:tcPr>
            <w:tcW w:w="0" w:type="auto"/>
          </w:tcPr>
          <w:p w14:paraId="0591E6EB" w14:textId="57E4B6F1" w:rsidR="00793512" w:rsidRPr="00C17A27" w:rsidRDefault="00C17A27" w:rsidP="00793512">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0.041</w:t>
            </w:r>
          </w:p>
        </w:tc>
        <w:tc>
          <w:tcPr>
            <w:tcW w:w="2013" w:type="dxa"/>
          </w:tcPr>
          <w:p w14:paraId="49546C42" w14:textId="67A4CA54" w:rsidR="00793512" w:rsidRPr="00C17A27" w:rsidRDefault="00C17A27" w:rsidP="00793512">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0.13</w:t>
            </w:r>
          </w:p>
        </w:tc>
        <w:tc>
          <w:tcPr>
            <w:tcW w:w="2409" w:type="dxa"/>
          </w:tcPr>
          <w:p w14:paraId="46CA043B" w14:textId="4E3A2331" w:rsidR="00793512" w:rsidRPr="00C17A27" w:rsidRDefault="00C17A27" w:rsidP="00793512">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0.049</w:t>
            </w:r>
          </w:p>
        </w:tc>
      </w:tr>
    </w:tbl>
    <w:p w14:paraId="0F5DD2D5" w14:textId="12F343E3" w:rsidR="00394B16" w:rsidRPr="00793512" w:rsidRDefault="00394B16" w:rsidP="00225F94">
      <w:pPr>
        <w:rPr>
          <w:sz w:val="18"/>
        </w:rPr>
      </w:pPr>
      <w:r w:rsidRPr="00793512">
        <w:rPr>
          <w:sz w:val="18"/>
        </w:rPr>
        <w:t>Rounded to two digits.</w:t>
      </w:r>
      <w:r w:rsidR="00793512" w:rsidRPr="00793512">
        <w:rPr>
          <w:sz w:val="18"/>
        </w:rPr>
        <w:t xml:space="preserve"> </w:t>
      </w:r>
      <w:r w:rsidR="0098795B" w:rsidRPr="0098795B">
        <w:rPr>
          <w:sz w:val="18"/>
          <w:vertAlign w:val="superscript"/>
        </w:rPr>
        <w:t>*</w:t>
      </w:r>
      <w:r w:rsidR="0098795B">
        <w:rPr>
          <w:sz w:val="18"/>
        </w:rPr>
        <w:t xml:space="preserve">: </w:t>
      </w:r>
      <w:r w:rsidR="009D6544">
        <w:rPr>
          <w:sz w:val="18"/>
        </w:rPr>
        <w:t>M</w:t>
      </w:r>
      <w:r w:rsidR="0098795B">
        <w:rPr>
          <w:sz w:val="18"/>
        </w:rPr>
        <w:t>odeled as natural gas following ongoing EU policies</w:t>
      </w:r>
      <w:r w:rsidR="00225F94">
        <w:rPr>
          <w:sz w:val="18"/>
        </w:rPr>
        <w:t xml:space="preserve"> phasing out solid and liquid fossil fuels</w:t>
      </w:r>
      <w:r w:rsidR="0098795B">
        <w:rPr>
          <w:sz w:val="18"/>
        </w:rPr>
        <w:t>.</w:t>
      </w:r>
    </w:p>
    <w:p w14:paraId="16DDFEA9" w14:textId="4F701F27" w:rsidR="00CA4C29" w:rsidRPr="00C17A27" w:rsidRDefault="00C17A27" w:rsidP="00CA4C29">
      <w:pPr>
        <w:jc w:val="both"/>
      </w:pPr>
      <w:r w:rsidRPr="00C17A27">
        <w:lastRenderedPageBreak/>
        <w:t xml:space="preserve">Nuclear </w:t>
      </w:r>
      <w:r w:rsidR="00C61A9E">
        <w:t xml:space="preserve">power production </w:t>
      </w:r>
      <w:r w:rsidRPr="00C17A27">
        <w:t xml:space="preserve">performs mostly better than </w:t>
      </w:r>
      <w:r w:rsidR="009D6544">
        <w:t>the renewable-based</w:t>
      </w:r>
      <w:r w:rsidR="00C61A9E">
        <w:t xml:space="preserve"> </w:t>
      </w:r>
      <w:r w:rsidR="009D6544">
        <w:t xml:space="preserve">power </w:t>
      </w:r>
      <w:r w:rsidRPr="00C17A27">
        <w:t>mix for the selected impact categories, except for water us</w:t>
      </w:r>
      <w:r>
        <w:t>e</w:t>
      </w:r>
      <w:r w:rsidRPr="00C17A27">
        <w:t>.</w:t>
      </w:r>
      <w:r w:rsidR="00A5345A">
        <w:t xml:space="preserve"> </w:t>
      </w:r>
      <w:r w:rsidR="009D6544">
        <w:t>For the latter</w:t>
      </w:r>
      <w:r w:rsidR="00C61A9E">
        <w:t xml:space="preserve"> (towards renewable energ</w:t>
      </w:r>
      <w:r w:rsidR="009D6544">
        <w:t>ies scenario</w:t>
      </w:r>
      <w:r w:rsidR="00C61A9E">
        <w:t>)</w:t>
      </w:r>
      <w:r w:rsidR="00A5345A">
        <w:t xml:space="preserve">, </w:t>
      </w:r>
      <w:r w:rsidR="00A5345A" w:rsidRPr="00A5345A">
        <w:t xml:space="preserve">more than half of climate change and eutrophication impacts come from solar-based </w:t>
      </w:r>
      <w:r w:rsidR="00C61A9E">
        <w:t>technologies</w:t>
      </w:r>
      <w:r w:rsidR="00A5345A" w:rsidRPr="00A5345A">
        <w:t xml:space="preserve"> (</w:t>
      </w:r>
      <w:r w:rsidR="00C61A9E">
        <w:t xml:space="preserve">albeit </w:t>
      </w:r>
      <w:r w:rsidR="009D6544">
        <w:t xml:space="preserve">only </w:t>
      </w:r>
      <w:r w:rsidR="00C61A9E">
        <w:t>representing</w:t>
      </w:r>
      <w:r w:rsidR="00A5345A" w:rsidRPr="00A5345A">
        <w:t xml:space="preserve"> 30% </w:t>
      </w:r>
      <w:r w:rsidR="00C61A9E">
        <w:t xml:space="preserve">of the marginal </w:t>
      </w:r>
      <w:r w:rsidR="009D6544">
        <w:t>suppliers mix</w:t>
      </w:r>
      <w:r w:rsidR="00C61A9E">
        <w:t xml:space="preserve">; </w:t>
      </w:r>
      <w:r w:rsidR="00C61A9E" w:rsidRPr="00C61A9E">
        <w:rPr>
          <w:b/>
        </w:rPr>
        <w:t>Table SI2</w:t>
      </w:r>
      <w:r w:rsidR="00A5345A" w:rsidRPr="00A5345A">
        <w:t xml:space="preserve">), and 80% </w:t>
      </w:r>
      <w:r w:rsidR="00C61A9E">
        <w:t xml:space="preserve">of </w:t>
      </w:r>
      <w:r w:rsidR="00A5345A" w:rsidRPr="00A5345A">
        <w:t xml:space="preserve">land use and water use </w:t>
      </w:r>
      <w:r w:rsidR="00C61A9E">
        <w:t xml:space="preserve">impacts, </w:t>
      </w:r>
      <w:r w:rsidR="009D6544">
        <w:t>principally stemming from the</w:t>
      </w:r>
      <w:r w:rsidR="00A5345A" w:rsidRPr="00A5345A">
        <w:t xml:space="preserve"> photovoltaic plant and equipment fabrication.</w:t>
      </w:r>
    </w:p>
    <w:p w14:paraId="06F5D3DB" w14:textId="1241C175" w:rsidR="009432AE" w:rsidRPr="00793512" w:rsidRDefault="009432AE" w:rsidP="009432AE">
      <w:pPr>
        <w:pStyle w:val="Titre3"/>
      </w:pPr>
      <w:r>
        <w:t>Heat</w:t>
      </w:r>
      <w:r w:rsidRPr="00793512">
        <w:t xml:space="preserve"> markets</w:t>
      </w:r>
    </w:p>
    <w:p w14:paraId="785B912E" w14:textId="05333631" w:rsidR="00CA4C29" w:rsidRDefault="00516E03" w:rsidP="00CA4C29">
      <w:pPr>
        <w:jc w:val="both"/>
      </w:pPr>
      <w:r w:rsidRPr="00516E03">
        <w:t>The identification</w:t>
      </w:r>
      <w:r>
        <w:t xml:space="preserve"> of marginal heat suppliers and LCI modeling was already fully detailed </w:t>
      </w:r>
      <w:r w:rsidRPr="00C61A9E">
        <w:t>in</w:t>
      </w:r>
      <w:r w:rsidR="00C61A9E" w:rsidRPr="00C61A9E">
        <w:t xml:space="preserve"> Javourez et al., (202</w:t>
      </w:r>
      <w:r w:rsidR="00F248E3">
        <w:t>4</w:t>
      </w:r>
      <w:r w:rsidR="00C61A9E" w:rsidRPr="00C61A9E">
        <w:t>)</w:t>
      </w:r>
      <w:r w:rsidR="00C61A9E" w:rsidRPr="00C61A9E">
        <w:fldChar w:fldCharType="begin"/>
      </w:r>
      <w:r w:rsidR="00CD084F">
        <w:instrText xml:space="preserve"> ADDIN ZOTERO_ITEM CSL_CITATION {"citationID":"YdVphAMT","properties":{"formattedCitation":"\\super 3\\nosupersub{}","plainCitation":"3","noteIndex":0},"citationItems":[{"id":14333,"uris":["http://zotero.org/users/6423791/items/XCNA2SYX"],"itemData":{"id":14333,"type":"article","DOI":"10.21203/rs.3.rs-3626167/v2","genre":"preprint","publisher":"Research Square","title":"Setting the environmental performance threshold for diverting residual streams towards bioeconomy strategies","author":[{"family":"Javourez","given":"U."},{"family":"Karan","given":"S. K."},{"family":"Hamelin","given":"L."}],"issued":{"date-parts":[["2023",11,20]]}}}],"schema":"https://github.com/citation-style-language/schema/raw/master/csl-citation.json"} </w:instrText>
      </w:r>
      <w:r w:rsidR="00C61A9E" w:rsidRPr="00C61A9E">
        <w:fldChar w:fldCharType="separate"/>
      </w:r>
      <w:r w:rsidR="00C61A9E" w:rsidRPr="00C61A9E">
        <w:rPr>
          <w:rFonts w:ascii="Calibri" w:hAnsi="Calibri" w:cs="Calibri"/>
          <w:szCs w:val="24"/>
          <w:vertAlign w:val="superscript"/>
        </w:rPr>
        <w:t>3</w:t>
      </w:r>
      <w:r w:rsidR="00C61A9E" w:rsidRPr="00C61A9E">
        <w:fldChar w:fldCharType="end"/>
      </w:r>
      <w:r w:rsidR="002D478A" w:rsidRPr="00C61A9E">
        <w:t>,</w:t>
      </w:r>
      <w:r w:rsidR="002D478A" w:rsidRPr="002D478A">
        <w:t xml:space="preserve"> and summarized </w:t>
      </w:r>
      <w:r w:rsidR="002D478A" w:rsidRPr="00225F94">
        <w:t>in</w:t>
      </w:r>
      <w:r w:rsidR="00225F94" w:rsidRPr="00225F94">
        <w:t xml:space="preserve"> </w:t>
      </w:r>
      <w:r w:rsidR="00225F94" w:rsidRPr="00225F94">
        <w:rPr>
          <w:b/>
        </w:rPr>
        <w:t>Tables SI3-5</w:t>
      </w:r>
      <w:r w:rsidRPr="00225F94">
        <w:t>.</w:t>
      </w:r>
      <w:r>
        <w:t xml:space="preserve"> Heat</w:t>
      </w:r>
      <w:r w:rsidR="00F248E3">
        <w:t>ing</w:t>
      </w:r>
      <w:r>
        <w:t xml:space="preserve"> services were separated as low temperature heat</w:t>
      </w:r>
      <w:r w:rsidR="00F248E3">
        <w:t>ing</w:t>
      </w:r>
      <w:r>
        <w:t xml:space="preserve"> (</w:t>
      </w:r>
      <w:r w:rsidR="0098795B">
        <w:t xml:space="preserve">LT; </w:t>
      </w:r>
      <w:r>
        <w:t>e.g. for domestic</w:t>
      </w:r>
      <w:r w:rsidR="00F248E3">
        <w:t xml:space="preserve"> and</w:t>
      </w:r>
      <w:r>
        <w:t xml:space="preserve"> tertiary space heating) and high temperature heat</w:t>
      </w:r>
      <w:r w:rsidR="00F248E3">
        <w:t>ing</w:t>
      </w:r>
      <w:r>
        <w:t xml:space="preserve"> (</w:t>
      </w:r>
      <w:r w:rsidR="0098795B">
        <w:t xml:space="preserve">HT; </w:t>
      </w:r>
      <w:r>
        <w:t>e.g. industrial heating).</w:t>
      </w:r>
    </w:p>
    <w:p w14:paraId="29722C46" w14:textId="2F3568AE" w:rsidR="0098795B" w:rsidRPr="00793512" w:rsidRDefault="00225F94" w:rsidP="00225F94">
      <w:pPr>
        <w:pStyle w:val="Lgende"/>
        <w:jc w:val="left"/>
      </w:pPr>
      <w:bookmarkStart w:id="7" w:name="_Toc155516839"/>
      <w:r>
        <w:t>Table SI</w:t>
      </w:r>
      <w:r>
        <w:fldChar w:fldCharType="begin"/>
      </w:r>
      <w:r>
        <w:instrText xml:space="preserve"> SEQ Table \* ARABIC </w:instrText>
      </w:r>
      <w:r>
        <w:fldChar w:fldCharType="separate"/>
      </w:r>
      <w:r w:rsidR="00C65861">
        <w:rPr>
          <w:noProof/>
        </w:rPr>
        <w:t>3</w:t>
      </w:r>
      <w:r>
        <w:fldChar w:fldCharType="end"/>
      </w:r>
      <w:r>
        <w:t xml:space="preserve"> </w:t>
      </w:r>
      <w:r w:rsidR="0098795B" w:rsidRPr="00793512">
        <w:t xml:space="preserve">– </w:t>
      </w:r>
      <w:r w:rsidR="00F248E3">
        <w:t>LCA scores</w:t>
      </w:r>
      <w:r w:rsidR="0098795B" w:rsidRPr="00793512">
        <w:t xml:space="preserve"> of marginal </w:t>
      </w:r>
      <w:r w:rsidR="0098795B">
        <w:t>LT heat</w:t>
      </w:r>
      <w:r w:rsidR="00767A75">
        <w:t>ing</w:t>
      </w:r>
      <w:r w:rsidR="0098795B" w:rsidRPr="00793512">
        <w:t xml:space="preserve"> mix</w:t>
      </w:r>
      <w:r w:rsidR="00767A75">
        <w:t xml:space="preserve">es </w:t>
      </w:r>
      <w:r w:rsidR="0098795B" w:rsidRPr="00793512">
        <w:t xml:space="preserve">in </w:t>
      </w:r>
      <w:r w:rsidR="00767A75">
        <w:t>three future</w:t>
      </w:r>
      <w:r w:rsidR="0098795B" w:rsidRPr="00793512">
        <w:t xml:space="preserve"> energy scenarios</w:t>
      </w:r>
      <w:bookmarkEnd w:id="7"/>
    </w:p>
    <w:tbl>
      <w:tblPr>
        <w:tblStyle w:val="Tableausimple2"/>
        <w:tblW w:w="0" w:type="auto"/>
        <w:jc w:val="center"/>
        <w:tblLook w:val="04A0" w:firstRow="1" w:lastRow="0" w:firstColumn="1" w:lastColumn="0" w:noHBand="0" w:noVBand="1"/>
      </w:tblPr>
      <w:tblGrid>
        <w:gridCol w:w="2399"/>
        <w:gridCol w:w="1977"/>
        <w:gridCol w:w="2003"/>
        <w:gridCol w:w="2693"/>
      </w:tblGrid>
      <w:tr w:rsidR="0098795B" w:rsidRPr="00AE3D44" w14:paraId="7BE8543E" w14:textId="5372904C" w:rsidTr="00225ED6">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0321E5A5" w14:textId="77777777" w:rsidR="0098795B" w:rsidRPr="0098795B" w:rsidRDefault="0098795B" w:rsidP="00225ED6">
            <w:pPr>
              <w:pStyle w:val="Contenudetableau"/>
              <w:rPr>
                <w:rFonts w:ascii="Calibri" w:hAnsi="Calibri"/>
                <w:bCs w:val="0"/>
                <w:color w:val="000000"/>
                <w:sz w:val="18"/>
                <w:szCs w:val="18"/>
              </w:rPr>
            </w:pPr>
            <w:r w:rsidRPr="0098795B">
              <w:rPr>
                <w:bCs w:val="0"/>
                <w:color w:val="000000"/>
                <w:sz w:val="18"/>
                <w:szCs w:val="18"/>
              </w:rPr>
              <w:t>Technology group (% in mix)</w:t>
            </w:r>
          </w:p>
        </w:tc>
        <w:tc>
          <w:tcPr>
            <w:tcW w:w="1977" w:type="dxa"/>
          </w:tcPr>
          <w:p w14:paraId="27C2EC19" w14:textId="165EDFD9" w:rsidR="0098795B" w:rsidRPr="0098795B" w:rsidRDefault="0098795B" w:rsidP="00225ED6">
            <w:pPr>
              <w:pStyle w:val="Contenudetableau"/>
              <w:cnfStyle w:val="100000000000" w:firstRow="1" w:lastRow="0" w:firstColumn="0" w:lastColumn="0" w:oddVBand="0" w:evenVBand="0" w:oddHBand="0" w:evenHBand="0" w:firstRowFirstColumn="0" w:firstRowLastColumn="0" w:lastRowFirstColumn="0" w:lastRowLastColumn="0"/>
              <w:rPr>
                <w:rFonts w:ascii="Calibri" w:hAnsi="Calibri"/>
                <w:bCs w:val="0"/>
                <w:color w:val="000000"/>
                <w:sz w:val="18"/>
                <w:szCs w:val="18"/>
              </w:rPr>
            </w:pPr>
            <w:r w:rsidRPr="0098795B">
              <w:rPr>
                <w:color w:val="000000"/>
                <w:sz w:val="18"/>
                <w:szCs w:val="18"/>
              </w:rPr>
              <w:t>Toward renewable energies</w:t>
            </w:r>
          </w:p>
        </w:tc>
        <w:tc>
          <w:tcPr>
            <w:tcW w:w="2003" w:type="dxa"/>
          </w:tcPr>
          <w:p w14:paraId="12FD8CEA" w14:textId="50BE4439" w:rsidR="0098795B" w:rsidRPr="0098795B" w:rsidRDefault="0098795B" w:rsidP="00225ED6">
            <w:pPr>
              <w:pStyle w:val="Contenudetableau"/>
              <w:cnfStyle w:val="100000000000" w:firstRow="1" w:lastRow="0" w:firstColumn="0" w:lastColumn="0" w:oddVBand="0" w:evenVBand="0" w:oddHBand="0" w:evenHBand="0" w:firstRowFirstColumn="0" w:firstRowLastColumn="0" w:lastRowFirstColumn="0" w:lastRowLastColumn="0"/>
              <w:rPr>
                <w:bCs w:val="0"/>
                <w:color w:val="000000"/>
                <w:sz w:val="18"/>
                <w:szCs w:val="18"/>
              </w:rPr>
            </w:pPr>
            <w:r w:rsidRPr="0098795B">
              <w:rPr>
                <w:color w:val="000000"/>
                <w:sz w:val="18"/>
                <w:szCs w:val="18"/>
              </w:rPr>
              <w:t>Towards high electrification</w:t>
            </w:r>
          </w:p>
        </w:tc>
        <w:tc>
          <w:tcPr>
            <w:tcW w:w="2693" w:type="dxa"/>
          </w:tcPr>
          <w:p w14:paraId="2E4C27FC" w14:textId="77777777" w:rsidR="0098795B" w:rsidRPr="00F7197B" w:rsidRDefault="0098795B" w:rsidP="00225ED6">
            <w:pPr>
              <w:pStyle w:val="Contenudetableau"/>
              <w:cnfStyle w:val="100000000000" w:firstRow="1" w:lastRow="0" w:firstColumn="0" w:lastColumn="0" w:oddVBand="0" w:evenVBand="0" w:oddHBand="0" w:evenHBand="0" w:firstRowFirstColumn="0" w:firstRowLastColumn="0" w:lastRowFirstColumn="0" w:lastRowLastColumn="0"/>
              <w:rPr>
                <w:b w:val="0"/>
                <w:bCs w:val="0"/>
                <w:color w:val="000000"/>
                <w:sz w:val="18"/>
                <w:szCs w:val="18"/>
                <w:vertAlign w:val="superscript"/>
                <w:lang w:val="fr-FR"/>
              </w:rPr>
            </w:pPr>
            <w:r w:rsidRPr="00F7197B">
              <w:rPr>
                <w:color w:val="000000"/>
                <w:sz w:val="18"/>
                <w:szCs w:val="18"/>
                <w:lang w:val="fr-FR"/>
              </w:rPr>
              <w:t>Average EU situation, 2030</w:t>
            </w:r>
            <w:r w:rsidRPr="00F7197B">
              <w:rPr>
                <w:color w:val="000000"/>
                <w:sz w:val="18"/>
                <w:szCs w:val="18"/>
                <w:vertAlign w:val="superscript"/>
                <w:lang w:val="fr-FR"/>
              </w:rPr>
              <w:t>*</w:t>
            </w:r>
          </w:p>
          <w:p w14:paraId="6D168EA5" w14:textId="3AA6A9E4" w:rsidR="0098795B" w:rsidRPr="00F7197B" w:rsidRDefault="0098795B" w:rsidP="00225ED6">
            <w:pPr>
              <w:pStyle w:val="Contenudetableau"/>
              <w:cnfStyle w:val="100000000000" w:firstRow="1" w:lastRow="0" w:firstColumn="0" w:lastColumn="0" w:oddVBand="0" w:evenVBand="0" w:oddHBand="0" w:evenHBand="0" w:firstRowFirstColumn="0" w:firstRowLastColumn="0" w:lastRowFirstColumn="0" w:lastRowLastColumn="0"/>
              <w:rPr>
                <w:bCs w:val="0"/>
                <w:color w:val="000000"/>
                <w:sz w:val="18"/>
                <w:szCs w:val="18"/>
                <w:lang w:val="fr-FR"/>
              </w:rPr>
            </w:pPr>
            <w:r w:rsidRPr="00F7197B">
              <w:rPr>
                <w:color w:val="000000"/>
                <w:sz w:val="18"/>
                <w:szCs w:val="18"/>
                <w:lang w:val="fr-FR"/>
              </w:rPr>
              <w:t>(</w:t>
            </w:r>
            <w:r w:rsidRPr="00F7197B">
              <w:rPr>
                <w:i/>
                <w:color w:val="000000"/>
                <w:sz w:val="18"/>
                <w:szCs w:val="18"/>
                <w:lang w:val="fr-FR"/>
              </w:rPr>
              <w:t xml:space="preserve">Illustrative </w:t>
            </w:r>
            <w:proofErr w:type="spellStart"/>
            <w:r w:rsidRPr="00F7197B">
              <w:rPr>
                <w:i/>
                <w:color w:val="000000"/>
                <w:sz w:val="18"/>
                <w:szCs w:val="18"/>
                <w:lang w:val="fr-FR"/>
              </w:rPr>
              <w:t>purposes</w:t>
            </w:r>
            <w:proofErr w:type="spellEnd"/>
            <w:r w:rsidRPr="00F7197B">
              <w:rPr>
                <w:color w:val="000000"/>
                <w:sz w:val="18"/>
                <w:szCs w:val="18"/>
                <w:lang w:val="fr-FR"/>
              </w:rPr>
              <w:t>)</w:t>
            </w:r>
          </w:p>
        </w:tc>
      </w:tr>
      <w:tr w:rsidR="0098795B" w:rsidRPr="0098795B" w14:paraId="6C052945" w14:textId="156B4462" w:rsidTr="00225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1AF4D493" w14:textId="43C5CC62" w:rsidR="0098795B" w:rsidRPr="00DF637C" w:rsidRDefault="0098795B" w:rsidP="00225ED6">
            <w:pPr>
              <w:pStyle w:val="Contenudetableau"/>
              <w:rPr>
                <w:rFonts w:ascii="Calibri" w:hAnsi="Calibri"/>
                <w:b w:val="0"/>
                <w:color w:val="000000"/>
                <w:sz w:val="18"/>
                <w:szCs w:val="18"/>
              </w:rPr>
            </w:pPr>
            <w:r w:rsidRPr="00DF637C">
              <w:rPr>
                <w:b w:val="0"/>
                <w:sz w:val="18"/>
              </w:rPr>
              <w:t>District heating</w:t>
            </w:r>
            <w:r w:rsidR="00937A2C" w:rsidRPr="00DF637C">
              <w:rPr>
                <w:b w:val="0"/>
                <w:sz w:val="18"/>
                <w:vertAlign w:val="superscript"/>
              </w:rPr>
              <w:t>**</w:t>
            </w:r>
          </w:p>
        </w:tc>
        <w:tc>
          <w:tcPr>
            <w:tcW w:w="1977" w:type="dxa"/>
          </w:tcPr>
          <w:p w14:paraId="4DEBD989" w14:textId="77777777" w:rsidR="0098795B" w:rsidRPr="0098795B" w:rsidRDefault="0098795B" w:rsidP="00225ED6">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98795B">
              <w:rPr>
                <w:color w:val="000000"/>
                <w:sz w:val="18"/>
              </w:rPr>
              <w:t>11.8%</w:t>
            </w:r>
          </w:p>
        </w:tc>
        <w:tc>
          <w:tcPr>
            <w:tcW w:w="2003" w:type="dxa"/>
          </w:tcPr>
          <w:p w14:paraId="22144ECC" w14:textId="47521AAB" w:rsidR="0098795B" w:rsidRPr="0098795B" w:rsidRDefault="0098795B" w:rsidP="00225ED6">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sidRPr="0098795B">
              <w:rPr>
                <w:color w:val="000000"/>
                <w:sz w:val="18"/>
              </w:rPr>
              <w:t>11.8%</w:t>
            </w:r>
          </w:p>
        </w:tc>
        <w:tc>
          <w:tcPr>
            <w:tcW w:w="2693" w:type="dxa"/>
          </w:tcPr>
          <w:p w14:paraId="4F2B2191" w14:textId="3882A9C6" w:rsidR="0098795B" w:rsidRPr="0098795B" w:rsidRDefault="0098795B" w:rsidP="00225ED6">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6.3%</w:t>
            </w:r>
          </w:p>
        </w:tc>
      </w:tr>
      <w:tr w:rsidR="0098795B" w:rsidRPr="0098795B" w14:paraId="0F5281FD" w14:textId="44B399D5" w:rsidTr="00225ED6">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1D0D275E" w14:textId="77777777" w:rsidR="0098795B" w:rsidRPr="00DF637C" w:rsidRDefault="0098795B" w:rsidP="00225ED6">
            <w:pPr>
              <w:pStyle w:val="Contenudetableau"/>
              <w:rPr>
                <w:rFonts w:ascii="Calibri" w:hAnsi="Calibri"/>
                <w:b w:val="0"/>
                <w:color w:val="000000"/>
                <w:sz w:val="18"/>
                <w:szCs w:val="18"/>
              </w:rPr>
            </w:pPr>
            <w:r w:rsidRPr="00DF637C">
              <w:rPr>
                <w:b w:val="0"/>
                <w:sz w:val="18"/>
              </w:rPr>
              <w:t>Gas grid</w:t>
            </w:r>
          </w:p>
        </w:tc>
        <w:tc>
          <w:tcPr>
            <w:tcW w:w="1977" w:type="dxa"/>
          </w:tcPr>
          <w:p w14:paraId="15378E15" w14:textId="4BCF923C" w:rsidR="0098795B" w:rsidRPr="0098795B" w:rsidRDefault="0098795B" w:rsidP="00225ED6">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p>
        </w:tc>
        <w:tc>
          <w:tcPr>
            <w:tcW w:w="2003" w:type="dxa"/>
          </w:tcPr>
          <w:p w14:paraId="584A3388" w14:textId="7DA344AA" w:rsidR="0098795B" w:rsidRPr="0098795B" w:rsidRDefault="0098795B" w:rsidP="00225ED6">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p>
        </w:tc>
        <w:tc>
          <w:tcPr>
            <w:tcW w:w="2693" w:type="dxa"/>
          </w:tcPr>
          <w:p w14:paraId="39215845" w14:textId="0A41584A" w:rsidR="0098795B" w:rsidRPr="0098795B" w:rsidRDefault="0098795B" w:rsidP="00225ED6">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24.6%</w:t>
            </w:r>
          </w:p>
        </w:tc>
      </w:tr>
      <w:tr w:rsidR="0098795B" w:rsidRPr="0098795B" w14:paraId="0DE64903" w14:textId="4F442B61" w:rsidTr="00225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6B518FE3" w14:textId="77777777" w:rsidR="0098795B" w:rsidRPr="00DF637C" w:rsidRDefault="0098795B" w:rsidP="00225ED6">
            <w:pPr>
              <w:pStyle w:val="Contenudetableau"/>
              <w:rPr>
                <w:rFonts w:ascii="Calibri" w:hAnsi="Calibri"/>
                <w:b w:val="0"/>
                <w:color w:val="000000"/>
                <w:sz w:val="18"/>
                <w:szCs w:val="18"/>
              </w:rPr>
            </w:pPr>
            <w:r w:rsidRPr="00DF637C">
              <w:rPr>
                <w:b w:val="0"/>
                <w:sz w:val="18"/>
              </w:rPr>
              <w:t>Gas liquefied</w:t>
            </w:r>
          </w:p>
        </w:tc>
        <w:tc>
          <w:tcPr>
            <w:tcW w:w="1977" w:type="dxa"/>
          </w:tcPr>
          <w:p w14:paraId="288EEB51" w14:textId="7529D917" w:rsidR="0098795B" w:rsidRPr="0098795B" w:rsidRDefault="0098795B" w:rsidP="00225ED6">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003" w:type="dxa"/>
          </w:tcPr>
          <w:p w14:paraId="0F90FFE2" w14:textId="7B8E31B4" w:rsidR="0098795B" w:rsidRPr="0098795B" w:rsidRDefault="0098795B" w:rsidP="00225ED6">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p>
        </w:tc>
        <w:tc>
          <w:tcPr>
            <w:tcW w:w="2693" w:type="dxa"/>
          </w:tcPr>
          <w:p w14:paraId="0540F9B0" w14:textId="2A53A5CE" w:rsidR="0098795B" w:rsidRPr="0098795B" w:rsidRDefault="0098795B" w:rsidP="00225ED6">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0.3%</w:t>
            </w:r>
            <w:r w:rsidR="00DF637C" w:rsidRPr="00DF637C">
              <w:rPr>
                <w:color w:val="000000"/>
                <w:sz w:val="18"/>
                <w:vertAlign w:val="superscript"/>
              </w:rPr>
              <w:t>***</w:t>
            </w:r>
          </w:p>
        </w:tc>
      </w:tr>
      <w:tr w:rsidR="0098795B" w:rsidRPr="0098795B" w14:paraId="41C87191" w14:textId="28B7996C" w:rsidTr="00225ED6">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568BAF9C" w14:textId="77777777" w:rsidR="0098795B" w:rsidRPr="00DF637C" w:rsidRDefault="0098795B" w:rsidP="00225ED6">
            <w:pPr>
              <w:pStyle w:val="Contenudetableau"/>
              <w:rPr>
                <w:rFonts w:ascii="Calibri" w:hAnsi="Calibri"/>
                <w:b w:val="0"/>
                <w:color w:val="000000"/>
                <w:sz w:val="18"/>
                <w:szCs w:val="18"/>
              </w:rPr>
            </w:pPr>
            <w:r w:rsidRPr="00DF637C">
              <w:rPr>
                <w:b w:val="0"/>
                <w:sz w:val="18"/>
              </w:rPr>
              <w:t>Heating oil</w:t>
            </w:r>
          </w:p>
        </w:tc>
        <w:tc>
          <w:tcPr>
            <w:tcW w:w="1977" w:type="dxa"/>
          </w:tcPr>
          <w:p w14:paraId="32F02501" w14:textId="617A4AA1" w:rsidR="0098795B" w:rsidRPr="0098795B" w:rsidRDefault="0098795B" w:rsidP="00225ED6">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p>
        </w:tc>
        <w:tc>
          <w:tcPr>
            <w:tcW w:w="2003" w:type="dxa"/>
          </w:tcPr>
          <w:p w14:paraId="6B35FD5B" w14:textId="1915C1A6" w:rsidR="0098795B" w:rsidRPr="0098795B" w:rsidRDefault="0098795B" w:rsidP="00225ED6">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p>
        </w:tc>
        <w:tc>
          <w:tcPr>
            <w:tcW w:w="2693" w:type="dxa"/>
          </w:tcPr>
          <w:p w14:paraId="26859ED3" w14:textId="660C8B1A" w:rsidR="0098795B" w:rsidRPr="0098795B" w:rsidRDefault="0098795B" w:rsidP="00225ED6">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2.3%</w:t>
            </w:r>
            <w:r w:rsidR="00DF637C" w:rsidRPr="00DF637C">
              <w:rPr>
                <w:color w:val="000000"/>
                <w:sz w:val="18"/>
                <w:vertAlign w:val="superscript"/>
              </w:rPr>
              <w:t>***</w:t>
            </w:r>
          </w:p>
        </w:tc>
      </w:tr>
      <w:tr w:rsidR="0098795B" w:rsidRPr="0098795B" w14:paraId="7225DBD4" w14:textId="6F2ACF47" w:rsidTr="00225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41B9ACF1" w14:textId="77777777" w:rsidR="0098795B" w:rsidRPr="00DF637C" w:rsidRDefault="0098795B" w:rsidP="00225ED6">
            <w:pPr>
              <w:pStyle w:val="Contenudetableau"/>
              <w:rPr>
                <w:rFonts w:ascii="Calibri" w:hAnsi="Calibri"/>
                <w:b w:val="0"/>
                <w:color w:val="000000"/>
                <w:sz w:val="18"/>
                <w:szCs w:val="18"/>
              </w:rPr>
            </w:pPr>
            <w:r w:rsidRPr="00DF637C">
              <w:rPr>
                <w:b w:val="0"/>
                <w:sz w:val="18"/>
              </w:rPr>
              <w:t>Wood-based heating</w:t>
            </w:r>
          </w:p>
        </w:tc>
        <w:tc>
          <w:tcPr>
            <w:tcW w:w="1977" w:type="dxa"/>
          </w:tcPr>
          <w:p w14:paraId="7C876B21" w14:textId="2B8DE552" w:rsidR="0098795B" w:rsidRPr="0098795B" w:rsidRDefault="0098795B" w:rsidP="00225ED6">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003" w:type="dxa"/>
          </w:tcPr>
          <w:p w14:paraId="33C99C06" w14:textId="72B2CF80" w:rsidR="0098795B" w:rsidRPr="0098795B" w:rsidRDefault="0098795B" w:rsidP="00225ED6">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p>
        </w:tc>
        <w:tc>
          <w:tcPr>
            <w:tcW w:w="2693" w:type="dxa"/>
          </w:tcPr>
          <w:p w14:paraId="585ED3B3" w14:textId="47B365FA" w:rsidR="0098795B" w:rsidRPr="0098795B" w:rsidRDefault="0098795B" w:rsidP="00225ED6">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17.3%</w:t>
            </w:r>
          </w:p>
        </w:tc>
      </w:tr>
      <w:tr w:rsidR="0098795B" w:rsidRPr="0098795B" w14:paraId="5A7AF663" w14:textId="48EC4C13" w:rsidTr="00225ED6">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316F442F" w14:textId="77777777" w:rsidR="0098795B" w:rsidRPr="00DF637C" w:rsidRDefault="0098795B" w:rsidP="00225ED6">
            <w:pPr>
              <w:pStyle w:val="Contenudetableau"/>
              <w:rPr>
                <w:rFonts w:ascii="Calibri" w:hAnsi="Calibri"/>
                <w:b w:val="0"/>
                <w:color w:val="000000"/>
                <w:sz w:val="18"/>
                <w:szCs w:val="18"/>
              </w:rPr>
            </w:pPr>
            <w:r w:rsidRPr="00DF637C">
              <w:rPr>
                <w:b w:val="0"/>
                <w:sz w:val="18"/>
              </w:rPr>
              <w:t>Electricity-based heating</w:t>
            </w:r>
          </w:p>
        </w:tc>
        <w:tc>
          <w:tcPr>
            <w:tcW w:w="1977" w:type="dxa"/>
          </w:tcPr>
          <w:p w14:paraId="22F2DFA8" w14:textId="77777777" w:rsidR="0098795B" w:rsidRPr="0098795B" w:rsidRDefault="0098795B" w:rsidP="00225ED6">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98795B">
              <w:rPr>
                <w:color w:val="000000"/>
                <w:sz w:val="18"/>
              </w:rPr>
              <w:t>3.9%</w:t>
            </w:r>
          </w:p>
        </w:tc>
        <w:tc>
          <w:tcPr>
            <w:tcW w:w="2003" w:type="dxa"/>
          </w:tcPr>
          <w:p w14:paraId="5B189A9F" w14:textId="314EF0C5" w:rsidR="0098795B" w:rsidRPr="0098795B" w:rsidRDefault="0098795B" w:rsidP="00225ED6">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sidRPr="0098795B">
              <w:rPr>
                <w:color w:val="000000"/>
                <w:sz w:val="18"/>
              </w:rPr>
              <w:t>3.9%</w:t>
            </w:r>
          </w:p>
        </w:tc>
        <w:tc>
          <w:tcPr>
            <w:tcW w:w="2693" w:type="dxa"/>
          </w:tcPr>
          <w:p w14:paraId="2C2F4AC6" w14:textId="76B72E8D" w:rsidR="0098795B" w:rsidRPr="0098795B" w:rsidRDefault="00937A2C" w:rsidP="00225ED6">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37.1%</w:t>
            </w:r>
          </w:p>
        </w:tc>
      </w:tr>
      <w:tr w:rsidR="0098795B" w:rsidRPr="0098795B" w14:paraId="4DA6E6BC" w14:textId="2D54478D" w:rsidTr="00225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3A4B234F" w14:textId="77777777" w:rsidR="0098795B" w:rsidRPr="00DF637C" w:rsidRDefault="0098795B" w:rsidP="00225ED6">
            <w:pPr>
              <w:pStyle w:val="Contenudetableau"/>
              <w:rPr>
                <w:rFonts w:ascii="Calibri" w:hAnsi="Calibri"/>
                <w:b w:val="0"/>
                <w:color w:val="000000"/>
                <w:sz w:val="18"/>
                <w:szCs w:val="18"/>
              </w:rPr>
            </w:pPr>
            <w:r w:rsidRPr="00DF637C">
              <w:rPr>
                <w:b w:val="0"/>
                <w:sz w:val="18"/>
              </w:rPr>
              <w:t>Thermal solar</w:t>
            </w:r>
          </w:p>
        </w:tc>
        <w:tc>
          <w:tcPr>
            <w:tcW w:w="1977" w:type="dxa"/>
          </w:tcPr>
          <w:p w14:paraId="4939E8DB" w14:textId="77777777" w:rsidR="0098795B" w:rsidRPr="0098795B" w:rsidRDefault="0098795B" w:rsidP="00225ED6">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sidRPr="0098795B">
              <w:rPr>
                <w:color w:val="000000"/>
                <w:sz w:val="18"/>
              </w:rPr>
              <w:t>4.2%</w:t>
            </w:r>
          </w:p>
        </w:tc>
        <w:tc>
          <w:tcPr>
            <w:tcW w:w="2003" w:type="dxa"/>
          </w:tcPr>
          <w:p w14:paraId="01E7E8F0" w14:textId="3C778FA1" w:rsidR="0098795B" w:rsidRPr="0098795B" w:rsidRDefault="0098795B" w:rsidP="00225ED6">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sidRPr="0098795B">
              <w:rPr>
                <w:color w:val="000000"/>
                <w:sz w:val="18"/>
              </w:rPr>
              <w:t>4.2%</w:t>
            </w:r>
          </w:p>
        </w:tc>
        <w:tc>
          <w:tcPr>
            <w:tcW w:w="2693" w:type="dxa"/>
          </w:tcPr>
          <w:p w14:paraId="1549B9DA" w14:textId="2D90B525" w:rsidR="0098795B" w:rsidRPr="0098795B" w:rsidRDefault="00937A2C" w:rsidP="00225ED6">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0.5%</w:t>
            </w:r>
          </w:p>
        </w:tc>
      </w:tr>
      <w:tr w:rsidR="0098795B" w:rsidRPr="0098795B" w14:paraId="622EE17A" w14:textId="486B9A90" w:rsidTr="00225ED6">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16EE9796" w14:textId="77777777" w:rsidR="0098795B" w:rsidRPr="00DF637C" w:rsidRDefault="0098795B" w:rsidP="00225ED6">
            <w:pPr>
              <w:pStyle w:val="Contenudetableau"/>
              <w:rPr>
                <w:rFonts w:ascii="Calibri" w:hAnsi="Calibri"/>
                <w:b w:val="0"/>
                <w:color w:val="000000"/>
                <w:sz w:val="18"/>
                <w:szCs w:val="18"/>
              </w:rPr>
            </w:pPr>
            <w:r w:rsidRPr="00DF637C">
              <w:rPr>
                <w:b w:val="0"/>
                <w:sz w:val="18"/>
              </w:rPr>
              <w:t>Heat pump heating</w:t>
            </w:r>
          </w:p>
        </w:tc>
        <w:tc>
          <w:tcPr>
            <w:tcW w:w="1977" w:type="dxa"/>
          </w:tcPr>
          <w:p w14:paraId="657C073F" w14:textId="77777777" w:rsidR="0098795B" w:rsidRPr="0098795B" w:rsidRDefault="0098795B" w:rsidP="00225ED6">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sidRPr="0098795B">
              <w:rPr>
                <w:color w:val="000000"/>
                <w:sz w:val="18"/>
              </w:rPr>
              <w:t>80.1%</w:t>
            </w:r>
          </w:p>
        </w:tc>
        <w:tc>
          <w:tcPr>
            <w:tcW w:w="2003" w:type="dxa"/>
          </w:tcPr>
          <w:p w14:paraId="00876B4B" w14:textId="51CDFA10" w:rsidR="0098795B" w:rsidRPr="0098795B" w:rsidRDefault="0098795B" w:rsidP="00225ED6">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sidRPr="0098795B">
              <w:rPr>
                <w:color w:val="000000"/>
                <w:sz w:val="18"/>
              </w:rPr>
              <w:t>80.1%</w:t>
            </w:r>
          </w:p>
        </w:tc>
        <w:tc>
          <w:tcPr>
            <w:tcW w:w="2693" w:type="dxa"/>
          </w:tcPr>
          <w:p w14:paraId="63157342" w14:textId="58E33A74" w:rsidR="0098795B" w:rsidRPr="0098795B" w:rsidRDefault="00937A2C" w:rsidP="00225ED6">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11.7%</w:t>
            </w:r>
          </w:p>
        </w:tc>
      </w:tr>
      <w:tr w:rsidR="0098795B" w:rsidRPr="0098795B" w14:paraId="5F1C22A7" w14:textId="77777777" w:rsidTr="00225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166EE7E1" w14:textId="127A663A" w:rsidR="0098795B" w:rsidRPr="00DF637C" w:rsidRDefault="0098795B" w:rsidP="00225ED6">
            <w:pPr>
              <w:pStyle w:val="Contenudetableau"/>
              <w:rPr>
                <w:b w:val="0"/>
                <w:i/>
                <w:sz w:val="18"/>
              </w:rPr>
            </w:pPr>
            <w:r w:rsidRPr="00DF637C">
              <w:rPr>
                <w:b w:val="0"/>
                <w:i/>
                <w:sz w:val="18"/>
              </w:rPr>
              <w:t>Comment</w:t>
            </w:r>
          </w:p>
        </w:tc>
        <w:tc>
          <w:tcPr>
            <w:tcW w:w="6673" w:type="dxa"/>
            <w:gridSpan w:val="3"/>
          </w:tcPr>
          <w:p w14:paraId="755F2BB1" w14:textId="38810BA3" w:rsidR="0098795B" w:rsidRPr="00DF637C" w:rsidRDefault="0098795B" w:rsidP="00225ED6">
            <w:pPr>
              <w:pStyle w:val="Contenudetableau"/>
              <w:cnfStyle w:val="000000100000" w:firstRow="0" w:lastRow="0" w:firstColumn="0" w:lastColumn="0" w:oddVBand="0" w:evenVBand="0" w:oddHBand="1" w:evenHBand="0" w:firstRowFirstColumn="0" w:firstRowLastColumn="0" w:lastRowFirstColumn="0" w:lastRowLastColumn="0"/>
              <w:rPr>
                <w:i/>
                <w:color w:val="000000"/>
                <w:sz w:val="18"/>
              </w:rPr>
            </w:pPr>
            <w:r w:rsidRPr="00DF637C">
              <w:rPr>
                <w:i/>
                <w:color w:val="000000"/>
                <w:sz w:val="18"/>
              </w:rPr>
              <w:t xml:space="preserve">Considering </w:t>
            </w:r>
            <w:r w:rsidR="00767A75">
              <w:rPr>
                <w:i/>
                <w:color w:val="000000"/>
                <w:sz w:val="18"/>
              </w:rPr>
              <w:t xml:space="preserve">the </w:t>
            </w:r>
            <w:r w:rsidRPr="00DF637C">
              <w:rPr>
                <w:i/>
                <w:color w:val="000000"/>
                <w:sz w:val="18"/>
              </w:rPr>
              <w:t xml:space="preserve">corresponding marginal power mix for each scenario as in </w:t>
            </w:r>
            <w:r w:rsidR="0058060F" w:rsidRPr="0058060F">
              <w:rPr>
                <w:b/>
                <w:i/>
                <w:color w:val="000000"/>
                <w:sz w:val="18"/>
                <w:szCs w:val="18"/>
                <w:highlight w:val="yellow"/>
              </w:rPr>
              <w:fldChar w:fldCharType="begin"/>
            </w:r>
            <w:r w:rsidR="0058060F" w:rsidRPr="0058060F">
              <w:rPr>
                <w:b/>
                <w:i/>
                <w:color w:val="000000"/>
                <w:sz w:val="18"/>
                <w:szCs w:val="18"/>
                <w:highlight w:val="yellow"/>
              </w:rPr>
              <w:instrText xml:space="preserve"> REF _Ref151650016 \h  \* MERGEFORMAT </w:instrText>
            </w:r>
            <w:r w:rsidR="0058060F" w:rsidRPr="0058060F">
              <w:rPr>
                <w:b/>
                <w:i/>
                <w:color w:val="000000"/>
                <w:sz w:val="18"/>
                <w:szCs w:val="18"/>
                <w:highlight w:val="yellow"/>
              </w:rPr>
            </w:r>
            <w:r w:rsidR="0058060F" w:rsidRPr="0058060F">
              <w:rPr>
                <w:b/>
                <w:i/>
                <w:color w:val="000000"/>
                <w:sz w:val="18"/>
                <w:szCs w:val="18"/>
                <w:highlight w:val="yellow"/>
              </w:rPr>
              <w:fldChar w:fldCharType="separate"/>
            </w:r>
            <w:r w:rsidR="0058060F" w:rsidRPr="0058060F">
              <w:rPr>
                <w:b/>
                <w:i/>
                <w:sz w:val="18"/>
                <w:szCs w:val="18"/>
              </w:rPr>
              <w:t>Table SI</w:t>
            </w:r>
            <w:r w:rsidR="0058060F" w:rsidRPr="0058060F">
              <w:rPr>
                <w:b/>
                <w:i/>
                <w:noProof/>
                <w:sz w:val="18"/>
                <w:szCs w:val="18"/>
              </w:rPr>
              <w:t>2</w:t>
            </w:r>
            <w:r w:rsidR="0058060F" w:rsidRPr="0058060F">
              <w:rPr>
                <w:b/>
                <w:i/>
                <w:color w:val="000000"/>
                <w:sz w:val="18"/>
                <w:szCs w:val="18"/>
                <w:highlight w:val="yellow"/>
              </w:rPr>
              <w:fldChar w:fldCharType="end"/>
            </w:r>
            <w:r w:rsidRPr="00DF637C">
              <w:rPr>
                <w:i/>
                <w:color w:val="000000"/>
                <w:sz w:val="18"/>
              </w:rPr>
              <w:t>.</w:t>
            </w:r>
          </w:p>
        </w:tc>
      </w:tr>
      <w:tr w:rsidR="00DF637C" w:rsidRPr="0098795B" w14:paraId="089F88AE" w14:textId="77777777" w:rsidTr="00225ED6">
        <w:trPr>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7E6E6" w:themeFill="background2"/>
          </w:tcPr>
          <w:p w14:paraId="5BA94A98" w14:textId="6F48DC8D" w:rsidR="00DF637C" w:rsidRPr="0098795B" w:rsidRDefault="00DF637C" w:rsidP="00225ED6">
            <w:pPr>
              <w:pStyle w:val="Contenudetableau"/>
              <w:rPr>
                <w:color w:val="000000"/>
                <w:sz w:val="18"/>
              </w:rPr>
            </w:pPr>
            <w:r>
              <w:rPr>
                <w:sz w:val="18"/>
              </w:rPr>
              <w:t xml:space="preserve">Environmental </w:t>
            </w:r>
            <w:r w:rsidRPr="00793512">
              <w:rPr>
                <w:sz w:val="18"/>
              </w:rPr>
              <w:t xml:space="preserve">impacts </w:t>
            </w:r>
            <w:r>
              <w:rPr>
                <w:sz w:val="18"/>
              </w:rPr>
              <w:t>(</w:t>
            </w:r>
            <w:r w:rsidRPr="00793512">
              <w:rPr>
                <w:sz w:val="18"/>
              </w:rPr>
              <w:t>EF 3.0</w:t>
            </w:r>
            <w:r>
              <w:rPr>
                <w:sz w:val="18"/>
              </w:rPr>
              <w:t>)</w:t>
            </w:r>
            <w:r w:rsidRPr="00793512">
              <w:rPr>
                <w:sz w:val="18"/>
              </w:rPr>
              <w:t>,</w:t>
            </w:r>
            <w:r>
              <w:rPr>
                <w:sz w:val="18"/>
              </w:rPr>
              <w:t xml:space="preserve"> </w:t>
            </w:r>
            <w:r w:rsidRPr="00793512">
              <w:rPr>
                <w:sz w:val="18"/>
              </w:rPr>
              <w:t xml:space="preserve">expressed per </w:t>
            </w:r>
            <w:r>
              <w:rPr>
                <w:sz w:val="18"/>
              </w:rPr>
              <w:t>MJ</w:t>
            </w:r>
            <w:r w:rsidRPr="00793512">
              <w:rPr>
                <w:sz w:val="18"/>
              </w:rPr>
              <w:t xml:space="preserve"> supplied</w:t>
            </w:r>
          </w:p>
        </w:tc>
      </w:tr>
      <w:tr w:rsidR="00DF637C" w:rsidRPr="0098795B" w14:paraId="4797DF86" w14:textId="77777777" w:rsidTr="00225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60A1CDBC" w14:textId="4741779D" w:rsidR="00DF637C" w:rsidRPr="0098795B" w:rsidRDefault="00DF637C" w:rsidP="00225ED6">
            <w:pPr>
              <w:pStyle w:val="Contenudetableau"/>
              <w:rPr>
                <w:sz w:val="18"/>
              </w:rPr>
            </w:pPr>
            <w:r w:rsidRPr="00C17A27">
              <w:rPr>
                <w:b w:val="0"/>
                <w:sz w:val="18"/>
              </w:rPr>
              <w:t>Climate change (kgCO</w:t>
            </w:r>
            <w:r w:rsidRPr="00C17A27">
              <w:rPr>
                <w:b w:val="0"/>
                <w:sz w:val="18"/>
                <w:vertAlign w:val="subscript"/>
              </w:rPr>
              <w:t>2</w:t>
            </w:r>
            <w:r w:rsidRPr="00C17A27">
              <w:rPr>
                <w:b w:val="0"/>
                <w:sz w:val="18"/>
              </w:rPr>
              <w:t>-eq)</w:t>
            </w:r>
          </w:p>
        </w:tc>
        <w:tc>
          <w:tcPr>
            <w:tcW w:w="1977" w:type="dxa"/>
          </w:tcPr>
          <w:p w14:paraId="3A5E8B0D" w14:textId="5C9997A7" w:rsidR="00DF637C" w:rsidRPr="0098795B" w:rsidRDefault="00DF637C" w:rsidP="00225ED6">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0.014</w:t>
            </w:r>
          </w:p>
        </w:tc>
        <w:tc>
          <w:tcPr>
            <w:tcW w:w="2003" w:type="dxa"/>
          </w:tcPr>
          <w:p w14:paraId="58093ED3" w14:textId="169ECFE4" w:rsidR="00DF637C" w:rsidRPr="0098795B" w:rsidRDefault="00877AD0" w:rsidP="00225ED6">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0.0</w:t>
            </w:r>
            <w:r w:rsidR="007F4C02">
              <w:rPr>
                <w:color w:val="000000"/>
                <w:sz w:val="18"/>
              </w:rPr>
              <w:t>10</w:t>
            </w:r>
          </w:p>
        </w:tc>
        <w:tc>
          <w:tcPr>
            <w:tcW w:w="2693" w:type="dxa"/>
          </w:tcPr>
          <w:p w14:paraId="75BBFAF7" w14:textId="71E644C9" w:rsidR="00DF637C" w:rsidRPr="0098795B" w:rsidRDefault="007F4C02" w:rsidP="00225ED6">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0.046</w:t>
            </w:r>
          </w:p>
        </w:tc>
      </w:tr>
      <w:tr w:rsidR="007F4C02" w:rsidRPr="0098795B" w14:paraId="1AFB4680" w14:textId="77777777" w:rsidTr="00225ED6">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50EB609B" w14:textId="5B57F219" w:rsidR="007F4C02" w:rsidRPr="00C17A27" w:rsidRDefault="007F4C02" w:rsidP="00225ED6">
            <w:pPr>
              <w:pStyle w:val="Contenudetableau"/>
              <w:rPr>
                <w:sz w:val="18"/>
              </w:rPr>
            </w:pPr>
            <w:r w:rsidRPr="00C17A27">
              <w:rPr>
                <w:b w:val="0"/>
                <w:sz w:val="18"/>
              </w:rPr>
              <w:t>Marine eutrophic</w:t>
            </w:r>
            <w:r w:rsidR="00896D2D">
              <w:rPr>
                <w:b w:val="0"/>
                <w:sz w:val="18"/>
              </w:rPr>
              <w:t>.</w:t>
            </w:r>
            <w:r w:rsidRPr="00C17A27">
              <w:rPr>
                <w:b w:val="0"/>
                <w:sz w:val="18"/>
              </w:rPr>
              <w:t xml:space="preserve"> (</w:t>
            </w:r>
            <w:proofErr w:type="spellStart"/>
            <w:r w:rsidRPr="00C17A27">
              <w:rPr>
                <w:b w:val="0"/>
                <w:sz w:val="18"/>
              </w:rPr>
              <w:t>kgN</w:t>
            </w:r>
            <w:proofErr w:type="spellEnd"/>
            <w:r w:rsidRPr="00C17A27">
              <w:rPr>
                <w:b w:val="0"/>
                <w:sz w:val="18"/>
              </w:rPr>
              <w:t>-eq)</w:t>
            </w:r>
          </w:p>
        </w:tc>
        <w:tc>
          <w:tcPr>
            <w:tcW w:w="1977" w:type="dxa"/>
          </w:tcPr>
          <w:p w14:paraId="70E5F678" w14:textId="24220744" w:rsidR="007F4C02" w:rsidRPr="00C17A27" w:rsidRDefault="007F4C02" w:rsidP="00225ED6">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1.3</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-5</w:t>
            </w:r>
          </w:p>
        </w:tc>
        <w:tc>
          <w:tcPr>
            <w:tcW w:w="2003" w:type="dxa"/>
          </w:tcPr>
          <w:p w14:paraId="412D4378" w14:textId="21873F5F" w:rsidR="007F4C02" w:rsidRDefault="007F4C02" w:rsidP="00225ED6">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1.2</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-5</w:t>
            </w:r>
          </w:p>
        </w:tc>
        <w:tc>
          <w:tcPr>
            <w:tcW w:w="2693" w:type="dxa"/>
          </w:tcPr>
          <w:p w14:paraId="00821F66" w14:textId="742A6452" w:rsidR="007F4C02" w:rsidRDefault="007F4C02" w:rsidP="00225ED6">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3.0</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-5</w:t>
            </w:r>
          </w:p>
        </w:tc>
      </w:tr>
      <w:tr w:rsidR="007F4C02" w:rsidRPr="0098795B" w14:paraId="65F7C582" w14:textId="77777777" w:rsidTr="00225ED6">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3BC2BA18" w14:textId="6D60E96F" w:rsidR="007F4C02" w:rsidRPr="00C17A27" w:rsidRDefault="007F4C02" w:rsidP="00225ED6">
            <w:pPr>
              <w:pStyle w:val="Contenudetableau"/>
              <w:rPr>
                <w:sz w:val="18"/>
              </w:rPr>
            </w:pPr>
            <w:r w:rsidRPr="00C17A27">
              <w:rPr>
                <w:b w:val="0"/>
                <w:sz w:val="18"/>
              </w:rPr>
              <w:t>Land use (points)</w:t>
            </w:r>
          </w:p>
        </w:tc>
        <w:tc>
          <w:tcPr>
            <w:tcW w:w="1977" w:type="dxa"/>
          </w:tcPr>
          <w:p w14:paraId="3869FCD7" w14:textId="74BE9944" w:rsidR="007F4C02" w:rsidRPr="00C17A27" w:rsidRDefault="007F4C02" w:rsidP="00225ED6">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0.73</w:t>
            </w:r>
          </w:p>
        </w:tc>
        <w:tc>
          <w:tcPr>
            <w:tcW w:w="2003" w:type="dxa"/>
          </w:tcPr>
          <w:p w14:paraId="5515A0F1" w14:textId="22B9B8D4" w:rsidR="007F4C02" w:rsidRPr="00C17A27" w:rsidRDefault="007F4C02" w:rsidP="00225ED6">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0.24</w:t>
            </w:r>
          </w:p>
        </w:tc>
        <w:tc>
          <w:tcPr>
            <w:tcW w:w="2693" w:type="dxa"/>
          </w:tcPr>
          <w:p w14:paraId="39CC196A" w14:textId="1894F8E7" w:rsidR="007F4C02" w:rsidRDefault="007F4C02" w:rsidP="00225ED6">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1.53</w:t>
            </w:r>
          </w:p>
        </w:tc>
      </w:tr>
      <w:tr w:rsidR="007F4C02" w:rsidRPr="0098795B" w14:paraId="05F20DCE" w14:textId="77777777" w:rsidTr="00225ED6">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486BF22C" w14:textId="32084C23" w:rsidR="007F4C02" w:rsidRPr="00C17A27" w:rsidRDefault="007F4C02" w:rsidP="00225ED6">
            <w:pPr>
              <w:pStyle w:val="Contenudetableau"/>
              <w:rPr>
                <w:sz w:val="18"/>
              </w:rPr>
            </w:pPr>
            <w:r w:rsidRPr="00C17A27">
              <w:rPr>
                <w:b w:val="0"/>
                <w:color w:val="000000"/>
                <w:sz w:val="18"/>
                <w:szCs w:val="18"/>
              </w:rPr>
              <w:t>Water use (m</w:t>
            </w:r>
            <w:r w:rsidRPr="00C17A27">
              <w:rPr>
                <w:b w:val="0"/>
                <w:color w:val="000000"/>
                <w:sz w:val="18"/>
                <w:szCs w:val="18"/>
                <w:vertAlign w:val="superscript"/>
              </w:rPr>
              <w:t>3</w:t>
            </w:r>
            <w:r w:rsidRPr="00C17A27">
              <w:rPr>
                <w:b w:val="0"/>
                <w:color w:val="000000"/>
                <w:sz w:val="18"/>
                <w:szCs w:val="18"/>
              </w:rPr>
              <w:t>-eq)</w:t>
            </w:r>
          </w:p>
        </w:tc>
        <w:tc>
          <w:tcPr>
            <w:tcW w:w="1977" w:type="dxa"/>
          </w:tcPr>
          <w:p w14:paraId="7036615E" w14:textId="44E1F56B" w:rsidR="007F4C02" w:rsidRDefault="007F4C02" w:rsidP="00225ED6">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4.1</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3</w:t>
            </w:r>
          </w:p>
        </w:tc>
        <w:tc>
          <w:tcPr>
            <w:tcW w:w="2003" w:type="dxa"/>
          </w:tcPr>
          <w:p w14:paraId="714235C0" w14:textId="19758C79" w:rsidR="007F4C02" w:rsidRDefault="007F4C02" w:rsidP="00225ED6">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13.7</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3</w:t>
            </w:r>
          </w:p>
        </w:tc>
        <w:tc>
          <w:tcPr>
            <w:tcW w:w="2693" w:type="dxa"/>
          </w:tcPr>
          <w:p w14:paraId="14150874" w14:textId="4AA86CD2" w:rsidR="007F4C02" w:rsidRDefault="007F4C02" w:rsidP="00225ED6">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6.6</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3</w:t>
            </w:r>
          </w:p>
        </w:tc>
      </w:tr>
    </w:tbl>
    <w:p w14:paraId="6AA95C0C" w14:textId="119AD0F4" w:rsidR="0098795B" w:rsidRDefault="0098795B" w:rsidP="0058060F">
      <w:pPr>
        <w:rPr>
          <w:sz w:val="18"/>
        </w:rPr>
      </w:pPr>
      <w:r w:rsidRPr="00793512">
        <w:rPr>
          <w:sz w:val="18"/>
        </w:rPr>
        <w:t xml:space="preserve">Rounded to two digits. </w:t>
      </w:r>
      <w:r w:rsidRPr="00793512">
        <w:rPr>
          <w:sz w:val="18"/>
          <w:vertAlign w:val="superscript"/>
        </w:rPr>
        <w:t>*</w:t>
      </w:r>
      <w:r w:rsidRPr="00793512">
        <w:rPr>
          <w:sz w:val="18"/>
        </w:rPr>
        <w:t xml:space="preserve">: According to </w:t>
      </w:r>
      <w:r>
        <w:rPr>
          <w:sz w:val="18"/>
        </w:rPr>
        <w:t>ADEME</w:t>
      </w:r>
      <w:r w:rsidRPr="00793512">
        <w:rPr>
          <w:sz w:val="18"/>
        </w:rPr>
        <w:t xml:space="preserve"> scenari</w:t>
      </w:r>
      <w:r>
        <w:rPr>
          <w:sz w:val="18"/>
        </w:rPr>
        <w:t>os for France</w:t>
      </w:r>
      <w:r>
        <w:rPr>
          <w:sz w:val="18"/>
        </w:rPr>
        <w:fldChar w:fldCharType="begin"/>
      </w:r>
      <w:r w:rsidR="00C61A9E">
        <w:rPr>
          <w:sz w:val="18"/>
        </w:rPr>
        <w:instrText xml:space="preserve"> ADDIN ZOTERO_ITEM CSL_CITATION {"citationID":"6Ppk2gub","properties":{"formattedCitation":"\\super 6\\nosupersub{}","plainCitation":"6","noteIndex":0},"citationItems":[{"id":12789,"uris":["http://zotero.org/users/6423791/items/9V37DIM5"],"itemData":{"id":12789,"type":"book","event-place":"Angers","ISBN":"979-10-297-1887-8","publisher":"ADEME Editions","publisher-place":"Angers","title":"Transition(s) 2050 - Choisir maintenant, Agir pour le climat - Rapport","author":[{"literal":"ADEME"}],"issued":{"date-parts":[["2021",11]]}}}],"schema":"https://github.com/citation-style-language/schema/raw/master/csl-citation.json"} </w:instrText>
      </w:r>
      <w:r>
        <w:rPr>
          <w:sz w:val="18"/>
        </w:rPr>
        <w:fldChar w:fldCharType="separate"/>
      </w:r>
      <w:r w:rsidR="00C61A9E" w:rsidRPr="00C61A9E">
        <w:rPr>
          <w:rFonts w:ascii="Calibri" w:hAnsi="Calibri" w:cs="Calibri"/>
          <w:sz w:val="18"/>
          <w:szCs w:val="24"/>
          <w:vertAlign w:val="superscript"/>
        </w:rPr>
        <w:t>6</w:t>
      </w:r>
      <w:r>
        <w:rPr>
          <w:sz w:val="18"/>
        </w:rPr>
        <w:fldChar w:fldCharType="end"/>
      </w:r>
      <w:r>
        <w:rPr>
          <w:sz w:val="18"/>
        </w:rPr>
        <w:t xml:space="preserve"> (no Europe-wise information for </w:t>
      </w:r>
      <w:r w:rsidR="00767A75">
        <w:rPr>
          <w:sz w:val="18"/>
        </w:rPr>
        <w:t xml:space="preserve">future </w:t>
      </w:r>
      <w:r>
        <w:rPr>
          <w:sz w:val="18"/>
        </w:rPr>
        <w:t>LT heat</w:t>
      </w:r>
      <w:r w:rsidR="00767A75">
        <w:rPr>
          <w:sz w:val="18"/>
        </w:rPr>
        <w:t>ing markets</w:t>
      </w:r>
      <w:r>
        <w:rPr>
          <w:sz w:val="18"/>
        </w:rPr>
        <w:t xml:space="preserve"> found).</w:t>
      </w:r>
      <w:r w:rsidR="00937A2C">
        <w:rPr>
          <w:sz w:val="18"/>
        </w:rPr>
        <w:t xml:space="preserve"> </w:t>
      </w:r>
      <w:r w:rsidR="00937A2C" w:rsidRPr="00937A2C">
        <w:rPr>
          <w:sz w:val="18"/>
          <w:vertAlign w:val="superscript"/>
        </w:rPr>
        <w:t>**</w:t>
      </w:r>
      <w:r w:rsidR="00937A2C">
        <w:rPr>
          <w:sz w:val="18"/>
        </w:rPr>
        <w:t xml:space="preserve">: See </w:t>
      </w:r>
      <w:r w:rsidR="0058060F" w:rsidRPr="0058060F">
        <w:rPr>
          <w:b/>
          <w:sz w:val="18"/>
          <w:szCs w:val="18"/>
        </w:rPr>
        <w:fldChar w:fldCharType="begin"/>
      </w:r>
      <w:r w:rsidR="0058060F" w:rsidRPr="0058060F">
        <w:rPr>
          <w:b/>
          <w:sz w:val="18"/>
          <w:szCs w:val="18"/>
        </w:rPr>
        <w:instrText xml:space="preserve"> REF _Ref151650086 \h  \* MERGEFORMAT </w:instrText>
      </w:r>
      <w:r w:rsidR="0058060F" w:rsidRPr="0058060F">
        <w:rPr>
          <w:b/>
          <w:sz w:val="18"/>
          <w:szCs w:val="18"/>
        </w:rPr>
      </w:r>
      <w:r w:rsidR="0058060F" w:rsidRPr="0058060F">
        <w:rPr>
          <w:b/>
          <w:sz w:val="18"/>
          <w:szCs w:val="18"/>
        </w:rPr>
        <w:fldChar w:fldCharType="separate"/>
      </w:r>
      <w:r w:rsidR="0058060F" w:rsidRPr="0058060F">
        <w:rPr>
          <w:b/>
          <w:sz w:val="18"/>
          <w:szCs w:val="18"/>
        </w:rPr>
        <w:t>Table SI</w:t>
      </w:r>
      <w:r w:rsidR="0058060F" w:rsidRPr="0058060F">
        <w:rPr>
          <w:b/>
          <w:noProof/>
          <w:sz w:val="18"/>
          <w:szCs w:val="18"/>
        </w:rPr>
        <w:t>4</w:t>
      </w:r>
      <w:r w:rsidR="0058060F" w:rsidRPr="0058060F">
        <w:rPr>
          <w:b/>
          <w:sz w:val="18"/>
          <w:szCs w:val="18"/>
        </w:rPr>
        <w:fldChar w:fldCharType="end"/>
      </w:r>
      <w:r w:rsidR="0058060F">
        <w:rPr>
          <w:sz w:val="18"/>
        </w:rPr>
        <w:t xml:space="preserve"> </w:t>
      </w:r>
      <w:r w:rsidR="00937A2C">
        <w:rPr>
          <w:sz w:val="18"/>
        </w:rPr>
        <w:t>for district heating modeling.</w:t>
      </w:r>
      <w:r w:rsidR="00DF637C">
        <w:rPr>
          <w:sz w:val="18"/>
        </w:rPr>
        <w:t xml:space="preserve"> </w:t>
      </w:r>
      <w:r w:rsidR="00DF637C" w:rsidRPr="0098795B">
        <w:rPr>
          <w:sz w:val="18"/>
          <w:vertAlign w:val="superscript"/>
        </w:rPr>
        <w:t>*</w:t>
      </w:r>
      <w:r w:rsidR="00DF637C">
        <w:rPr>
          <w:sz w:val="18"/>
          <w:vertAlign w:val="superscript"/>
        </w:rPr>
        <w:t>*</w:t>
      </w:r>
      <w:r w:rsidR="00DF637C" w:rsidRPr="0098795B">
        <w:rPr>
          <w:sz w:val="18"/>
          <w:vertAlign w:val="superscript"/>
        </w:rPr>
        <w:t>*</w:t>
      </w:r>
      <w:r w:rsidR="00DF637C">
        <w:rPr>
          <w:sz w:val="18"/>
        </w:rPr>
        <w:t>: Modeled as natural gas following ongoing EU policies</w:t>
      </w:r>
      <w:r w:rsidR="0058060F">
        <w:rPr>
          <w:sz w:val="18"/>
        </w:rPr>
        <w:t xml:space="preserve"> phasing out solid and liquid fossil fuels</w:t>
      </w:r>
      <w:r w:rsidR="00DF637C">
        <w:rPr>
          <w:sz w:val="18"/>
        </w:rPr>
        <w:t>.</w:t>
      </w:r>
    </w:p>
    <w:p w14:paraId="6A487C38" w14:textId="29C1B270" w:rsidR="00DF637C" w:rsidRPr="00793512" w:rsidRDefault="00225F94" w:rsidP="0058060F">
      <w:pPr>
        <w:pStyle w:val="Lgende"/>
        <w:jc w:val="left"/>
      </w:pPr>
      <w:bookmarkStart w:id="8" w:name="_Ref151650086"/>
      <w:bookmarkStart w:id="9" w:name="_Toc155516840"/>
      <w:r>
        <w:t>Table SI</w:t>
      </w:r>
      <w:r>
        <w:fldChar w:fldCharType="begin"/>
      </w:r>
      <w:r>
        <w:instrText xml:space="preserve"> SEQ Table \* ARABIC </w:instrText>
      </w:r>
      <w:r>
        <w:fldChar w:fldCharType="separate"/>
      </w:r>
      <w:r w:rsidR="00C65861">
        <w:rPr>
          <w:noProof/>
        </w:rPr>
        <w:t>4</w:t>
      </w:r>
      <w:r>
        <w:fldChar w:fldCharType="end"/>
      </w:r>
      <w:bookmarkEnd w:id="8"/>
      <w:r>
        <w:t xml:space="preserve"> </w:t>
      </w:r>
      <w:r w:rsidR="00DF637C" w:rsidRPr="00793512">
        <w:t xml:space="preserve">– </w:t>
      </w:r>
      <w:r w:rsidR="00DF637C">
        <w:t>District heating</w:t>
      </w:r>
      <w:r w:rsidR="00DF637C" w:rsidRPr="00793512">
        <w:t xml:space="preserve"> </w:t>
      </w:r>
      <w:r w:rsidR="00767A75">
        <w:t xml:space="preserve">marginal </w:t>
      </w:r>
      <w:r w:rsidR="00DF637C" w:rsidRPr="00793512">
        <w:t>mix</w:t>
      </w:r>
      <w:r w:rsidR="00767A75">
        <w:t>es</w:t>
      </w:r>
      <w:r w:rsidR="00DF637C" w:rsidRPr="00793512">
        <w:t xml:space="preserve"> in </w:t>
      </w:r>
      <w:r w:rsidR="00767A75">
        <w:t>three future</w:t>
      </w:r>
      <w:r w:rsidR="00DF637C" w:rsidRPr="00793512">
        <w:t xml:space="preserve"> energy scenarios</w:t>
      </w:r>
      <w:bookmarkEnd w:id="9"/>
    </w:p>
    <w:tbl>
      <w:tblPr>
        <w:tblStyle w:val="Tableausimple2"/>
        <w:tblW w:w="5000" w:type="pct"/>
        <w:tblLook w:val="04A0" w:firstRow="1" w:lastRow="0" w:firstColumn="1" w:lastColumn="0" w:noHBand="0" w:noVBand="1"/>
      </w:tblPr>
      <w:tblGrid>
        <w:gridCol w:w="2410"/>
        <w:gridCol w:w="2126"/>
        <w:gridCol w:w="1985"/>
        <w:gridCol w:w="2551"/>
      </w:tblGrid>
      <w:tr w:rsidR="00877AD0" w:rsidRPr="00AE3D44" w14:paraId="4A05FBCF" w14:textId="77777777" w:rsidTr="0058060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pct"/>
          </w:tcPr>
          <w:p w14:paraId="0D2048B2" w14:textId="77777777" w:rsidR="00DF637C" w:rsidRPr="0098795B" w:rsidRDefault="00DF637C" w:rsidP="0058060F">
            <w:pPr>
              <w:pStyle w:val="Contenudetableau"/>
              <w:rPr>
                <w:rFonts w:ascii="Calibri" w:hAnsi="Calibri"/>
                <w:bCs w:val="0"/>
                <w:color w:val="000000"/>
                <w:sz w:val="18"/>
                <w:szCs w:val="18"/>
              </w:rPr>
            </w:pPr>
            <w:r w:rsidRPr="0098795B">
              <w:rPr>
                <w:bCs w:val="0"/>
                <w:color w:val="000000"/>
                <w:sz w:val="18"/>
                <w:szCs w:val="18"/>
              </w:rPr>
              <w:t>Technology group (% in mix)</w:t>
            </w:r>
          </w:p>
        </w:tc>
        <w:tc>
          <w:tcPr>
            <w:tcW w:w="1172" w:type="pct"/>
          </w:tcPr>
          <w:p w14:paraId="2A917F26" w14:textId="77777777" w:rsidR="00DF637C" w:rsidRPr="0098795B" w:rsidRDefault="00DF637C" w:rsidP="0058060F">
            <w:pPr>
              <w:pStyle w:val="Contenudetableau"/>
              <w:cnfStyle w:val="100000000000" w:firstRow="1" w:lastRow="0" w:firstColumn="0" w:lastColumn="0" w:oddVBand="0" w:evenVBand="0" w:oddHBand="0" w:evenHBand="0" w:firstRowFirstColumn="0" w:firstRowLastColumn="0" w:lastRowFirstColumn="0" w:lastRowLastColumn="0"/>
              <w:rPr>
                <w:rFonts w:ascii="Calibri" w:hAnsi="Calibri"/>
                <w:bCs w:val="0"/>
                <w:color w:val="000000"/>
                <w:sz w:val="18"/>
                <w:szCs w:val="18"/>
              </w:rPr>
            </w:pPr>
            <w:r w:rsidRPr="0098795B">
              <w:rPr>
                <w:color w:val="000000"/>
                <w:sz w:val="18"/>
                <w:szCs w:val="18"/>
              </w:rPr>
              <w:t>Toward renewable energies</w:t>
            </w:r>
          </w:p>
        </w:tc>
        <w:tc>
          <w:tcPr>
            <w:tcW w:w="1094" w:type="pct"/>
          </w:tcPr>
          <w:p w14:paraId="2AC7AE45" w14:textId="77777777" w:rsidR="00DF637C" w:rsidRPr="0098795B" w:rsidRDefault="00DF637C" w:rsidP="0058060F">
            <w:pPr>
              <w:pStyle w:val="Contenudetableau"/>
              <w:cnfStyle w:val="100000000000" w:firstRow="1" w:lastRow="0" w:firstColumn="0" w:lastColumn="0" w:oddVBand="0" w:evenVBand="0" w:oddHBand="0" w:evenHBand="0" w:firstRowFirstColumn="0" w:firstRowLastColumn="0" w:lastRowFirstColumn="0" w:lastRowLastColumn="0"/>
              <w:rPr>
                <w:bCs w:val="0"/>
                <w:color w:val="000000"/>
                <w:sz w:val="18"/>
                <w:szCs w:val="18"/>
              </w:rPr>
            </w:pPr>
            <w:r w:rsidRPr="0098795B">
              <w:rPr>
                <w:color w:val="000000"/>
                <w:sz w:val="18"/>
                <w:szCs w:val="18"/>
              </w:rPr>
              <w:t>Towards high electrification</w:t>
            </w:r>
          </w:p>
        </w:tc>
        <w:tc>
          <w:tcPr>
            <w:tcW w:w="1406" w:type="pct"/>
          </w:tcPr>
          <w:p w14:paraId="49756242" w14:textId="77777777" w:rsidR="00DF637C" w:rsidRPr="00DF637C" w:rsidRDefault="00DF637C" w:rsidP="0058060F">
            <w:pPr>
              <w:pStyle w:val="Contenudetableau"/>
              <w:cnfStyle w:val="100000000000" w:firstRow="1" w:lastRow="0" w:firstColumn="0" w:lastColumn="0" w:oddVBand="0" w:evenVBand="0" w:oddHBand="0" w:evenHBand="0" w:firstRowFirstColumn="0" w:firstRowLastColumn="0" w:lastRowFirstColumn="0" w:lastRowLastColumn="0"/>
              <w:rPr>
                <w:b w:val="0"/>
                <w:bCs w:val="0"/>
                <w:color w:val="000000"/>
                <w:sz w:val="18"/>
                <w:szCs w:val="18"/>
                <w:vertAlign w:val="superscript"/>
                <w:lang w:val="fr-FR"/>
              </w:rPr>
            </w:pPr>
            <w:r w:rsidRPr="00DF637C">
              <w:rPr>
                <w:color w:val="000000"/>
                <w:sz w:val="18"/>
                <w:szCs w:val="18"/>
                <w:lang w:val="fr-FR"/>
              </w:rPr>
              <w:t>Average EU situation, 2030</w:t>
            </w:r>
            <w:r w:rsidRPr="00DF637C">
              <w:rPr>
                <w:color w:val="000000"/>
                <w:sz w:val="18"/>
                <w:szCs w:val="18"/>
                <w:vertAlign w:val="superscript"/>
                <w:lang w:val="fr-FR"/>
              </w:rPr>
              <w:t>*</w:t>
            </w:r>
          </w:p>
          <w:p w14:paraId="37476BF9" w14:textId="77777777" w:rsidR="00DF637C" w:rsidRPr="00DF637C" w:rsidRDefault="00DF637C" w:rsidP="0058060F">
            <w:pPr>
              <w:pStyle w:val="Contenudetableau"/>
              <w:cnfStyle w:val="100000000000" w:firstRow="1" w:lastRow="0" w:firstColumn="0" w:lastColumn="0" w:oddVBand="0" w:evenVBand="0" w:oddHBand="0" w:evenHBand="0" w:firstRowFirstColumn="0" w:firstRowLastColumn="0" w:lastRowFirstColumn="0" w:lastRowLastColumn="0"/>
              <w:rPr>
                <w:bCs w:val="0"/>
                <w:color w:val="000000"/>
                <w:sz w:val="18"/>
                <w:szCs w:val="18"/>
                <w:lang w:val="fr-FR"/>
              </w:rPr>
            </w:pPr>
            <w:r w:rsidRPr="00DF637C">
              <w:rPr>
                <w:color w:val="000000"/>
                <w:sz w:val="18"/>
                <w:szCs w:val="18"/>
                <w:lang w:val="fr-FR"/>
              </w:rPr>
              <w:t>(</w:t>
            </w:r>
            <w:r w:rsidRPr="00DF637C">
              <w:rPr>
                <w:i/>
                <w:color w:val="000000"/>
                <w:sz w:val="18"/>
                <w:szCs w:val="18"/>
                <w:lang w:val="fr-FR"/>
              </w:rPr>
              <w:t xml:space="preserve">Illustrative </w:t>
            </w:r>
            <w:proofErr w:type="spellStart"/>
            <w:r w:rsidRPr="00DF637C">
              <w:rPr>
                <w:i/>
                <w:color w:val="000000"/>
                <w:sz w:val="18"/>
                <w:szCs w:val="18"/>
                <w:lang w:val="fr-FR"/>
              </w:rPr>
              <w:t>purposes</w:t>
            </w:r>
            <w:proofErr w:type="spellEnd"/>
            <w:r w:rsidRPr="00DF637C">
              <w:rPr>
                <w:color w:val="000000"/>
                <w:sz w:val="18"/>
                <w:szCs w:val="18"/>
                <w:lang w:val="fr-FR"/>
              </w:rPr>
              <w:t>)</w:t>
            </w:r>
          </w:p>
        </w:tc>
      </w:tr>
      <w:tr w:rsidR="00877AD0" w:rsidRPr="0098795B" w14:paraId="3CF5A9E7" w14:textId="77777777" w:rsidTr="00580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pct"/>
          </w:tcPr>
          <w:p w14:paraId="27DC94DE" w14:textId="77777777" w:rsidR="00DF637C" w:rsidRPr="00DF637C" w:rsidRDefault="00DF637C" w:rsidP="0058060F">
            <w:pPr>
              <w:pStyle w:val="Contenudetableau"/>
              <w:rPr>
                <w:rFonts w:ascii="Calibri" w:hAnsi="Calibri"/>
                <w:b w:val="0"/>
                <w:color w:val="000000"/>
                <w:sz w:val="18"/>
                <w:szCs w:val="18"/>
              </w:rPr>
            </w:pPr>
            <w:r w:rsidRPr="00DF637C">
              <w:rPr>
                <w:b w:val="0"/>
                <w:sz w:val="18"/>
              </w:rPr>
              <w:t>Gas grid</w:t>
            </w:r>
          </w:p>
        </w:tc>
        <w:tc>
          <w:tcPr>
            <w:tcW w:w="1172" w:type="pct"/>
          </w:tcPr>
          <w:p w14:paraId="5447CE7B" w14:textId="450E5390" w:rsidR="00DF637C" w:rsidRPr="0098795B" w:rsidRDefault="00DF637C" w:rsidP="0058060F">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1094" w:type="pct"/>
          </w:tcPr>
          <w:p w14:paraId="61C9299C" w14:textId="77777777" w:rsidR="00DF637C" w:rsidRPr="0098795B" w:rsidRDefault="00DF637C" w:rsidP="0058060F">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p>
        </w:tc>
        <w:tc>
          <w:tcPr>
            <w:tcW w:w="1406" w:type="pct"/>
          </w:tcPr>
          <w:p w14:paraId="7D4E3935" w14:textId="4C7F2572" w:rsidR="00DF637C" w:rsidRPr="0098795B" w:rsidRDefault="00877AD0" w:rsidP="0058060F">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42.8%</w:t>
            </w:r>
          </w:p>
        </w:tc>
      </w:tr>
      <w:tr w:rsidR="00877AD0" w:rsidRPr="0098795B" w14:paraId="3C769F5A" w14:textId="77777777" w:rsidTr="0058060F">
        <w:tc>
          <w:tcPr>
            <w:cnfStyle w:val="001000000000" w:firstRow="0" w:lastRow="0" w:firstColumn="1" w:lastColumn="0" w:oddVBand="0" w:evenVBand="0" w:oddHBand="0" w:evenHBand="0" w:firstRowFirstColumn="0" w:firstRowLastColumn="0" w:lastRowFirstColumn="0" w:lastRowLastColumn="0"/>
            <w:tcW w:w="1328" w:type="pct"/>
          </w:tcPr>
          <w:p w14:paraId="171895B6" w14:textId="3200A02A" w:rsidR="00877AD0" w:rsidRPr="00DF637C" w:rsidRDefault="00877AD0" w:rsidP="0058060F">
            <w:pPr>
              <w:pStyle w:val="Contenudetableau"/>
              <w:rPr>
                <w:b w:val="0"/>
                <w:sz w:val="18"/>
              </w:rPr>
            </w:pPr>
            <w:r w:rsidRPr="00DF637C">
              <w:rPr>
                <w:b w:val="0"/>
                <w:sz w:val="18"/>
              </w:rPr>
              <w:t>Heating oil</w:t>
            </w:r>
          </w:p>
        </w:tc>
        <w:tc>
          <w:tcPr>
            <w:tcW w:w="1172" w:type="pct"/>
          </w:tcPr>
          <w:p w14:paraId="25341A25" w14:textId="77777777" w:rsidR="00877AD0" w:rsidRPr="0098795B" w:rsidRDefault="00877AD0" w:rsidP="0058060F">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p>
        </w:tc>
        <w:tc>
          <w:tcPr>
            <w:tcW w:w="1094" w:type="pct"/>
          </w:tcPr>
          <w:p w14:paraId="5ADBCBAA" w14:textId="77777777" w:rsidR="00877AD0" w:rsidRPr="0098795B" w:rsidRDefault="00877AD0" w:rsidP="0058060F">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p>
        </w:tc>
        <w:tc>
          <w:tcPr>
            <w:tcW w:w="1406" w:type="pct"/>
          </w:tcPr>
          <w:p w14:paraId="3D212AE0" w14:textId="25483943" w:rsidR="00877AD0" w:rsidRDefault="00877AD0" w:rsidP="0058060F">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1.1%</w:t>
            </w:r>
            <w:r w:rsidRPr="00877AD0">
              <w:rPr>
                <w:color w:val="000000"/>
                <w:sz w:val="18"/>
                <w:vertAlign w:val="superscript"/>
              </w:rPr>
              <w:t>**</w:t>
            </w:r>
          </w:p>
        </w:tc>
      </w:tr>
      <w:tr w:rsidR="00877AD0" w:rsidRPr="0098795B" w14:paraId="389441F4" w14:textId="77777777" w:rsidTr="00580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pct"/>
          </w:tcPr>
          <w:p w14:paraId="53F923C2" w14:textId="1765FAC4" w:rsidR="00DF637C" w:rsidRPr="00DF637C" w:rsidRDefault="00877AD0" w:rsidP="0058060F">
            <w:pPr>
              <w:pStyle w:val="Contenudetableau"/>
              <w:rPr>
                <w:rFonts w:ascii="Calibri" w:hAnsi="Calibri"/>
                <w:b w:val="0"/>
                <w:color w:val="000000"/>
                <w:sz w:val="18"/>
                <w:szCs w:val="18"/>
              </w:rPr>
            </w:pPr>
            <w:r w:rsidRPr="00C17A27">
              <w:rPr>
                <w:b w:val="0"/>
                <w:color w:val="000000"/>
                <w:sz w:val="18"/>
                <w:szCs w:val="18"/>
              </w:rPr>
              <w:t>Solid fossil fuel</w:t>
            </w:r>
          </w:p>
        </w:tc>
        <w:tc>
          <w:tcPr>
            <w:tcW w:w="1172" w:type="pct"/>
          </w:tcPr>
          <w:p w14:paraId="17DDA27F" w14:textId="77777777" w:rsidR="00DF637C" w:rsidRPr="0098795B" w:rsidRDefault="00DF637C" w:rsidP="0058060F">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1094" w:type="pct"/>
          </w:tcPr>
          <w:p w14:paraId="2CAF8D86" w14:textId="77777777" w:rsidR="00DF637C" w:rsidRPr="0098795B" w:rsidRDefault="00DF637C" w:rsidP="0058060F">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p>
        </w:tc>
        <w:tc>
          <w:tcPr>
            <w:tcW w:w="1406" w:type="pct"/>
          </w:tcPr>
          <w:p w14:paraId="65D507AC" w14:textId="62FCFC56" w:rsidR="00DF637C" w:rsidRPr="0098795B" w:rsidRDefault="00877AD0" w:rsidP="0058060F">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15.6%</w:t>
            </w:r>
            <w:r w:rsidRPr="00877AD0">
              <w:rPr>
                <w:color w:val="000000"/>
                <w:sz w:val="18"/>
                <w:vertAlign w:val="superscript"/>
              </w:rPr>
              <w:t>**</w:t>
            </w:r>
          </w:p>
        </w:tc>
      </w:tr>
      <w:tr w:rsidR="00877AD0" w:rsidRPr="0098795B" w14:paraId="7C65F296" w14:textId="77777777" w:rsidTr="0058060F">
        <w:tc>
          <w:tcPr>
            <w:cnfStyle w:val="001000000000" w:firstRow="0" w:lastRow="0" w:firstColumn="1" w:lastColumn="0" w:oddVBand="0" w:evenVBand="0" w:oddHBand="0" w:evenHBand="0" w:firstRowFirstColumn="0" w:firstRowLastColumn="0" w:lastRowFirstColumn="0" w:lastRowLastColumn="0"/>
            <w:tcW w:w="1328" w:type="pct"/>
          </w:tcPr>
          <w:p w14:paraId="2AB2F9C5" w14:textId="77777777" w:rsidR="00877AD0" w:rsidRPr="00DF637C" w:rsidRDefault="00877AD0" w:rsidP="0058060F">
            <w:pPr>
              <w:pStyle w:val="Contenudetableau"/>
              <w:rPr>
                <w:rFonts w:ascii="Calibri" w:hAnsi="Calibri"/>
                <w:b w:val="0"/>
                <w:color w:val="000000"/>
                <w:sz w:val="18"/>
                <w:szCs w:val="18"/>
              </w:rPr>
            </w:pPr>
            <w:r w:rsidRPr="00DF637C">
              <w:rPr>
                <w:b w:val="0"/>
                <w:sz w:val="18"/>
              </w:rPr>
              <w:t>Wood-based heating</w:t>
            </w:r>
          </w:p>
        </w:tc>
        <w:tc>
          <w:tcPr>
            <w:tcW w:w="1172" w:type="pct"/>
          </w:tcPr>
          <w:p w14:paraId="2F24C306" w14:textId="4E2C688C" w:rsidR="00877AD0" w:rsidRPr="0098795B" w:rsidRDefault="00877AD0" w:rsidP="0058060F">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50.6%</w:t>
            </w:r>
          </w:p>
        </w:tc>
        <w:tc>
          <w:tcPr>
            <w:tcW w:w="1094" w:type="pct"/>
          </w:tcPr>
          <w:p w14:paraId="305A8975" w14:textId="17B98090" w:rsidR="00877AD0" w:rsidRPr="0098795B" w:rsidRDefault="00877AD0" w:rsidP="0058060F">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rFonts w:ascii="Calibri" w:hAnsi="Calibri"/>
                <w:color w:val="000000"/>
                <w:sz w:val="18"/>
                <w:szCs w:val="18"/>
              </w:rPr>
              <w:t>50.6%</w:t>
            </w:r>
          </w:p>
        </w:tc>
        <w:tc>
          <w:tcPr>
            <w:tcW w:w="1406" w:type="pct"/>
          </w:tcPr>
          <w:p w14:paraId="1C5823E6" w14:textId="73D75853" w:rsidR="00877AD0" w:rsidRPr="0098795B" w:rsidRDefault="00877AD0" w:rsidP="0058060F">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33.5%</w:t>
            </w:r>
          </w:p>
        </w:tc>
      </w:tr>
      <w:tr w:rsidR="00877AD0" w:rsidRPr="0098795B" w14:paraId="74F692D3" w14:textId="77777777" w:rsidTr="00580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pct"/>
          </w:tcPr>
          <w:p w14:paraId="6E1861FF" w14:textId="77777777" w:rsidR="00877AD0" w:rsidRPr="00DF637C" w:rsidRDefault="00877AD0" w:rsidP="0058060F">
            <w:pPr>
              <w:pStyle w:val="Contenudetableau"/>
              <w:rPr>
                <w:rFonts w:ascii="Calibri" w:hAnsi="Calibri"/>
                <w:b w:val="0"/>
                <w:color w:val="000000"/>
                <w:sz w:val="18"/>
                <w:szCs w:val="18"/>
              </w:rPr>
            </w:pPr>
            <w:r w:rsidRPr="00DF637C">
              <w:rPr>
                <w:b w:val="0"/>
                <w:sz w:val="18"/>
              </w:rPr>
              <w:t>Electricity-based heating</w:t>
            </w:r>
          </w:p>
        </w:tc>
        <w:tc>
          <w:tcPr>
            <w:tcW w:w="1172" w:type="pct"/>
          </w:tcPr>
          <w:p w14:paraId="38745711" w14:textId="21F543E2" w:rsidR="00877AD0" w:rsidRPr="0098795B" w:rsidRDefault="00877AD0" w:rsidP="0058060F">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1094" w:type="pct"/>
          </w:tcPr>
          <w:p w14:paraId="623D0283" w14:textId="6349D174" w:rsidR="00877AD0" w:rsidRPr="0098795B" w:rsidRDefault="00877AD0" w:rsidP="0058060F">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p>
        </w:tc>
        <w:tc>
          <w:tcPr>
            <w:tcW w:w="1406" w:type="pct"/>
          </w:tcPr>
          <w:p w14:paraId="5996458A" w14:textId="14C4F724" w:rsidR="00877AD0" w:rsidRPr="0098795B" w:rsidRDefault="00877AD0" w:rsidP="0058060F">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p>
        </w:tc>
      </w:tr>
      <w:tr w:rsidR="00877AD0" w:rsidRPr="0098795B" w14:paraId="5308D3BC" w14:textId="77777777" w:rsidTr="0058060F">
        <w:tc>
          <w:tcPr>
            <w:cnfStyle w:val="001000000000" w:firstRow="0" w:lastRow="0" w:firstColumn="1" w:lastColumn="0" w:oddVBand="0" w:evenVBand="0" w:oddHBand="0" w:evenHBand="0" w:firstRowFirstColumn="0" w:firstRowLastColumn="0" w:lastRowFirstColumn="0" w:lastRowLastColumn="0"/>
            <w:tcW w:w="1328" w:type="pct"/>
          </w:tcPr>
          <w:p w14:paraId="38CDE14B" w14:textId="77777777" w:rsidR="0058060F" w:rsidRDefault="00877AD0" w:rsidP="0058060F">
            <w:pPr>
              <w:pStyle w:val="Contenudetableau"/>
              <w:rPr>
                <w:bCs w:val="0"/>
                <w:sz w:val="18"/>
              </w:rPr>
            </w:pPr>
            <w:r>
              <w:rPr>
                <w:b w:val="0"/>
                <w:sz w:val="18"/>
              </w:rPr>
              <w:t>Geothermal</w:t>
            </w:r>
          </w:p>
          <w:p w14:paraId="5DB858CE" w14:textId="761FB0C8" w:rsidR="00877AD0" w:rsidRPr="00DF637C" w:rsidRDefault="00877AD0" w:rsidP="0058060F">
            <w:pPr>
              <w:pStyle w:val="Contenudetableau"/>
              <w:rPr>
                <w:b w:val="0"/>
                <w:sz w:val="18"/>
              </w:rPr>
            </w:pPr>
            <w:r>
              <w:rPr>
                <w:b w:val="0"/>
                <w:sz w:val="18"/>
              </w:rPr>
              <w:t>(incl. ground heat pumps)</w:t>
            </w:r>
          </w:p>
        </w:tc>
        <w:tc>
          <w:tcPr>
            <w:tcW w:w="1172" w:type="pct"/>
          </w:tcPr>
          <w:p w14:paraId="0433AF7B" w14:textId="486AAB5F" w:rsidR="00877AD0" w:rsidRPr="0098795B" w:rsidRDefault="00877AD0" w:rsidP="0058060F">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44.5%</w:t>
            </w:r>
          </w:p>
        </w:tc>
        <w:tc>
          <w:tcPr>
            <w:tcW w:w="1094" w:type="pct"/>
          </w:tcPr>
          <w:p w14:paraId="4DDFB097" w14:textId="4285E2B0" w:rsidR="00877AD0" w:rsidRPr="0098795B" w:rsidRDefault="00877AD0" w:rsidP="0058060F">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rFonts w:ascii="Calibri" w:hAnsi="Calibri"/>
                <w:color w:val="000000"/>
                <w:sz w:val="18"/>
                <w:szCs w:val="18"/>
              </w:rPr>
              <w:t>44.5%</w:t>
            </w:r>
          </w:p>
        </w:tc>
        <w:tc>
          <w:tcPr>
            <w:tcW w:w="1406" w:type="pct"/>
          </w:tcPr>
          <w:p w14:paraId="19865F75" w14:textId="5AFFDEF4" w:rsidR="00877AD0" w:rsidRPr="0098795B" w:rsidRDefault="00877AD0" w:rsidP="0058060F">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7.0%</w:t>
            </w:r>
          </w:p>
        </w:tc>
      </w:tr>
      <w:tr w:rsidR="00877AD0" w:rsidRPr="0098795B" w14:paraId="3F7B0145" w14:textId="77777777" w:rsidTr="0058060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328" w:type="pct"/>
          </w:tcPr>
          <w:p w14:paraId="326BA4BC" w14:textId="77777777" w:rsidR="00877AD0" w:rsidRPr="00DF637C" w:rsidRDefault="00877AD0" w:rsidP="0058060F">
            <w:pPr>
              <w:pStyle w:val="Contenudetableau"/>
              <w:rPr>
                <w:rFonts w:ascii="Calibri" w:hAnsi="Calibri"/>
                <w:b w:val="0"/>
                <w:color w:val="000000"/>
                <w:sz w:val="18"/>
                <w:szCs w:val="18"/>
              </w:rPr>
            </w:pPr>
            <w:r w:rsidRPr="00DF637C">
              <w:rPr>
                <w:b w:val="0"/>
                <w:sz w:val="18"/>
              </w:rPr>
              <w:t>Thermal solar</w:t>
            </w:r>
          </w:p>
        </w:tc>
        <w:tc>
          <w:tcPr>
            <w:tcW w:w="1172" w:type="pct"/>
          </w:tcPr>
          <w:p w14:paraId="669B9257" w14:textId="0566CEF1" w:rsidR="00877AD0" w:rsidRPr="0098795B" w:rsidRDefault="00877AD0" w:rsidP="0058060F">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4.9%</w:t>
            </w:r>
          </w:p>
        </w:tc>
        <w:tc>
          <w:tcPr>
            <w:tcW w:w="1094" w:type="pct"/>
          </w:tcPr>
          <w:p w14:paraId="794A0FD5" w14:textId="255653A1" w:rsidR="00877AD0" w:rsidRPr="0098795B" w:rsidRDefault="00877AD0" w:rsidP="0058060F">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rFonts w:ascii="Calibri" w:hAnsi="Calibri"/>
                <w:color w:val="000000"/>
                <w:sz w:val="18"/>
                <w:szCs w:val="18"/>
              </w:rPr>
              <w:t>4.9%</w:t>
            </w:r>
          </w:p>
        </w:tc>
        <w:tc>
          <w:tcPr>
            <w:tcW w:w="1406" w:type="pct"/>
          </w:tcPr>
          <w:p w14:paraId="294E64BA" w14:textId="5939E86D" w:rsidR="00877AD0" w:rsidRPr="0098795B" w:rsidRDefault="00877AD0" w:rsidP="0058060F">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p>
        </w:tc>
      </w:tr>
      <w:tr w:rsidR="00877AD0" w:rsidRPr="00DF637C" w14:paraId="5A230D02" w14:textId="77777777" w:rsidTr="0058060F">
        <w:tc>
          <w:tcPr>
            <w:cnfStyle w:val="001000000000" w:firstRow="0" w:lastRow="0" w:firstColumn="1" w:lastColumn="0" w:oddVBand="0" w:evenVBand="0" w:oddHBand="0" w:evenHBand="0" w:firstRowFirstColumn="0" w:firstRowLastColumn="0" w:lastRowFirstColumn="0" w:lastRowLastColumn="0"/>
            <w:tcW w:w="1328" w:type="pct"/>
          </w:tcPr>
          <w:p w14:paraId="1D745EC2" w14:textId="77777777" w:rsidR="00877AD0" w:rsidRPr="00DF637C" w:rsidRDefault="00877AD0" w:rsidP="0058060F">
            <w:pPr>
              <w:pStyle w:val="Contenudetableau"/>
              <w:rPr>
                <w:b w:val="0"/>
                <w:i/>
                <w:sz w:val="18"/>
              </w:rPr>
            </w:pPr>
            <w:r w:rsidRPr="00DF637C">
              <w:rPr>
                <w:b w:val="0"/>
                <w:i/>
                <w:sz w:val="18"/>
              </w:rPr>
              <w:t>Comment</w:t>
            </w:r>
          </w:p>
        </w:tc>
        <w:tc>
          <w:tcPr>
            <w:tcW w:w="3672" w:type="pct"/>
            <w:gridSpan w:val="3"/>
          </w:tcPr>
          <w:p w14:paraId="1463F7B8" w14:textId="5BAEDECA" w:rsidR="00877AD0" w:rsidRPr="00DF637C" w:rsidRDefault="00877AD0" w:rsidP="0058060F">
            <w:pPr>
              <w:pStyle w:val="Contenudetableau"/>
              <w:cnfStyle w:val="000000000000" w:firstRow="0" w:lastRow="0" w:firstColumn="0" w:lastColumn="0" w:oddVBand="0" w:evenVBand="0" w:oddHBand="0" w:evenHBand="0" w:firstRowFirstColumn="0" w:firstRowLastColumn="0" w:lastRowFirstColumn="0" w:lastRowLastColumn="0"/>
              <w:rPr>
                <w:i/>
                <w:color w:val="000000"/>
                <w:sz w:val="18"/>
              </w:rPr>
            </w:pPr>
            <w:r w:rsidRPr="00DF637C">
              <w:rPr>
                <w:i/>
                <w:color w:val="000000"/>
                <w:sz w:val="18"/>
              </w:rPr>
              <w:t>Considering</w:t>
            </w:r>
            <w:r w:rsidR="00767A75">
              <w:rPr>
                <w:i/>
                <w:color w:val="000000"/>
                <w:sz w:val="18"/>
              </w:rPr>
              <w:t xml:space="preserve"> the</w:t>
            </w:r>
            <w:r w:rsidRPr="00DF637C">
              <w:rPr>
                <w:i/>
                <w:color w:val="000000"/>
                <w:sz w:val="18"/>
              </w:rPr>
              <w:t xml:space="preserve"> corresponding marginal power mix for each scenario as in </w:t>
            </w:r>
            <w:r w:rsidR="0058060F" w:rsidRPr="0058060F">
              <w:rPr>
                <w:b/>
                <w:i/>
                <w:color w:val="000000"/>
                <w:sz w:val="18"/>
                <w:szCs w:val="18"/>
                <w:highlight w:val="yellow"/>
              </w:rPr>
              <w:fldChar w:fldCharType="begin"/>
            </w:r>
            <w:r w:rsidR="0058060F" w:rsidRPr="0058060F">
              <w:rPr>
                <w:b/>
                <w:i/>
                <w:color w:val="000000"/>
                <w:sz w:val="18"/>
                <w:szCs w:val="18"/>
                <w:highlight w:val="yellow"/>
              </w:rPr>
              <w:instrText xml:space="preserve"> REF _Ref151650016 \h  \* MERGEFORMAT </w:instrText>
            </w:r>
            <w:r w:rsidR="0058060F" w:rsidRPr="0058060F">
              <w:rPr>
                <w:b/>
                <w:i/>
                <w:color w:val="000000"/>
                <w:sz w:val="18"/>
                <w:szCs w:val="18"/>
                <w:highlight w:val="yellow"/>
              </w:rPr>
            </w:r>
            <w:r w:rsidR="0058060F" w:rsidRPr="0058060F">
              <w:rPr>
                <w:b/>
                <w:i/>
                <w:color w:val="000000"/>
                <w:sz w:val="18"/>
                <w:szCs w:val="18"/>
                <w:highlight w:val="yellow"/>
              </w:rPr>
              <w:fldChar w:fldCharType="separate"/>
            </w:r>
            <w:r w:rsidR="0058060F" w:rsidRPr="0058060F">
              <w:rPr>
                <w:b/>
                <w:i/>
                <w:sz w:val="18"/>
                <w:szCs w:val="18"/>
              </w:rPr>
              <w:t>Table SI</w:t>
            </w:r>
            <w:r w:rsidR="0058060F" w:rsidRPr="0058060F">
              <w:rPr>
                <w:b/>
                <w:i/>
                <w:noProof/>
                <w:sz w:val="18"/>
                <w:szCs w:val="18"/>
              </w:rPr>
              <w:t>2</w:t>
            </w:r>
            <w:r w:rsidR="0058060F" w:rsidRPr="0058060F">
              <w:rPr>
                <w:b/>
                <w:i/>
                <w:color w:val="000000"/>
                <w:sz w:val="18"/>
                <w:szCs w:val="18"/>
                <w:highlight w:val="yellow"/>
              </w:rPr>
              <w:fldChar w:fldCharType="end"/>
            </w:r>
            <w:r w:rsidR="0058060F" w:rsidRPr="00DF637C">
              <w:rPr>
                <w:i/>
                <w:color w:val="000000"/>
                <w:sz w:val="18"/>
              </w:rPr>
              <w:t>.</w:t>
            </w:r>
          </w:p>
        </w:tc>
      </w:tr>
    </w:tbl>
    <w:p w14:paraId="5AFC5EE8" w14:textId="1D799A5E" w:rsidR="009955BF" w:rsidRDefault="00DF637C" w:rsidP="0058060F">
      <w:pPr>
        <w:rPr>
          <w:sz w:val="18"/>
        </w:rPr>
      </w:pPr>
      <w:r w:rsidRPr="00793512">
        <w:rPr>
          <w:sz w:val="18"/>
          <w:vertAlign w:val="superscript"/>
        </w:rPr>
        <w:t>*</w:t>
      </w:r>
      <w:r w:rsidRPr="00793512">
        <w:rPr>
          <w:sz w:val="18"/>
        </w:rPr>
        <w:t>: According to EUREF2020 scenario</w:t>
      </w:r>
      <w:r w:rsidRPr="00793512">
        <w:rPr>
          <w:sz w:val="18"/>
        </w:rPr>
        <w:fldChar w:fldCharType="begin"/>
      </w:r>
      <w:r w:rsidR="00C61A9E">
        <w:rPr>
          <w:sz w:val="18"/>
        </w:rPr>
        <w:instrText xml:space="preserve"> ADDIN ZOTERO_ITEM CSL_CITATION {"citationID":"SJfc7BwS","properties":{"formattedCitation":"\\super 5\\nosupersub{}","plainCitation":"5","noteIndex":0},"citationItems":[{"id":13241,"uris":["http://zotero.org/users/6423791/items/4I7TA53T"],"itemData":{"id":13241,"type":"book","event-place":"LU","ISBN":"978-92-76-39356-6","language":"en","number-of-pages":"184","publisher":"Publications Office of the European Union","publisher-place":"LU","source":"DOI.org (CSL JSON)","title":"EU reference scenario 2020: energy, transport and GHG emissions : trends to 2050.","title-short":"EU reference scenario 2020","URL":"https://data.europa.eu/doi/10.2833/35750","author":[{"literal":"European Commission"}],"accessed":{"date-parts":[["2022",5,1]]},"issued":{"date-parts":[["2021"]]}}}],"schema":"https://github.com/citation-style-language/schema/raw/master/csl-citation.json"} </w:instrText>
      </w:r>
      <w:r w:rsidRPr="00793512">
        <w:rPr>
          <w:sz w:val="18"/>
        </w:rPr>
        <w:fldChar w:fldCharType="separate"/>
      </w:r>
      <w:r w:rsidR="00C61A9E" w:rsidRPr="00C61A9E">
        <w:rPr>
          <w:rFonts w:ascii="Calibri" w:hAnsi="Calibri" w:cs="Calibri"/>
          <w:sz w:val="18"/>
          <w:szCs w:val="24"/>
          <w:vertAlign w:val="superscript"/>
        </w:rPr>
        <w:t>5</w:t>
      </w:r>
      <w:r w:rsidRPr="00793512">
        <w:rPr>
          <w:sz w:val="18"/>
        </w:rPr>
        <w:fldChar w:fldCharType="end"/>
      </w:r>
      <w:r w:rsidRPr="00793512">
        <w:rPr>
          <w:sz w:val="18"/>
        </w:rPr>
        <w:t>.</w:t>
      </w:r>
      <w:r w:rsidR="00877AD0">
        <w:rPr>
          <w:sz w:val="18"/>
        </w:rPr>
        <w:t xml:space="preserve"> </w:t>
      </w:r>
      <w:r w:rsidR="00877AD0" w:rsidRPr="0098795B">
        <w:rPr>
          <w:sz w:val="18"/>
          <w:vertAlign w:val="superscript"/>
        </w:rPr>
        <w:t>**</w:t>
      </w:r>
      <w:r w:rsidR="00877AD0">
        <w:rPr>
          <w:sz w:val="18"/>
        </w:rPr>
        <w:t>: modeled as natural gas following ongoing EU policies</w:t>
      </w:r>
      <w:r w:rsidR="0058060F">
        <w:rPr>
          <w:sz w:val="18"/>
        </w:rPr>
        <w:t xml:space="preserve"> phasing out solid and liquid fossil fuels.</w:t>
      </w:r>
    </w:p>
    <w:p w14:paraId="1309739F" w14:textId="77777777" w:rsidR="009955BF" w:rsidRPr="00896D2D" w:rsidRDefault="009955BF" w:rsidP="009955BF">
      <w:pPr>
        <w:jc w:val="both"/>
      </w:pPr>
      <w:r>
        <w:t>Under the “towards renewable energies” scenario, o</w:t>
      </w:r>
      <w:r w:rsidRPr="00896D2D">
        <w:t xml:space="preserve">n an energy basis, </w:t>
      </w:r>
      <w:r>
        <w:t xml:space="preserve">the </w:t>
      </w:r>
      <w:r w:rsidRPr="00896D2D">
        <w:t>marginal</w:t>
      </w:r>
      <w:r>
        <w:t xml:space="preserve"> production of</w:t>
      </w:r>
      <w:r w:rsidRPr="00896D2D">
        <w:t xml:space="preserve"> HT heat generates </w:t>
      </w:r>
      <w:r>
        <w:t>three times as much greenhouse gases (GHG) emissions as both marginal power and LT heat productions. It directly related to the</w:t>
      </w:r>
      <w:r w:rsidRPr="00896D2D">
        <w:t xml:space="preserve"> fossil emissions linked to natural gas combustion</w:t>
      </w:r>
      <w:r>
        <w:t>,</w:t>
      </w:r>
      <w:r w:rsidRPr="00896D2D">
        <w:t xml:space="preserve"> and </w:t>
      </w:r>
      <w:r>
        <w:t xml:space="preserve">to the </w:t>
      </w:r>
      <w:r w:rsidRPr="00896D2D">
        <w:t>land use</w:t>
      </w:r>
      <w:r>
        <w:t xml:space="preserve"> change</w:t>
      </w:r>
      <w:r w:rsidRPr="00896D2D">
        <w:t xml:space="preserve"> required to grow wood.</w:t>
      </w:r>
      <w:r>
        <w:t xml:space="preserve"> Wood requirements also explain why the mix of HT heat marginal suppliers generate more land use impacts than the ones generated by power (+30%) and LT heat (+240%) suppliers, despite the latter present non-neglectable land use impacts due to the area </w:t>
      </w:r>
      <w:r>
        <w:lastRenderedPageBreak/>
        <w:t>required to install solar panels. In this scenario, p</w:t>
      </w:r>
      <w:r w:rsidRPr="00896D2D">
        <w:t xml:space="preserve">er energy equivalent, LT heat </w:t>
      </w:r>
      <w:r>
        <w:t>suppliers</w:t>
      </w:r>
      <w:r w:rsidRPr="00896D2D">
        <w:t xml:space="preserve"> are slightly less impactful</w:t>
      </w:r>
      <w:r>
        <w:t xml:space="preserve"> (all impacts)</w:t>
      </w:r>
      <w:r w:rsidRPr="00896D2D">
        <w:t xml:space="preserve"> than </w:t>
      </w:r>
      <w:r>
        <w:t xml:space="preserve">power </w:t>
      </w:r>
      <w:r w:rsidRPr="00896D2D">
        <w:t>s</w:t>
      </w:r>
      <w:r>
        <w:t>uppliers</w:t>
      </w:r>
      <w:r w:rsidRPr="00896D2D">
        <w:t xml:space="preserve"> </w:t>
      </w:r>
      <w:r>
        <w:t>because of the efficiency of</w:t>
      </w:r>
      <w:r w:rsidRPr="00896D2D">
        <w:t xml:space="preserve"> heat pump technologies (</w:t>
      </w:r>
      <w:r>
        <w:t xml:space="preserve">coefficient of performances; </w:t>
      </w:r>
      <w:r w:rsidRPr="00896D2D">
        <w:t>COP</w:t>
      </w:r>
      <w:r>
        <w:t xml:space="preserve">; </w:t>
      </w:r>
      <w:r w:rsidRPr="00896D2D">
        <w:t>&gt;1).</w:t>
      </w:r>
      <w:r>
        <w:t xml:space="preserve"> </w:t>
      </w:r>
      <w:r w:rsidRPr="00896D2D">
        <w:t xml:space="preserve">Notably, as </w:t>
      </w:r>
      <w:r>
        <w:t>estimated here</w:t>
      </w:r>
      <w:r w:rsidRPr="00896D2D">
        <w:t xml:space="preserve">, </w:t>
      </w:r>
      <w:r>
        <w:t xml:space="preserve">the </w:t>
      </w:r>
      <w:r w:rsidRPr="00896D2D">
        <w:t xml:space="preserve">marginal HT heat </w:t>
      </w:r>
      <w:r>
        <w:t>suppliers would</w:t>
      </w:r>
      <w:r w:rsidRPr="00896D2D">
        <w:t xml:space="preserve"> provide net water use benefit (negative </w:t>
      </w:r>
      <w:r>
        <w:t xml:space="preserve">LCA score in </w:t>
      </w:r>
      <w:r w:rsidRPr="00DA3F8C">
        <w:rPr>
          <w:b/>
        </w:rPr>
        <w:fldChar w:fldCharType="begin"/>
      </w:r>
      <w:r w:rsidRPr="00DA3F8C">
        <w:rPr>
          <w:b/>
        </w:rPr>
        <w:instrText xml:space="preserve"> REF _Ref155365462 \h </w:instrText>
      </w:r>
      <w:r>
        <w:rPr>
          <w:b/>
        </w:rPr>
        <w:instrText xml:space="preserve"> \* MERGEFORMAT </w:instrText>
      </w:r>
      <w:r w:rsidRPr="00DA3F8C">
        <w:rPr>
          <w:b/>
        </w:rPr>
      </w:r>
      <w:r w:rsidRPr="00DA3F8C">
        <w:rPr>
          <w:b/>
        </w:rPr>
        <w:fldChar w:fldCharType="separate"/>
      </w:r>
      <w:r w:rsidRPr="00DA3F8C">
        <w:rPr>
          <w:b/>
        </w:rPr>
        <w:t>Table SI</w:t>
      </w:r>
      <w:r w:rsidRPr="00DA3F8C">
        <w:rPr>
          <w:b/>
          <w:noProof/>
        </w:rPr>
        <w:t>5</w:t>
      </w:r>
      <w:r w:rsidRPr="00DA3F8C">
        <w:rPr>
          <w:b/>
        </w:rPr>
        <w:fldChar w:fldCharType="end"/>
      </w:r>
      <w:r w:rsidRPr="00896D2D">
        <w:t xml:space="preserve">). This </w:t>
      </w:r>
      <w:r>
        <w:t>result stems from</w:t>
      </w:r>
      <w:r w:rsidRPr="00896D2D">
        <w:t xml:space="preserve"> complex feedback loops within </w:t>
      </w:r>
      <w:proofErr w:type="spellStart"/>
      <w:r>
        <w:t>ecoinvent</w:t>
      </w:r>
      <w:proofErr w:type="spellEnd"/>
      <w:r>
        <w:t xml:space="preserve"> system models in-between the activities</w:t>
      </w:r>
      <w:r w:rsidRPr="00896D2D">
        <w:t xml:space="preserve"> </w:t>
      </w:r>
      <w:r>
        <w:t>linked to</w:t>
      </w:r>
      <w:r w:rsidRPr="00896D2D">
        <w:t xml:space="preserve"> “</w:t>
      </w:r>
      <w:r>
        <w:t>m</w:t>
      </w:r>
      <w:r w:rsidRPr="00896D2D">
        <w:t>arket for wood chips, RER”. In a nutshell, al</w:t>
      </w:r>
      <w:r>
        <w:t>though</w:t>
      </w:r>
      <w:r w:rsidRPr="00896D2D">
        <w:t xml:space="preserve"> wood-based </w:t>
      </w:r>
      <w:r>
        <w:t>combined heat and power (</w:t>
      </w:r>
      <w:r w:rsidRPr="00896D2D">
        <w:t>CHP</w:t>
      </w:r>
      <w:r>
        <w:t>)</w:t>
      </w:r>
      <w:r w:rsidRPr="00896D2D">
        <w:t xml:space="preserve"> systems were removed from the </w:t>
      </w:r>
      <w:r>
        <w:t xml:space="preserve">inventory of </w:t>
      </w:r>
      <w:r w:rsidRPr="00896D2D">
        <w:t xml:space="preserve">selected wood-based heat production </w:t>
      </w:r>
      <w:r>
        <w:t>activities to achieve the best proxy</w:t>
      </w:r>
      <w:r w:rsidRPr="00896D2D">
        <w:t xml:space="preserve">, </w:t>
      </w:r>
      <w:r>
        <w:t xml:space="preserve">these were nevertheless found to indirectly influence the LCA scores of these activities due to intricated electricity and heat markets in the consequential </w:t>
      </w:r>
      <w:proofErr w:type="spellStart"/>
      <w:r>
        <w:t>ecoinvent</w:t>
      </w:r>
      <w:proofErr w:type="spellEnd"/>
      <w:r>
        <w:t xml:space="preserve"> system model. </w:t>
      </w:r>
      <w:r w:rsidRPr="00896D2D">
        <w:t xml:space="preserve">In turn, </w:t>
      </w:r>
      <w:r>
        <w:t>when called in the background inventory, wood-based CHP power substitutes</w:t>
      </w:r>
      <w:r w:rsidRPr="00896D2D">
        <w:t xml:space="preserve"> the marginal </w:t>
      </w:r>
      <w:r>
        <w:t>power</w:t>
      </w:r>
      <w:r w:rsidRPr="00896D2D">
        <w:t xml:space="preserve"> mix of Switzerland (as “CH” was selected for lack of French data) which host a high share of hydro power from Alpine regions. Therefore, according to </w:t>
      </w:r>
      <w:r>
        <w:t xml:space="preserve">the </w:t>
      </w:r>
      <w:proofErr w:type="spellStart"/>
      <w:r>
        <w:t>ecoinvent</w:t>
      </w:r>
      <w:proofErr w:type="spellEnd"/>
      <w:r>
        <w:t xml:space="preserve"> consequential</w:t>
      </w:r>
      <w:r w:rsidRPr="00896D2D">
        <w:t xml:space="preserve"> </w:t>
      </w:r>
      <w:r>
        <w:t>system model</w:t>
      </w:r>
      <w:r w:rsidRPr="00896D2D">
        <w:t>, producing wood-based heat in Switzerland avoids the expansion of hydropower and lead to net water use impacts savings.</w:t>
      </w:r>
    </w:p>
    <w:p w14:paraId="5034571D" w14:textId="63BC541B" w:rsidR="007F4C02" w:rsidRPr="00793512" w:rsidRDefault="00225F94" w:rsidP="0058060F">
      <w:pPr>
        <w:pStyle w:val="Lgende"/>
        <w:jc w:val="left"/>
      </w:pPr>
      <w:bookmarkStart w:id="10" w:name="_Ref155365462"/>
      <w:bookmarkStart w:id="11" w:name="_Toc155516841"/>
      <w:r>
        <w:t>Table SI</w:t>
      </w:r>
      <w:r>
        <w:fldChar w:fldCharType="begin"/>
      </w:r>
      <w:r>
        <w:instrText xml:space="preserve"> SEQ Table \* ARABIC </w:instrText>
      </w:r>
      <w:r>
        <w:fldChar w:fldCharType="separate"/>
      </w:r>
      <w:r w:rsidR="00C65861">
        <w:rPr>
          <w:noProof/>
        </w:rPr>
        <w:t>5</w:t>
      </w:r>
      <w:r>
        <w:fldChar w:fldCharType="end"/>
      </w:r>
      <w:bookmarkEnd w:id="10"/>
      <w:r>
        <w:t xml:space="preserve"> </w:t>
      </w:r>
      <w:r w:rsidR="007F4C02" w:rsidRPr="00793512">
        <w:t xml:space="preserve">– </w:t>
      </w:r>
      <w:r w:rsidR="00767A75">
        <w:t>LCA scores</w:t>
      </w:r>
      <w:r w:rsidR="007F4C02" w:rsidRPr="00793512">
        <w:t xml:space="preserve"> of marginal </w:t>
      </w:r>
      <w:r w:rsidR="007F4C02">
        <w:t>HT heat</w:t>
      </w:r>
      <w:r w:rsidR="007F4C02" w:rsidRPr="00793512">
        <w:t xml:space="preserve"> mixes in t</w:t>
      </w:r>
      <w:r w:rsidR="00767A75">
        <w:t>hree future</w:t>
      </w:r>
      <w:r w:rsidR="007F4C02" w:rsidRPr="00793512">
        <w:t xml:space="preserve"> energy scenarios</w:t>
      </w:r>
      <w:bookmarkEnd w:id="11"/>
    </w:p>
    <w:tbl>
      <w:tblPr>
        <w:tblStyle w:val="Tableausimple2"/>
        <w:tblW w:w="0" w:type="auto"/>
        <w:jc w:val="center"/>
        <w:tblLook w:val="04A0" w:firstRow="1" w:lastRow="0" w:firstColumn="1" w:lastColumn="0" w:noHBand="0" w:noVBand="1"/>
      </w:tblPr>
      <w:tblGrid>
        <w:gridCol w:w="2399"/>
        <w:gridCol w:w="1977"/>
        <w:gridCol w:w="2003"/>
        <w:gridCol w:w="2693"/>
      </w:tblGrid>
      <w:tr w:rsidR="007F4C02" w:rsidRPr="00AE3D44" w14:paraId="4F4AD5D1" w14:textId="77777777" w:rsidTr="0058060F">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6F5EA4B8" w14:textId="77777777" w:rsidR="007F4C02" w:rsidRPr="0098795B" w:rsidRDefault="007F4C02" w:rsidP="0058060F">
            <w:pPr>
              <w:pStyle w:val="Contenudetableau"/>
              <w:rPr>
                <w:rFonts w:ascii="Calibri" w:hAnsi="Calibri"/>
                <w:bCs w:val="0"/>
                <w:color w:val="000000"/>
                <w:sz w:val="18"/>
                <w:szCs w:val="18"/>
              </w:rPr>
            </w:pPr>
            <w:r w:rsidRPr="0098795B">
              <w:rPr>
                <w:bCs w:val="0"/>
                <w:color w:val="000000"/>
                <w:sz w:val="18"/>
                <w:szCs w:val="18"/>
              </w:rPr>
              <w:t>Technology group (% in mix)</w:t>
            </w:r>
          </w:p>
        </w:tc>
        <w:tc>
          <w:tcPr>
            <w:tcW w:w="1977" w:type="dxa"/>
          </w:tcPr>
          <w:p w14:paraId="1CE228B2" w14:textId="77777777" w:rsidR="007F4C02" w:rsidRPr="0098795B" w:rsidRDefault="007F4C02" w:rsidP="0058060F">
            <w:pPr>
              <w:pStyle w:val="Contenudetableau"/>
              <w:cnfStyle w:val="100000000000" w:firstRow="1" w:lastRow="0" w:firstColumn="0" w:lastColumn="0" w:oddVBand="0" w:evenVBand="0" w:oddHBand="0" w:evenHBand="0" w:firstRowFirstColumn="0" w:firstRowLastColumn="0" w:lastRowFirstColumn="0" w:lastRowLastColumn="0"/>
              <w:rPr>
                <w:rFonts w:ascii="Calibri" w:hAnsi="Calibri"/>
                <w:bCs w:val="0"/>
                <w:color w:val="000000"/>
                <w:sz w:val="18"/>
                <w:szCs w:val="18"/>
              </w:rPr>
            </w:pPr>
            <w:r w:rsidRPr="0098795B">
              <w:rPr>
                <w:color w:val="000000"/>
                <w:sz w:val="18"/>
                <w:szCs w:val="18"/>
              </w:rPr>
              <w:t>Toward renewable energies</w:t>
            </w:r>
          </w:p>
        </w:tc>
        <w:tc>
          <w:tcPr>
            <w:tcW w:w="2003" w:type="dxa"/>
          </w:tcPr>
          <w:p w14:paraId="2B400643" w14:textId="77777777" w:rsidR="007F4C02" w:rsidRPr="0098795B" w:rsidRDefault="007F4C02" w:rsidP="0058060F">
            <w:pPr>
              <w:pStyle w:val="Contenudetableau"/>
              <w:cnfStyle w:val="100000000000" w:firstRow="1" w:lastRow="0" w:firstColumn="0" w:lastColumn="0" w:oddVBand="0" w:evenVBand="0" w:oddHBand="0" w:evenHBand="0" w:firstRowFirstColumn="0" w:firstRowLastColumn="0" w:lastRowFirstColumn="0" w:lastRowLastColumn="0"/>
              <w:rPr>
                <w:bCs w:val="0"/>
                <w:color w:val="000000"/>
                <w:sz w:val="18"/>
                <w:szCs w:val="18"/>
              </w:rPr>
            </w:pPr>
            <w:r w:rsidRPr="0098795B">
              <w:rPr>
                <w:color w:val="000000"/>
                <w:sz w:val="18"/>
                <w:szCs w:val="18"/>
              </w:rPr>
              <w:t>Towards high electrification</w:t>
            </w:r>
          </w:p>
        </w:tc>
        <w:tc>
          <w:tcPr>
            <w:tcW w:w="2693" w:type="dxa"/>
          </w:tcPr>
          <w:p w14:paraId="523D0AC3" w14:textId="77777777" w:rsidR="007F4C02" w:rsidRPr="007F4C02" w:rsidRDefault="007F4C02" w:rsidP="0058060F">
            <w:pPr>
              <w:pStyle w:val="Contenudetableau"/>
              <w:cnfStyle w:val="100000000000" w:firstRow="1" w:lastRow="0" w:firstColumn="0" w:lastColumn="0" w:oddVBand="0" w:evenVBand="0" w:oddHBand="0" w:evenHBand="0" w:firstRowFirstColumn="0" w:firstRowLastColumn="0" w:lastRowFirstColumn="0" w:lastRowLastColumn="0"/>
              <w:rPr>
                <w:b w:val="0"/>
                <w:bCs w:val="0"/>
                <w:color w:val="000000"/>
                <w:sz w:val="18"/>
                <w:szCs w:val="18"/>
                <w:vertAlign w:val="superscript"/>
                <w:lang w:val="fr-FR"/>
              </w:rPr>
            </w:pPr>
            <w:r w:rsidRPr="007F4C02">
              <w:rPr>
                <w:color w:val="000000"/>
                <w:sz w:val="18"/>
                <w:szCs w:val="18"/>
                <w:lang w:val="fr-FR"/>
              </w:rPr>
              <w:t>Average EU situation, 2030</w:t>
            </w:r>
            <w:r w:rsidRPr="007F4C02">
              <w:rPr>
                <w:color w:val="000000"/>
                <w:sz w:val="18"/>
                <w:szCs w:val="18"/>
                <w:vertAlign w:val="superscript"/>
                <w:lang w:val="fr-FR"/>
              </w:rPr>
              <w:t>*</w:t>
            </w:r>
          </w:p>
          <w:p w14:paraId="0AD2AD31" w14:textId="77777777" w:rsidR="007F4C02" w:rsidRPr="007F4C02" w:rsidRDefault="007F4C02" w:rsidP="0058060F">
            <w:pPr>
              <w:pStyle w:val="Contenudetableau"/>
              <w:cnfStyle w:val="100000000000" w:firstRow="1" w:lastRow="0" w:firstColumn="0" w:lastColumn="0" w:oddVBand="0" w:evenVBand="0" w:oddHBand="0" w:evenHBand="0" w:firstRowFirstColumn="0" w:firstRowLastColumn="0" w:lastRowFirstColumn="0" w:lastRowLastColumn="0"/>
              <w:rPr>
                <w:bCs w:val="0"/>
                <w:color w:val="000000"/>
                <w:sz w:val="18"/>
                <w:szCs w:val="18"/>
                <w:lang w:val="fr-FR"/>
              </w:rPr>
            </w:pPr>
            <w:r w:rsidRPr="007F4C02">
              <w:rPr>
                <w:color w:val="000000"/>
                <w:sz w:val="18"/>
                <w:szCs w:val="18"/>
                <w:lang w:val="fr-FR"/>
              </w:rPr>
              <w:t>(</w:t>
            </w:r>
            <w:r w:rsidRPr="007F4C02">
              <w:rPr>
                <w:i/>
                <w:color w:val="000000"/>
                <w:sz w:val="18"/>
                <w:szCs w:val="18"/>
                <w:lang w:val="fr-FR"/>
              </w:rPr>
              <w:t xml:space="preserve">Illustrative </w:t>
            </w:r>
            <w:proofErr w:type="spellStart"/>
            <w:r w:rsidRPr="007F4C02">
              <w:rPr>
                <w:i/>
                <w:color w:val="000000"/>
                <w:sz w:val="18"/>
                <w:szCs w:val="18"/>
                <w:lang w:val="fr-FR"/>
              </w:rPr>
              <w:t>purposes</w:t>
            </w:r>
            <w:proofErr w:type="spellEnd"/>
            <w:r w:rsidRPr="007F4C02">
              <w:rPr>
                <w:color w:val="000000"/>
                <w:sz w:val="18"/>
                <w:szCs w:val="18"/>
                <w:lang w:val="fr-FR"/>
              </w:rPr>
              <w:t>)</w:t>
            </w:r>
          </w:p>
        </w:tc>
      </w:tr>
      <w:tr w:rsidR="007F4C02" w:rsidRPr="0098795B" w14:paraId="3190F6EE" w14:textId="77777777" w:rsidTr="005806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14218F43" w14:textId="77777777" w:rsidR="007F4C02" w:rsidRPr="00DF637C" w:rsidRDefault="007F4C02" w:rsidP="0058060F">
            <w:pPr>
              <w:pStyle w:val="Contenudetableau"/>
              <w:rPr>
                <w:rFonts w:ascii="Calibri" w:hAnsi="Calibri"/>
                <w:b w:val="0"/>
                <w:color w:val="000000"/>
                <w:sz w:val="18"/>
                <w:szCs w:val="18"/>
              </w:rPr>
            </w:pPr>
            <w:r w:rsidRPr="00DF637C">
              <w:rPr>
                <w:b w:val="0"/>
                <w:sz w:val="18"/>
              </w:rPr>
              <w:t>Gas grid</w:t>
            </w:r>
          </w:p>
        </w:tc>
        <w:tc>
          <w:tcPr>
            <w:tcW w:w="1977" w:type="dxa"/>
          </w:tcPr>
          <w:p w14:paraId="6681C246" w14:textId="09AB3D58" w:rsidR="007F4C02" w:rsidRPr="0098795B" w:rsidRDefault="00896D2D" w:rsidP="0058060F">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50%</w:t>
            </w:r>
          </w:p>
        </w:tc>
        <w:tc>
          <w:tcPr>
            <w:tcW w:w="2003" w:type="dxa"/>
          </w:tcPr>
          <w:p w14:paraId="1B06D578" w14:textId="77777777" w:rsidR="007F4C02" w:rsidRPr="0098795B" w:rsidRDefault="007F4C02" w:rsidP="0058060F">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p>
        </w:tc>
        <w:tc>
          <w:tcPr>
            <w:tcW w:w="2693" w:type="dxa"/>
          </w:tcPr>
          <w:p w14:paraId="70380E7E" w14:textId="1AAD4AF0" w:rsidR="007F4C02" w:rsidRPr="0098795B" w:rsidRDefault="00896D2D" w:rsidP="0058060F">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100%</w:t>
            </w:r>
          </w:p>
        </w:tc>
      </w:tr>
      <w:tr w:rsidR="007F4C02" w:rsidRPr="0098795B" w14:paraId="4793D644" w14:textId="77777777" w:rsidTr="0058060F">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24162C28" w14:textId="77777777" w:rsidR="007F4C02" w:rsidRPr="00DF637C" w:rsidRDefault="007F4C02" w:rsidP="0058060F">
            <w:pPr>
              <w:pStyle w:val="Contenudetableau"/>
              <w:rPr>
                <w:rFonts w:ascii="Calibri" w:hAnsi="Calibri"/>
                <w:b w:val="0"/>
                <w:color w:val="000000"/>
                <w:sz w:val="18"/>
                <w:szCs w:val="18"/>
              </w:rPr>
            </w:pPr>
            <w:r w:rsidRPr="00DF637C">
              <w:rPr>
                <w:b w:val="0"/>
                <w:sz w:val="18"/>
              </w:rPr>
              <w:t>Wood-based heating</w:t>
            </w:r>
          </w:p>
        </w:tc>
        <w:tc>
          <w:tcPr>
            <w:tcW w:w="1977" w:type="dxa"/>
          </w:tcPr>
          <w:p w14:paraId="01A8BD39" w14:textId="1E3B23F2" w:rsidR="007F4C02" w:rsidRPr="0098795B" w:rsidRDefault="00896D2D" w:rsidP="0058060F">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50%</w:t>
            </w:r>
          </w:p>
        </w:tc>
        <w:tc>
          <w:tcPr>
            <w:tcW w:w="2003" w:type="dxa"/>
          </w:tcPr>
          <w:p w14:paraId="416FDA25" w14:textId="77777777" w:rsidR="007F4C02" w:rsidRPr="0098795B" w:rsidRDefault="007F4C02" w:rsidP="0058060F">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p>
        </w:tc>
        <w:tc>
          <w:tcPr>
            <w:tcW w:w="2693" w:type="dxa"/>
          </w:tcPr>
          <w:p w14:paraId="7B109E3F" w14:textId="4C3840DC" w:rsidR="007F4C02" w:rsidRPr="0098795B" w:rsidRDefault="007F4C02" w:rsidP="0058060F">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p>
        </w:tc>
      </w:tr>
      <w:tr w:rsidR="007F4C02" w:rsidRPr="0098795B" w14:paraId="1F6C1954" w14:textId="77777777" w:rsidTr="005806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0D8FC074" w14:textId="6F4DAA72" w:rsidR="007F4C02" w:rsidRPr="00DF637C" w:rsidRDefault="007F4C02" w:rsidP="0058060F">
            <w:pPr>
              <w:pStyle w:val="Contenudetableau"/>
              <w:rPr>
                <w:rFonts w:ascii="Calibri" w:hAnsi="Calibri"/>
                <w:b w:val="0"/>
                <w:color w:val="000000"/>
                <w:sz w:val="18"/>
                <w:szCs w:val="18"/>
              </w:rPr>
            </w:pPr>
            <w:r>
              <w:rPr>
                <w:b w:val="0"/>
                <w:sz w:val="18"/>
              </w:rPr>
              <w:t>Power-to-heat</w:t>
            </w:r>
            <w:r w:rsidRPr="007F4C02">
              <w:rPr>
                <w:b w:val="0"/>
                <w:sz w:val="18"/>
                <w:vertAlign w:val="superscript"/>
              </w:rPr>
              <w:t>**</w:t>
            </w:r>
          </w:p>
        </w:tc>
        <w:tc>
          <w:tcPr>
            <w:tcW w:w="1977" w:type="dxa"/>
          </w:tcPr>
          <w:p w14:paraId="5ED6DC22" w14:textId="1F05F72E" w:rsidR="007F4C02" w:rsidRPr="0098795B" w:rsidRDefault="007F4C02" w:rsidP="0058060F">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003" w:type="dxa"/>
          </w:tcPr>
          <w:p w14:paraId="73C7F4D1" w14:textId="66B93E2B" w:rsidR="007F4C02" w:rsidRPr="0098795B" w:rsidRDefault="00896D2D" w:rsidP="0058060F">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50%</w:t>
            </w:r>
          </w:p>
        </w:tc>
        <w:tc>
          <w:tcPr>
            <w:tcW w:w="2693" w:type="dxa"/>
          </w:tcPr>
          <w:p w14:paraId="5907E86A" w14:textId="251D0759" w:rsidR="007F4C02" w:rsidRPr="0098795B" w:rsidRDefault="007F4C02" w:rsidP="0058060F">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p>
        </w:tc>
      </w:tr>
      <w:tr w:rsidR="007F4C02" w:rsidRPr="0098795B" w14:paraId="04E48535" w14:textId="77777777" w:rsidTr="0058060F">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111477CC" w14:textId="7BACC5BA" w:rsidR="007F4C02" w:rsidRPr="00DF637C" w:rsidRDefault="007F4C02" w:rsidP="0058060F">
            <w:pPr>
              <w:pStyle w:val="Contenudetableau"/>
              <w:rPr>
                <w:rFonts w:ascii="Calibri" w:hAnsi="Calibri"/>
                <w:b w:val="0"/>
                <w:color w:val="000000"/>
                <w:sz w:val="18"/>
                <w:szCs w:val="18"/>
              </w:rPr>
            </w:pPr>
            <w:r>
              <w:rPr>
                <w:b w:val="0"/>
                <w:sz w:val="18"/>
              </w:rPr>
              <w:t>Solar-to-heat</w:t>
            </w:r>
            <w:r w:rsidRPr="007F4C02">
              <w:rPr>
                <w:b w:val="0"/>
                <w:sz w:val="18"/>
                <w:vertAlign w:val="superscript"/>
              </w:rPr>
              <w:t>**</w:t>
            </w:r>
          </w:p>
        </w:tc>
        <w:tc>
          <w:tcPr>
            <w:tcW w:w="1977" w:type="dxa"/>
          </w:tcPr>
          <w:p w14:paraId="59447D23" w14:textId="58544689" w:rsidR="007F4C02" w:rsidRPr="0098795B" w:rsidRDefault="007F4C02" w:rsidP="0058060F">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p>
        </w:tc>
        <w:tc>
          <w:tcPr>
            <w:tcW w:w="2003" w:type="dxa"/>
          </w:tcPr>
          <w:p w14:paraId="3381921D" w14:textId="57255F4F" w:rsidR="007F4C02" w:rsidRPr="0098795B" w:rsidRDefault="00896D2D" w:rsidP="0058060F">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50%</w:t>
            </w:r>
          </w:p>
        </w:tc>
        <w:tc>
          <w:tcPr>
            <w:tcW w:w="2693" w:type="dxa"/>
          </w:tcPr>
          <w:p w14:paraId="0CCF39AE" w14:textId="42E86039" w:rsidR="007F4C02" w:rsidRPr="0098795B" w:rsidRDefault="007F4C02" w:rsidP="0058060F">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p>
        </w:tc>
      </w:tr>
      <w:tr w:rsidR="007F4C02" w:rsidRPr="0098795B" w14:paraId="305F0E70" w14:textId="77777777" w:rsidTr="005806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5C5D700C" w14:textId="77777777" w:rsidR="007F4C02" w:rsidRPr="00DF637C" w:rsidRDefault="007F4C02" w:rsidP="0058060F">
            <w:pPr>
              <w:pStyle w:val="Contenudetableau"/>
              <w:rPr>
                <w:b w:val="0"/>
                <w:i/>
                <w:sz w:val="18"/>
              </w:rPr>
            </w:pPr>
            <w:r w:rsidRPr="00DF637C">
              <w:rPr>
                <w:b w:val="0"/>
                <w:i/>
                <w:sz w:val="18"/>
              </w:rPr>
              <w:t>Comment</w:t>
            </w:r>
          </w:p>
        </w:tc>
        <w:tc>
          <w:tcPr>
            <w:tcW w:w="6673" w:type="dxa"/>
            <w:gridSpan w:val="3"/>
          </w:tcPr>
          <w:p w14:paraId="07A06C15" w14:textId="011FED6F" w:rsidR="007F4C02" w:rsidRPr="00DF637C" w:rsidRDefault="007F4C02" w:rsidP="0058060F">
            <w:pPr>
              <w:pStyle w:val="Contenudetableau"/>
              <w:cnfStyle w:val="000000100000" w:firstRow="0" w:lastRow="0" w:firstColumn="0" w:lastColumn="0" w:oddVBand="0" w:evenVBand="0" w:oddHBand="1" w:evenHBand="0" w:firstRowFirstColumn="0" w:firstRowLastColumn="0" w:lastRowFirstColumn="0" w:lastRowLastColumn="0"/>
              <w:rPr>
                <w:i/>
                <w:color w:val="000000"/>
                <w:sz w:val="18"/>
              </w:rPr>
            </w:pPr>
            <w:r w:rsidRPr="00DF637C">
              <w:rPr>
                <w:i/>
                <w:color w:val="000000"/>
                <w:sz w:val="18"/>
              </w:rPr>
              <w:t xml:space="preserve">Considering </w:t>
            </w:r>
            <w:r w:rsidR="00767A75">
              <w:rPr>
                <w:i/>
                <w:color w:val="000000"/>
                <w:sz w:val="18"/>
              </w:rPr>
              <w:t xml:space="preserve">the </w:t>
            </w:r>
            <w:r w:rsidRPr="00DF637C">
              <w:rPr>
                <w:i/>
                <w:color w:val="000000"/>
                <w:sz w:val="18"/>
              </w:rPr>
              <w:t xml:space="preserve">corresponding marginal power mix for each scenario as in </w:t>
            </w:r>
            <w:r w:rsidR="0058060F" w:rsidRPr="0058060F">
              <w:rPr>
                <w:b/>
                <w:i/>
                <w:color w:val="000000"/>
                <w:sz w:val="18"/>
                <w:szCs w:val="18"/>
                <w:highlight w:val="yellow"/>
              </w:rPr>
              <w:fldChar w:fldCharType="begin"/>
            </w:r>
            <w:r w:rsidR="0058060F" w:rsidRPr="0058060F">
              <w:rPr>
                <w:b/>
                <w:i/>
                <w:color w:val="000000"/>
                <w:sz w:val="18"/>
                <w:szCs w:val="18"/>
                <w:highlight w:val="yellow"/>
              </w:rPr>
              <w:instrText xml:space="preserve"> REF _Ref151650016 \h  \* MERGEFORMAT </w:instrText>
            </w:r>
            <w:r w:rsidR="0058060F" w:rsidRPr="0058060F">
              <w:rPr>
                <w:b/>
                <w:i/>
                <w:color w:val="000000"/>
                <w:sz w:val="18"/>
                <w:szCs w:val="18"/>
                <w:highlight w:val="yellow"/>
              </w:rPr>
            </w:r>
            <w:r w:rsidR="0058060F" w:rsidRPr="0058060F">
              <w:rPr>
                <w:b/>
                <w:i/>
                <w:color w:val="000000"/>
                <w:sz w:val="18"/>
                <w:szCs w:val="18"/>
                <w:highlight w:val="yellow"/>
              </w:rPr>
              <w:fldChar w:fldCharType="separate"/>
            </w:r>
            <w:r w:rsidR="0058060F" w:rsidRPr="0058060F">
              <w:rPr>
                <w:b/>
                <w:i/>
                <w:sz w:val="18"/>
                <w:szCs w:val="18"/>
              </w:rPr>
              <w:t>Table SI</w:t>
            </w:r>
            <w:r w:rsidR="0058060F" w:rsidRPr="0058060F">
              <w:rPr>
                <w:b/>
                <w:i/>
                <w:noProof/>
                <w:sz w:val="18"/>
                <w:szCs w:val="18"/>
              </w:rPr>
              <w:t>2</w:t>
            </w:r>
            <w:r w:rsidR="0058060F" w:rsidRPr="0058060F">
              <w:rPr>
                <w:b/>
                <w:i/>
                <w:color w:val="000000"/>
                <w:sz w:val="18"/>
                <w:szCs w:val="18"/>
                <w:highlight w:val="yellow"/>
              </w:rPr>
              <w:fldChar w:fldCharType="end"/>
            </w:r>
            <w:r w:rsidR="0058060F" w:rsidRPr="00DF637C">
              <w:rPr>
                <w:i/>
                <w:color w:val="000000"/>
                <w:sz w:val="18"/>
              </w:rPr>
              <w:t>.</w:t>
            </w:r>
          </w:p>
        </w:tc>
      </w:tr>
      <w:tr w:rsidR="007F4C02" w:rsidRPr="0098795B" w14:paraId="72BB3DCD" w14:textId="77777777" w:rsidTr="0058060F">
        <w:trPr>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7E6E6" w:themeFill="background2"/>
          </w:tcPr>
          <w:p w14:paraId="49B9A9FD" w14:textId="77777777" w:rsidR="007F4C02" w:rsidRPr="0098795B" w:rsidRDefault="007F4C02" w:rsidP="0058060F">
            <w:pPr>
              <w:pStyle w:val="Contenudetableau"/>
              <w:rPr>
                <w:color w:val="000000"/>
                <w:sz w:val="18"/>
              </w:rPr>
            </w:pPr>
            <w:r>
              <w:rPr>
                <w:sz w:val="18"/>
              </w:rPr>
              <w:t xml:space="preserve">Environmental </w:t>
            </w:r>
            <w:r w:rsidRPr="00793512">
              <w:rPr>
                <w:sz w:val="18"/>
              </w:rPr>
              <w:t xml:space="preserve">impacts </w:t>
            </w:r>
            <w:r>
              <w:rPr>
                <w:sz w:val="18"/>
              </w:rPr>
              <w:t>(</w:t>
            </w:r>
            <w:r w:rsidRPr="00793512">
              <w:rPr>
                <w:sz w:val="18"/>
              </w:rPr>
              <w:t>EF 3.0</w:t>
            </w:r>
            <w:r>
              <w:rPr>
                <w:sz w:val="18"/>
              </w:rPr>
              <w:t>)</w:t>
            </w:r>
            <w:r w:rsidRPr="00793512">
              <w:rPr>
                <w:sz w:val="18"/>
              </w:rPr>
              <w:t>,</w:t>
            </w:r>
            <w:r>
              <w:rPr>
                <w:sz w:val="18"/>
              </w:rPr>
              <w:t xml:space="preserve"> </w:t>
            </w:r>
            <w:r w:rsidRPr="00793512">
              <w:rPr>
                <w:sz w:val="18"/>
              </w:rPr>
              <w:t xml:space="preserve">expressed per </w:t>
            </w:r>
            <w:r>
              <w:rPr>
                <w:sz w:val="18"/>
              </w:rPr>
              <w:t>MJ</w:t>
            </w:r>
            <w:r w:rsidRPr="00793512">
              <w:rPr>
                <w:sz w:val="18"/>
              </w:rPr>
              <w:t xml:space="preserve"> supplied</w:t>
            </w:r>
          </w:p>
        </w:tc>
      </w:tr>
      <w:tr w:rsidR="00896D2D" w:rsidRPr="0098795B" w14:paraId="74996FAA" w14:textId="77777777" w:rsidTr="005806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143EDB16" w14:textId="77777777" w:rsidR="00896D2D" w:rsidRPr="0098795B" w:rsidRDefault="00896D2D" w:rsidP="0058060F">
            <w:pPr>
              <w:pStyle w:val="Contenudetableau"/>
              <w:rPr>
                <w:sz w:val="18"/>
              </w:rPr>
            </w:pPr>
            <w:r w:rsidRPr="00C17A27">
              <w:rPr>
                <w:b w:val="0"/>
                <w:sz w:val="18"/>
              </w:rPr>
              <w:t>Climate change (kgCO</w:t>
            </w:r>
            <w:r w:rsidRPr="00C17A27">
              <w:rPr>
                <w:b w:val="0"/>
                <w:sz w:val="18"/>
                <w:vertAlign w:val="subscript"/>
              </w:rPr>
              <w:t>2</w:t>
            </w:r>
            <w:r w:rsidRPr="00C17A27">
              <w:rPr>
                <w:b w:val="0"/>
                <w:sz w:val="18"/>
              </w:rPr>
              <w:t>-eq)</w:t>
            </w:r>
          </w:p>
        </w:tc>
        <w:tc>
          <w:tcPr>
            <w:tcW w:w="1977" w:type="dxa"/>
          </w:tcPr>
          <w:p w14:paraId="4A6786FA" w14:textId="5D02E78D" w:rsidR="00896D2D" w:rsidRPr="0098795B" w:rsidRDefault="00896D2D" w:rsidP="0058060F">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0.046</w:t>
            </w:r>
          </w:p>
        </w:tc>
        <w:tc>
          <w:tcPr>
            <w:tcW w:w="2003" w:type="dxa"/>
          </w:tcPr>
          <w:p w14:paraId="00B1F034" w14:textId="5379F100" w:rsidR="00896D2D" w:rsidRPr="0098795B" w:rsidRDefault="00896D2D" w:rsidP="0058060F">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0.011</w:t>
            </w:r>
          </w:p>
        </w:tc>
        <w:tc>
          <w:tcPr>
            <w:tcW w:w="2693" w:type="dxa"/>
          </w:tcPr>
          <w:p w14:paraId="4558A407" w14:textId="081F729B" w:rsidR="00896D2D" w:rsidRPr="0098795B" w:rsidRDefault="00896D2D" w:rsidP="0058060F">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0.076</w:t>
            </w:r>
          </w:p>
        </w:tc>
      </w:tr>
      <w:tr w:rsidR="00896D2D" w:rsidRPr="0098795B" w14:paraId="1AEF9192" w14:textId="77777777" w:rsidTr="0058060F">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3D5DD13B" w14:textId="06E3A144" w:rsidR="00896D2D" w:rsidRPr="00C17A27" w:rsidRDefault="00896D2D" w:rsidP="0058060F">
            <w:pPr>
              <w:pStyle w:val="Contenudetableau"/>
              <w:rPr>
                <w:sz w:val="18"/>
              </w:rPr>
            </w:pPr>
            <w:r w:rsidRPr="00C17A27">
              <w:rPr>
                <w:b w:val="0"/>
                <w:sz w:val="18"/>
              </w:rPr>
              <w:t>Marine eutrophic</w:t>
            </w:r>
            <w:r>
              <w:rPr>
                <w:b w:val="0"/>
                <w:sz w:val="18"/>
              </w:rPr>
              <w:t>.</w:t>
            </w:r>
            <w:r w:rsidRPr="00C17A27">
              <w:rPr>
                <w:b w:val="0"/>
                <w:sz w:val="18"/>
              </w:rPr>
              <w:t xml:space="preserve"> (</w:t>
            </w:r>
            <w:proofErr w:type="spellStart"/>
            <w:r w:rsidRPr="00C17A27">
              <w:rPr>
                <w:b w:val="0"/>
                <w:sz w:val="18"/>
              </w:rPr>
              <w:t>kgN</w:t>
            </w:r>
            <w:proofErr w:type="spellEnd"/>
            <w:r w:rsidRPr="00C17A27">
              <w:rPr>
                <w:b w:val="0"/>
                <w:sz w:val="18"/>
              </w:rPr>
              <w:t>-eq)</w:t>
            </w:r>
          </w:p>
        </w:tc>
        <w:tc>
          <w:tcPr>
            <w:tcW w:w="1977" w:type="dxa"/>
          </w:tcPr>
          <w:p w14:paraId="5330A3AB" w14:textId="397C6379" w:rsidR="00896D2D" w:rsidRPr="00C17A27" w:rsidRDefault="00896D2D" w:rsidP="0058060F">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3.9</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-5</w:t>
            </w:r>
          </w:p>
        </w:tc>
        <w:tc>
          <w:tcPr>
            <w:tcW w:w="2003" w:type="dxa"/>
          </w:tcPr>
          <w:p w14:paraId="0C03ABCB" w14:textId="7400F784" w:rsidR="00896D2D" w:rsidRDefault="00896D2D" w:rsidP="0058060F">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3.4</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-5</w:t>
            </w:r>
          </w:p>
        </w:tc>
        <w:tc>
          <w:tcPr>
            <w:tcW w:w="2693" w:type="dxa"/>
          </w:tcPr>
          <w:p w14:paraId="03E247F7" w14:textId="642465A2" w:rsidR="00896D2D" w:rsidRDefault="00896D2D" w:rsidP="0058060F">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1.6</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-5</w:t>
            </w:r>
          </w:p>
        </w:tc>
      </w:tr>
      <w:tr w:rsidR="00896D2D" w:rsidRPr="0098795B" w14:paraId="7C2CD3D2" w14:textId="77777777" w:rsidTr="0058060F">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73B04269" w14:textId="77777777" w:rsidR="00896D2D" w:rsidRPr="00C17A27" w:rsidRDefault="00896D2D" w:rsidP="0058060F">
            <w:pPr>
              <w:pStyle w:val="Contenudetableau"/>
              <w:rPr>
                <w:sz w:val="18"/>
              </w:rPr>
            </w:pPr>
            <w:r w:rsidRPr="00C17A27">
              <w:rPr>
                <w:b w:val="0"/>
                <w:sz w:val="18"/>
              </w:rPr>
              <w:t>Land use (points)</w:t>
            </w:r>
          </w:p>
        </w:tc>
        <w:tc>
          <w:tcPr>
            <w:tcW w:w="1977" w:type="dxa"/>
          </w:tcPr>
          <w:p w14:paraId="4BF0B513" w14:textId="635BDA3B" w:rsidR="00896D2D" w:rsidRPr="00C17A27" w:rsidRDefault="00896D2D" w:rsidP="0058060F">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1.75</w:t>
            </w:r>
          </w:p>
        </w:tc>
        <w:tc>
          <w:tcPr>
            <w:tcW w:w="2003" w:type="dxa"/>
          </w:tcPr>
          <w:p w14:paraId="6C5F685A" w14:textId="55CFF63A" w:rsidR="00896D2D" w:rsidRPr="00C17A27" w:rsidRDefault="00896D2D" w:rsidP="0058060F">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1.16</w:t>
            </w:r>
          </w:p>
        </w:tc>
        <w:tc>
          <w:tcPr>
            <w:tcW w:w="2693" w:type="dxa"/>
          </w:tcPr>
          <w:p w14:paraId="2333255B" w14:textId="26260562" w:rsidR="00896D2D" w:rsidRDefault="00896D2D" w:rsidP="0058060F">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0.04</w:t>
            </w:r>
          </w:p>
        </w:tc>
      </w:tr>
      <w:tr w:rsidR="00896D2D" w:rsidRPr="0098795B" w14:paraId="0592C7E7" w14:textId="77777777" w:rsidTr="0058060F">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5EC70F3B" w14:textId="77777777" w:rsidR="00896D2D" w:rsidRPr="00C17A27" w:rsidRDefault="00896D2D" w:rsidP="0058060F">
            <w:pPr>
              <w:pStyle w:val="Contenudetableau"/>
              <w:rPr>
                <w:sz w:val="18"/>
              </w:rPr>
            </w:pPr>
            <w:r w:rsidRPr="00C17A27">
              <w:rPr>
                <w:b w:val="0"/>
                <w:color w:val="000000"/>
                <w:sz w:val="18"/>
                <w:szCs w:val="18"/>
              </w:rPr>
              <w:t>Water use (m</w:t>
            </w:r>
            <w:r w:rsidRPr="00C17A27">
              <w:rPr>
                <w:b w:val="0"/>
                <w:color w:val="000000"/>
                <w:sz w:val="18"/>
                <w:szCs w:val="18"/>
                <w:vertAlign w:val="superscript"/>
              </w:rPr>
              <w:t>3</w:t>
            </w:r>
            <w:r w:rsidRPr="00C17A27">
              <w:rPr>
                <w:b w:val="0"/>
                <w:color w:val="000000"/>
                <w:sz w:val="18"/>
                <w:szCs w:val="18"/>
              </w:rPr>
              <w:t>-eq)</w:t>
            </w:r>
          </w:p>
        </w:tc>
        <w:tc>
          <w:tcPr>
            <w:tcW w:w="1977" w:type="dxa"/>
          </w:tcPr>
          <w:p w14:paraId="15A032A9" w14:textId="1BA9532D" w:rsidR="00896D2D" w:rsidRDefault="00896D2D" w:rsidP="0058060F">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-2.8</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3</w:t>
            </w:r>
          </w:p>
        </w:tc>
        <w:tc>
          <w:tcPr>
            <w:tcW w:w="2003" w:type="dxa"/>
          </w:tcPr>
          <w:p w14:paraId="3DC44A45" w14:textId="49E89F44" w:rsidR="00896D2D" w:rsidRDefault="00896D2D" w:rsidP="0058060F">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28.7</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3</w:t>
            </w:r>
          </w:p>
        </w:tc>
        <w:tc>
          <w:tcPr>
            <w:tcW w:w="2693" w:type="dxa"/>
          </w:tcPr>
          <w:p w14:paraId="2E6220D8" w14:textId="7C32DD33" w:rsidR="00896D2D" w:rsidRDefault="00896D2D" w:rsidP="0058060F">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0.7</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3</w:t>
            </w:r>
          </w:p>
        </w:tc>
      </w:tr>
    </w:tbl>
    <w:p w14:paraId="196B9B5F" w14:textId="5AB84B74" w:rsidR="007F4C02" w:rsidRPr="007F4C02" w:rsidRDefault="00896D2D" w:rsidP="0058060F">
      <w:pPr>
        <w:rPr>
          <w:sz w:val="18"/>
          <w:szCs w:val="18"/>
        </w:rPr>
      </w:pPr>
      <w:r>
        <w:rPr>
          <w:sz w:val="18"/>
          <w:szCs w:val="18"/>
          <w:vertAlign w:val="superscript"/>
        </w:rPr>
        <w:t>*</w:t>
      </w:r>
      <w:r>
        <w:rPr>
          <w:sz w:val="18"/>
          <w:szCs w:val="18"/>
        </w:rPr>
        <w:t>: Assumed for illustrative purposes.</w:t>
      </w:r>
      <w:r>
        <w:rPr>
          <w:sz w:val="18"/>
          <w:szCs w:val="18"/>
          <w:vertAlign w:val="superscript"/>
        </w:rPr>
        <w:t xml:space="preserve"> </w:t>
      </w:r>
      <w:r w:rsidR="007F4C02" w:rsidRPr="007F4C02">
        <w:rPr>
          <w:sz w:val="18"/>
          <w:szCs w:val="18"/>
          <w:vertAlign w:val="superscript"/>
        </w:rPr>
        <w:t>**</w:t>
      </w:r>
      <w:r w:rsidR="007F4C02" w:rsidRPr="007F4C02">
        <w:rPr>
          <w:sz w:val="18"/>
          <w:szCs w:val="18"/>
        </w:rPr>
        <w:t xml:space="preserve">: </w:t>
      </w:r>
      <w:r w:rsidRPr="0058060F">
        <w:rPr>
          <w:sz w:val="18"/>
          <w:szCs w:val="18"/>
        </w:rPr>
        <w:t>D</w:t>
      </w:r>
      <w:r w:rsidR="007F4C02" w:rsidRPr="0058060F">
        <w:rPr>
          <w:sz w:val="18"/>
          <w:szCs w:val="18"/>
        </w:rPr>
        <w:t>escribed in</w:t>
      </w:r>
      <w:r w:rsidR="0058060F" w:rsidRPr="0058060F">
        <w:rPr>
          <w:sz w:val="18"/>
          <w:szCs w:val="18"/>
        </w:rPr>
        <w:t xml:space="preserve"> Javourez </w:t>
      </w:r>
      <w:r w:rsidR="0058060F" w:rsidRPr="00767A75">
        <w:rPr>
          <w:sz w:val="18"/>
          <w:szCs w:val="18"/>
        </w:rPr>
        <w:t>et al., (202</w:t>
      </w:r>
      <w:r w:rsidR="00767A75" w:rsidRPr="00767A75">
        <w:rPr>
          <w:sz w:val="18"/>
          <w:szCs w:val="18"/>
        </w:rPr>
        <w:t>4</w:t>
      </w:r>
      <w:r w:rsidR="0058060F" w:rsidRPr="00767A75">
        <w:rPr>
          <w:sz w:val="18"/>
          <w:szCs w:val="18"/>
        </w:rPr>
        <w:t>)</w:t>
      </w:r>
      <w:r w:rsidR="0058060F" w:rsidRPr="00767A75">
        <w:rPr>
          <w:sz w:val="18"/>
          <w:szCs w:val="18"/>
        </w:rPr>
        <w:fldChar w:fldCharType="begin"/>
      </w:r>
      <w:r w:rsidR="00CD084F">
        <w:rPr>
          <w:sz w:val="18"/>
          <w:szCs w:val="18"/>
        </w:rPr>
        <w:instrText xml:space="preserve"> ADDIN ZOTERO_ITEM CSL_CITATION {"citationID":"whmicHXi","properties":{"formattedCitation":"\\super 3\\nosupersub{}","plainCitation":"3","noteIndex":0},"citationItems":[{"id":14333,"uris":["http://zotero.org/users/6423791/items/XCNA2SYX"],"itemData":{"id":14333,"type":"article","DOI":"10.21203/rs.3.rs-3626167/v2","genre":"preprint","publisher":"Research Square","title":"Setting the environmental performance threshold for diverting residual streams towards bioeconomy strategies","author":[{"family":"Javourez","given":"U."},{"family":"Karan","given":"S. K."},{"family":"Hamelin","given":"L."}],"issued":{"date-parts":[["2023",11,20]]}}}],"schema":"https://github.com/citation-style-language/schema/raw/master/csl-citation.json"} </w:instrText>
      </w:r>
      <w:r w:rsidR="0058060F" w:rsidRPr="00767A75">
        <w:rPr>
          <w:sz w:val="18"/>
          <w:szCs w:val="18"/>
        </w:rPr>
        <w:fldChar w:fldCharType="separate"/>
      </w:r>
      <w:r w:rsidR="0058060F" w:rsidRPr="00767A75">
        <w:rPr>
          <w:rFonts w:ascii="Calibri" w:hAnsi="Calibri" w:cs="Calibri"/>
          <w:sz w:val="18"/>
          <w:szCs w:val="24"/>
          <w:vertAlign w:val="superscript"/>
        </w:rPr>
        <w:t>3</w:t>
      </w:r>
      <w:r w:rsidR="0058060F" w:rsidRPr="00767A75">
        <w:rPr>
          <w:sz w:val="18"/>
          <w:szCs w:val="18"/>
        </w:rPr>
        <w:fldChar w:fldCharType="end"/>
      </w:r>
      <w:r w:rsidR="007F4C02" w:rsidRPr="00767A75">
        <w:rPr>
          <w:sz w:val="18"/>
          <w:szCs w:val="18"/>
        </w:rPr>
        <w:t>.</w:t>
      </w:r>
      <w:r w:rsidR="007F4C02">
        <w:rPr>
          <w:sz w:val="18"/>
          <w:szCs w:val="18"/>
        </w:rPr>
        <w:t xml:space="preserve"> Emerging electrified thermal processes for industrial applications include resistors, conduction, induction, </w:t>
      </w:r>
      <w:r>
        <w:rPr>
          <w:sz w:val="18"/>
          <w:szCs w:val="18"/>
        </w:rPr>
        <w:t xml:space="preserve">mechanical vapor compression, electric boilers, electric arc furnaces, etc., </w:t>
      </w:r>
      <w:r w:rsidR="00767A75">
        <w:rPr>
          <w:sz w:val="18"/>
          <w:szCs w:val="18"/>
        </w:rPr>
        <w:t>as well as</w:t>
      </w:r>
      <w:r>
        <w:rPr>
          <w:sz w:val="18"/>
          <w:szCs w:val="18"/>
        </w:rPr>
        <w:t xml:space="preserve"> solar-based technologies such as concentrated solar power</w:t>
      </w:r>
      <w:r>
        <w:rPr>
          <w:sz w:val="18"/>
          <w:szCs w:val="18"/>
        </w:rPr>
        <w:fldChar w:fldCharType="begin"/>
      </w:r>
      <w:r w:rsidR="00C61A9E">
        <w:rPr>
          <w:sz w:val="18"/>
          <w:szCs w:val="18"/>
        </w:rPr>
        <w:instrText xml:space="preserve"> ADDIN ZOTERO_ITEM CSL_CITATION {"citationID":"tN8tdSJH","properties":{"formattedCitation":"\\super 7\\nosupersub{}","plainCitation":"7","noteIndex":0},"citationItems":[{"id":13252,"uris":["http://zotero.org/users/6423791/items/6ZYK8KPM"],"itemData":{"id":13252,"type":"article-journal","abstract":"In order to reduce the amount of CO2 emissions associated with industrial boiling, the design of a new solar boiler operating with concentrated solar energy has been proposed and studied in the present work. A lab-scale solar boiler was built to show the feasibility of the concept through experiments, and a thermal model was then developed to study the efficiency of the solar boiler under different boiling conditions. Several peculiarities distinguish this new design from conventional boilers: (i) the use of vertical heating downwards from a receiver placed on top of the boiler, (ii) the conical shape of the receiver oriented upside down and submerged in the liquid, (iii) the solar receiver has a conical cavity on top where vertical solar flux is received, and its lower surface is submerged in boiling fluid, (iv) the direct use of solar energy with optical concentrating facilities for boiling without intermediate heat transfer fluids, and (v) the study of the unconventional film-boiling regime at elevated receiver temperatures which spaces the boiling fluid from the surface of the receiver. The model was validated by the data collected and showed good consistency between predictions and experimental results, with an average error of 3.79% for temperatures and 2.08% for vapor mass flow rate. For the chosen operating conditions studied, the thermal efficiency of the solar boiler varied from 80% to 90%. Such a thermal model can play an important role for the study and design of new thermal processes involving concentrated solar heating for boiling such as desalination.","container-title":"Energy Conversion and Management","DOI":"10.1016/j.enconman.2021.114835","ISSN":"0196-8904","journalAbbreviation":"Energy Conversion and Management","language":"en","page":"114835","source":"ScienceDirect","title":"Design and performance of a new type of boiler using concentrated solar flux","volume":"249","author":[{"family":"Lorfing","given":"Dylan"},{"family":"Olives","given":"Régis"},{"family":"Falcoz","given":"Quentin"},{"family":"Guillot","given":"Emmanuel"},{"family":"Le Men","given":"Claude"},{"family":"Ahmadi","given":"Aras"}],"issued":{"date-parts":[["2021",12,1]]}}}],"schema":"https://github.com/citation-style-language/schema/raw/master/csl-citation.json"} </w:instrText>
      </w:r>
      <w:r>
        <w:rPr>
          <w:sz w:val="18"/>
          <w:szCs w:val="18"/>
        </w:rPr>
        <w:fldChar w:fldCharType="separate"/>
      </w:r>
      <w:r w:rsidR="00C61A9E" w:rsidRPr="00C61A9E">
        <w:rPr>
          <w:rFonts w:ascii="Calibri" w:hAnsi="Calibri" w:cs="Calibri"/>
          <w:sz w:val="18"/>
          <w:szCs w:val="24"/>
          <w:vertAlign w:val="superscript"/>
        </w:rPr>
        <w:t>7</w:t>
      </w:r>
      <w:r>
        <w:rPr>
          <w:sz w:val="18"/>
          <w:szCs w:val="18"/>
        </w:rPr>
        <w:fldChar w:fldCharType="end"/>
      </w:r>
      <w:r>
        <w:rPr>
          <w:sz w:val="18"/>
          <w:szCs w:val="18"/>
        </w:rPr>
        <w:t>.</w:t>
      </w:r>
    </w:p>
    <w:p w14:paraId="543A9326" w14:textId="422D5167" w:rsidR="009955BF" w:rsidRDefault="006213A4" w:rsidP="00896D2D">
      <w:pPr>
        <w:jc w:val="both"/>
      </w:pPr>
      <w:r>
        <w:t>T</w:t>
      </w:r>
      <w:r w:rsidRPr="00896D2D">
        <w:t xml:space="preserve">he </w:t>
      </w:r>
      <w:r>
        <w:t>“high electrification” energy scenario</w:t>
      </w:r>
      <w:r w:rsidRPr="00896D2D">
        <w:t xml:space="preserve"> displays </w:t>
      </w:r>
      <w:r>
        <w:t>comparable</w:t>
      </w:r>
      <w:r w:rsidRPr="00896D2D">
        <w:t xml:space="preserve"> </w:t>
      </w:r>
      <w:r>
        <w:t xml:space="preserve">marginal HT heat and power production </w:t>
      </w:r>
      <w:r w:rsidRPr="00896D2D">
        <w:t>impacts on an energy basis</w:t>
      </w:r>
      <w:r>
        <w:t xml:space="preserve">, as both are only based on </w:t>
      </w:r>
      <w:r w:rsidR="00896D2D" w:rsidRPr="00896D2D">
        <w:t>power-to-heat and solar-to-heat technologies</w:t>
      </w:r>
      <w:r>
        <w:t>. Moreover, the impacts related to the marginal production of LT heat</w:t>
      </w:r>
      <w:r w:rsidR="00EE3E39">
        <w:t xml:space="preserve"> are following the ones of marginal power production for climate change, </w:t>
      </w:r>
      <w:r w:rsidR="00896D2D" w:rsidRPr="00896D2D">
        <w:t>but differ for water and land use</w:t>
      </w:r>
      <w:r w:rsidR="0058060F">
        <w:t xml:space="preserve"> (due to </w:t>
      </w:r>
      <w:r w:rsidR="00EE3E39">
        <w:t xml:space="preserve">the </w:t>
      </w:r>
      <w:r w:rsidR="0058060F">
        <w:t xml:space="preserve">contrasted </w:t>
      </w:r>
      <w:r w:rsidR="00EE3E39">
        <w:t>LCA scores</w:t>
      </w:r>
      <w:r w:rsidR="0058060F">
        <w:t xml:space="preserve"> </w:t>
      </w:r>
      <w:r w:rsidR="00EE3E39">
        <w:t>between</w:t>
      </w:r>
      <w:r w:rsidR="0058060F">
        <w:t xml:space="preserve"> solar panels and nuclear for these </w:t>
      </w:r>
      <w:r w:rsidR="00EE3E39">
        <w:t xml:space="preserve">two impact </w:t>
      </w:r>
      <w:r w:rsidR="0058060F">
        <w:t>categories)</w:t>
      </w:r>
      <w:r w:rsidR="00896D2D" w:rsidRPr="00896D2D">
        <w:t xml:space="preserve">. </w:t>
      </w:r>
      <w:r w:rsidR="009E6728">
        <w:t xml:space="preserve">On top of highlighting intrinsic </w:t>
      </w:r>
      <w:r w:rsidR="00896D2D" w:rsidRPr="00896D2D">
        <w:t>tradeoff</w:t>
      </w:r>
      <w:r w:rsidR="009E6728">
        <w:t>s</w:t>
      </w:r>
      <w:r w:rsidR="00896D2D" w:rsidRPr="00896D2D">
        <w:t xml:space="preserve"> between </w:t>
      </w:r>
      <w:r w:rsidR="009E6728">
        <w:t>impact categories</w:t>
      </w:r>
      <w:r w:rsidR="00896D2D" w:rsidRPr="00896D2D">
        <w:t xml:space="preserve">, </w:t>
      </w:r>
      <w:r w:rsidR="009E6728">
        <w:t xml:space="preserve">the scenario analysis also allowed </w:t>
      </w:r>
      <w:r w:rsidR="00896D2D" w:rsidRPr="00896D2D">
        <w:t xml:space="preserve">to </w:t>
      </w:r>
      <w:r w:rsidR="009E6728">
        <w:t>screen</w:t>
      </w:r>
      <w:r w:rsidR="00896D2D" w:rsidRPr="00896D2D">
        <w:t xml:space="preserve"> the variation</w:t>
      </w:r>
      <w:r w:rsidR="006572FC">
        <w:t xml:space="preserve">s </w:t>
      </w:r>
      <w:r w:rsidR="00EE3E39">
        <w:t>in terms of LCA scores</w:t>
      </w:r>
      <w:r w:rsidR="00896D2D" w:rsidRPr="00896D2D">
        <w:t xml:space="preserve"> </w:t>
      </w:r>
      <w:r w:rsidR="00EE3E39">
        <w:t>across</w:t>
      </w:r>
      <w:r w:rsidR="00896D2D" w:rsidRPr="00896D2D">
        <w:t xml:space="preserve"> the </w:t>
      </w:r>
      <w:r w:rsidR="009E6728">
        <w:t xml:space="preserve">different energy </w:t>
      </w:r>
      <w:r w:rsidR="00EE3E39">
        <w:t>markets</w:t>
      </w:r>
      <w:r w:rsidR="009E6728">
        <w:t xml:space="preserve"> (</w:t>
      </w:r>
      <w:r w:rsidR="0058060F">
        <w:t>here</w:t>
      </w:r>
      <w:r w:rsidR="009E6728">
        <w:t>, power, LT an HT heat</w:t>
      </w:r>
      <w:r w:rsidR="00EE3E39">
        <w:t>ing</w:t>
      </w:r>
      <w:r w:rsidR="009E6728">
        <w:t>).</w:t>
      </w:r>
      <w:r w:rsidR="00896D2D" w:rsidRPr="00896D2D">
        <w:t xml:space="preserve"> </w:t>
      </w:r>
      <w:r w:rsidR="00EE3E39">
        <w:t>Importantly, the primary aim of the scenario analysis is to capture contrasted future situations for the energy systems and related markets, which could affect</w:t>
      </w:r>
      <w:r w:rsidR="00896D2D" w:rsidRPr="00896D2D">
        <w:t xml:space="preserve"> the relevance of implementing waste-to-nutrition pathways</w:t>
      </w:r>
      <w:r w:rsidR="00EE3E39">
        <w:t xml:space="preserve"> for the four impact categories assessed</w:t>
      </w:r>
      <w:r w:rsidR="00896D2D" w:rsidRPr="00896D2D">
        <w:t xml:space="preserve">. </w:t>
      </w:r>
      <w:r w:rsidR="00EE3E39">
        <w:t xml:space="preserve">Including a larger set of impact categories in the analysis might require to expand the scenario analysis to better capture contrasted performances for categories tightly linked to energy systems such as </w:t>
      </w:r>
      <w:r w:rsidR="00896D2D" w:rsidRPr="00896D2D">
        <w:t>ionizing radiations</w:t>
      </w:r>
      <w:r w:rsidR="00EE3E39">
        <w:t xml:space="preserve"> and</w:t>
      </w:r>
      <w:r w:rsidR="00896D2D" w:rsidRPr="00896D2D">
        <w:t xml:space="preserve"> particulate matter formation,</w:t>
      </w:r>
      <w:r w:rsidR="00EE3E39">
        <w:t xml:space="preserve"> among others</w:t>
      </w:r>
      <w:r w:rsidR="00896D2D" w:rsidRPr="00896D2D">
        <w:t xml:space="preserve">. </w:t>
      </w:r>
      <w:r w:rsidR="00EE3E39">
        <w:t>As another improvement leverage, several LCA scores of specific suppliers</w:t>
      </w:r>
      <w:r w:rsidR="00896D2D" w:rsidRPr="00896D2D">
        <w:t xml:space="preserve"> were tightly linked to the selected background </w:t>
      </w:r>
      <w:r w:rsidR="00492142">
        <w:t xml:space="preserve">activities </w:t>
      </w:r>
      <w:r w:rsidR="00896D2D" w:rsidRPr="00896D2D">
        <w:t xml:space="preserve">in </w:t>
      </w:r>
      <w:proofErr w:type="spellStart"/>
      <w:r w:rsidR="00492142">
        <w:t>ecoinvent</w:t>
      </w:r>
      <w:proofErr w:type="spellEnd"/>
      <w:r w:rsidR="00896D2D" w:rsidRPr="00896D2D">
        <w:t xml:space="preserve"> (</w:t>
      </w:r>
      <w:r w:rsidR="00EE3E39">
        <w:t>this is the case of</w:t>
      </w:r>
      <w:r w:rsidR="00896D2D" w:rsidRPr="00896D2D">
        <w:t xml:space="preserve"> nuclear</w:t>
      </w:r>
      <w:r w:rsidR="00EE3E39">
        <w:t>-based technologies</w:t>
      </w:r>
      <w:r w:rsidR="00896D2D" w:rsidRPr="00896D2D">
        <w:t xml:space="preserve"> </w:t>
      </w:r>
      <w:r w:rsidR="00EE3E39">
        <w:t>and</w:t>
      </w:r>
      <w:r w:rsidR="00896D2D" w:rsidRPr="00896D2D">
        <w:t xml:space="preserve"> wood CHP)</w:t>
      </w:r>
      <w:r w:rsidR="00EE3E39">
        <w:t xml:space="preserve">: these could be refined and confronted with other data sources </w:t>
      </w:r>
      <w:r w:rsidR="00DD4F06">
        <w:t>to increase the robustness of the results</w:t>
      </w:r>
      <w:r w:rsidR="00896D2D" w:rsidRPr="00896D2D">
        <w:t>.</w:t>
      </w:r>
      <w:r w:rsidR="009955BF">
        <w:br w:type="page"/>
      </w:r>
    </w:p>
    <w:p w14:paraId="1750C025" w14:textId="487B546D" w:rsidR="002D478A" w:rsidRPr="00793512" w:rsidRDefault="002D478A" w:rsidP="00EE0265">
      <w:pPr>
        <w:pStyle w:val="Titre2"/>
      </w:pPr>
      <w:r>
        <w:lastRenderedPageBreak/>
        <w:t>Fertilizer</w:t>
      </w:r>
      <w:r w:rsidRPr="00793512">
        <w:t xml:space="preserve"> </w:t>
      </w:r>
      <w:r w:rsidRPr="00EE0265">
        <w:t>markets</w:t>
      </w:r>
    </w:p>
    <w:p w14:paraId="4ACF3CEA" w14:textId="5DCF7624" w:rsidR="002D478A" w:rsidRDefault="0058060F" w:rsidP="0058060F">
      <w:pPr>
        <w:jc w:val="both"/>
      </w:pPr>
      <w:r>
        <w:t>T</w:t>
      </w:r>
      <w:r w:rsidR="006572FC">
        <w:t>he identification and modeling of the marginal suppliers of fertilizers and fertilizing services was based on</w:t>
      </w:r>
      <w:r>
        <w:t xml:space="preserve"> Javourez et </w:t>
      </w:r>
      <w:r w:rsidRPr="00AA0C99">
        <w:t>al, (202</w:t>
      </w:r>
      <w:r w:rsidR="00AA0C99" w:rsidRPr="00AA0C99">
        <w:t>4</w:t>
      </w:r>
      <w:r w:rsidRPr="00AA0C99">
        <w:t>)</w:t>
      </w:r>
      <w:r w:rsidRPr="00AA0C99">
        <w:fldChar w:fldCharType="begin"/>
      </w:r>
      <w:r w:rsidR="00CD084F">
        <w:instrText xml:space="preserve"> ADDIN ZOTERO_ITEM CSL_CITATION {"citationID":"VF8ns17d","properties":{"formattedCitation":"\\super 3\\nosupersub{}","plainCitation":"3","noteIndex":0},"citationItems":[{"id":14333,"uris":["http://zotero.org/users/6423791/items/XCNA2SYX"],"itemData":{"id":14333,"type":"article","DOI":"10.21203/rs.3.rs-3626167/v2","genre":"preprint","publisher":"Research Square","title":"Setting the environmental performance threshold for diverting residual streams towards bioeconomy strategies","author":[{"family":"Javourez","given":"U."},{"family":"Karan","given":"S. K."},{"family":"Hamelin","given":"L."}],"issued":{"date-parts":[["2023",11,20]]}}}],"schema":"https://github.com/citation-style-language/schema/raw/master/csl-citation.json"} </w:instrText>
      </w:r>
      <w:r w:rsidRPr="00AA0C99">
        <w:fldChar w:fldCharType="separate"/>
      </w:r>
      <w:r w:rsidRPr="00AA0C99">
        <w:rPr>
          <w:rFonts w:ascii="Calibri" w:hAnsi="Calibri" w:cs="Calibri"/>
          <w:szCs w:val="24"/>
          <w:vertAlign w:val="superscript"/>
        </w:rPr>
        <w:t>3</w:t>
      </w:r>
      <w:r w:rsidRPr="00AA0C99">
        <w:fldChar w:fldCharType="end"/>
      </w:r>
      <w:r w:rsidR="006572FC" w:rsidRPr="00AA0C99">
        <w:t>. Fertilizers</w:t>
      </w:r>
      <w:r w:rsidR="006572FC">
        <w:t xml:space="preserve"> and fertilizing services were modeled separately </w:t>
      </w:r>
      <w:r>
        <w:t>because</w:t>
      </w:r>
      <w:r w:rsidR="006572FC">
        <w:t xml:space="preserve"> </w:t>
      </w:r>
      <w:r w:rsidR="00AA0C99">
        <w:t>the selected waste</w:t>
      </w:r>
      <w:r w:rsidR="006572FC">
        <w:t xml:space="preserve"> </w:t>
      </w:r>
      <w:r w:rsidR="00AA0C99">
        <w:t>valorization</w:t>
      </w:r>
      <w:r>
        <w:t xml:space="preserve"> pathways</w:t>
      </w:r>
      <w:r w:rsidR="006572FC">
        <w:t xml:space="preserve"> either </w:t>
      </w:r>
      <w:r w:rsidR="00AA0C99">
        <w:t>integrate</w:t>
      </w:r>
      <w:r w:rsidR="007F5C7F">
        <w:t xml:space="preserve"> the use of fertilizer</w:t>
      </w:r>
      <w:r w:rsidR="00622E96">
        <w:t>s</w:t>
      </w:r>
      <w:r w:rsidR="007F5C7F">
        <w:t xml:space="preserve"> for agronomic practices (that is, </w:t>
      </w:r>
      <w:r w:rsidR="0034054F">
        <w:t>applied</w:t>
      </w:r>
      <w:r w:rsidR="007F5C7F">
        <w:t xml:space="preserve"> on arable lands) or as chemical inputs </w:t>
      </w:r>
      <w:r w:rsidR="0034054F">
        <w:t>with</w:t>
      </w:r>
      <w:r w:rsidR="007F5C7F">
        <w:t>in specific unit operations</w:t>
      </w:r>
      <w:r w:rsidR="0034054F">
        <w:t xml:space="preserve"> (e.g. </w:t>
      </w:r>
      <w:r w:rsidR="00AA0C99">
        <w:t xml:space="preserve">to meet the nutrients requirements in </w:t>
      </w:r>
      <w:r w:rsidR="0034054F">
        <w:t>bioreactors)</w:t>
      </w:r>
      <w:r w:rsidR="007F5C7F">
        <w:t xml:space="preserve">. For the latter case, spreading operations and related land emissions are </w:t>
      </w:r>
      <w:r w:rsidR="0034054F">
        <w:t xml:space="preserve">thus </w:t>
      </w:r>
      <w:r w:rsidR="007F5C7F">
        <w:t xml:space="preserve">not part of the inventory. The reader is directed to the </w:t>
      </w:r>
      <w:r>
        <w:t>supporting information document</w:t>
      </w:r>
      <w:r w:rsidR="007F5C7F">
        <w:t xml:space="preserve"> of aforementioned study </w:t>
      </w:r>
      <w:r w:rsidR="00AA0C99">
        <w:t>detailing the modeling,</w:t>
      </w:r>
      <w:r w:rsidR="007F5C7F">
        <w:t xml:space="preserve"> </w:t>
      </w:r>
      <w:r w:rsidR="00AA0C99">
        <w:t xml:space="preserve">the </w:t>
      </w:r>
      <w:r w:rsidR="007F5C7F">
        <w:t>select</w:t>
      </w:r>
      <w:r w:rsidR="00AA0C99">
        <w:t>ion of</w:t>
      </w:r>
      <w:r w:rsidR="007F5C7F">
        <w:t xml:space="preserve"> background </w:t>
      </w:r>
      <w:proofErr w:type="spellStart"/>
      <w:r w:rsidR="00AA0C99">
        <w:t>ecoinvent</w:t>
      </w:r>
      <w:proofErr w:type="spellEnd"/>
      <w:r w:rsidR="00AA0C99">
        <w:t xml:space="preserve"> </w:t>
      </w:r>
      <w:r w:rsidR="00492142">
        <w:t>activities</w:t>
      </w:r>
      <w:r w:rsidR="007F5C7F">
        <w:t xml:space="preserve"> and </w:t>
      </w:r>
      <w:r w:rsidR="00AA0C99">
        <w:t xml:space="preserve">the LCA </w:t>
      </w:r>
      <w:r w:rsidR="007F5C7F">
        <w:t xml:space="preserve">contribution analysis (see also </w:t>
      </w:r>
      <w:r w:rsidRPr="0058060F">
        <w:rPr>
          <w:b/>
        </w:rPr>
        <w:fldChar w:fldCharType="begin"/>
      </w:r>
      <w:r w:rsidRPr="0058060F">
        <w:rPr>
          <w:b/>
        </w:rPr>
        <w:instrText xml:space="preserve"> REF _Ref151651252 \h  \* MERGEFORMAT </w:instrText>
      </w:r>
      <w:r w:rsidRPr="0058060F">
        <w:rPr>
          <w:b/>
        </w:rPr>
      </w:r>
      <w:r w:rsidRPr="0058060F">
        <w:rPr>
          <w:b/>
        </w:rPr>
        <w:fldChar w:fldCharType="separate"/>
      </w:r>
      <w:r w:rsidRPr="0058060F">
        <w:rPr>
          <w:b/>
        </w:rPr>
        <w:t>Table SI</w:t>
      </w:r>
      <w:r w:rsidRPr="0058060F">
        <w:rPr>
          <w:b/>
          <w:noProof/>
        </w:rPr>
        <w:t>7</w:t>
      </w:r>
      <w:r w:rsidRPr="0058060F">
        <w:rPr>
          <w:b/>
        </w:rPr>
        <w:fldChar w:fldCharType="end"/>
      </w:r>
      <w:r>
        <w:rPr>
          <w:b/>
        </w:rPr>
        <w:t xml:space="preserve"> </w:t>
      </w:r>
      <w:r w:rsidR="007F5C7F">
        <w:t>for environmental performances).</w:t>
      </w:r>
    </w:p>
    <w:p w14:paraId="50C82BDB" w14:textId="31EEEFF5" w:rsidR="00C046E3" w:rsidRDefault="0058060F" w:rsidP="0058060F">
      <w:pPr>
        <w:pStyle w:val="Lgende"/>
        <w:jc w:val="left"/>
      </w:pPr>
      <w:bookmarkStart w:id="12" w:name="_Ref151651099"/>
      <w:bookmarkStart w:id="13" w:name="_Toc155516842"/>
      <w:r>
        <w:t>Table SI</w:t>
      </w:r>
      <w:r>
        <w:fldChar w:fldCharType="begin"/>
      </w:r>
      <w:r>
        <w:instrText xml:space="preserve"> SEQ Table \* ARABIC </w:instrText>
      </w:r>
      <w:r>
        <w:fldChar w:fldCharType="separate"/>
      </w:r>
      <w:r w:rsidR="00C65861">
        <w:rPr>
          <w:noProof/>
        </w:rPr>
        <w:t>6</w:t>
      </w:r>
      <w:r>
        <w:fldChar w:fldCharType="end"/>
      </w:r>
      <w:bookmarkEnd w:id="12"/>
      <w:r>
        <w:t xml:space="preserve"> </w:t>
      </w:r>
      <w:r w:rsidR="00C046E3">
        <w:t xml:space="preserve">– Background </w:t>
      </w:r>
      <w:r w:rsidR="00492142">
        <w:t>activities</w:t>
      </w:r>
      <w:r w:rsidR="00C046E3">
        <w:t xml:space="preserve"> to model green ammonia production</w:t>
      </w:r>
      <w:r w:rsidR="009D616A">
        <w:t>, one kilogram</w:t>
      </w:r>
      <w:bookmarkEnd w:id="13"/>
    </w:p>
    <w:tbl>
      <w:tblPr>
        <w:tblStyle w:val="Tableausimple2"/>
        <w:tblW w:w="0" w:type="auto"/>
        <w:tblLook w:val="04A0" w:firstRow="1" w:lastRow="0" w:firstColumn="1" w:lastColumn="0" w:noHBand="0" w:noVBand="1"/>
      </w:tblPr>
      <w:tblGrid>
        <w:gridCol w:w="3299"/>
        <w:gridCol w:w="553"/>
        <w:gridCol w:w="1114"/>
        <w:gridCol w:w="4106"/>
      </w:tblGrid>
      <w:tr w:rsidR="006E7E78" w14:paraId="625D34E8" w14:textId="77777777" w:rsidTr="00C15AC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4D6632FF" w14:textId="42931A6E" w:rsidR="009D616A" w:rsidRPr="009B62DF" w:rsidRDefault="009D616A" w:rsidP="00C15AC3">
            <w:pPr>
              <w:rPr>
                <w:sz w:val="18"/>
              </w:rPr>
            </w:pPr>
            <w:r w:rsidRPr="009B62DF">
              <w:rPr>
                <w:sz w:val="18"/>
              </w:rPr>
              <w:t xml:space="preserve">Background </w:t>
            </w:r>
            <w:r w:rsidR="00492142">
              <w:rPr>
                <w:sz w:val="18"/>
              </w:rPr>
              <w:t>activities</w:t>
            </w:r>
          </w:p>
        </w:tc>
        <w:tc>
          <w:tcPr>
            <w:tcW w:w="284" w:type="dxa"/>
          </w:tcPr>
          <w:p w14:paraId="7AEC810D" w14:textId="6C85F835" w:rsidR="009D616A" w:rsidRPr="009B62DF" w:rsidRDefault="009D616A" w:rsidP="00C15AC3">
            <w:pPr>
              <w:cnfStyle w:val="100000000000" w:firstRow="1" w:lastRow="0" w:firstColumn="0" w:lastColumn="0" w:oddVBand="0" w:evenVBand="0" w:oddHBand="0" w:evenHBand="0" w:firstRowFirstColumn="0" w:firstRowLastColumn="0" w:lastRowFirstColumn="0" w:lastRowLastColumn="0"/>
              <w:rPr>
                <w:sz w:val="18"/>
              </w:rPr>
            </w:pPr>
            <w:r>
              <w:rPr>
                <w:sz w:val="18"/>
              </w:rPr>
              <w:t>Unit</w:t>
            </w:r>
          </w:p>
        </w:tc>
        <w:tc>
          <w:tcPr>
            <w:tcW w:w="1134" w:type="dxa"/>
          </w:tcPr>
          <w:p w14:paraId="65D174ED" w14:textId="7472F2F8" w:rsidR="009D616A" w:rsidRPr="009B62DF" w:rsidRDefault="009D616A" w:rsidP="00C15AC3">
            <w:pPr>
              <w:cnfStyle w:val="100000000000" w:firstRow="1" w:lastRow="0" w:firstColumn="0" w:lastColumn="0" w:oddVBand="0" w:evenVBand="0" w:oddHBand="0" w:evenHBand="0" w:firstRowFirstColumn="0" w:firstRowLastColumn="0" w:lastRowFirstColumn="0" w:lastRowLastColumn="0"/>
              <w:rPr>
                <w:sz w:val="18"/>
              </w:rPr>
            </w:pPr>
            <w:r>
              <w:rPr>
                <w:sz w:val="18"/>
              </w:rPr>
              <w:t>Value</w:t>
            </w:r>
          </w:p>
        </w:tc>
        <w:tc>
          <w:tcPr>
            <w:tcW w:w="4252" w:type="dxa"/>
          </w:tcPr>
          <w:p w14:paraId="15F13A7B" w14:textId="77777777" w:rsidR="009D616A" w:rsidRPr="009B62DF" w:rsidRDefault="009D616A" w:rsidP="00C15AC3">
            <w:pPr>
              <w:cnfStyle w:val="100000000000" w:firstRow="1" w:lastRow="0" w:firstColumn="0" w:lastColumn="0" w:oddVBand="0" w:evenVBand="0" w:oddHBand="0" w:evenHBand="0" w:firstRowFirstColumn="0" w:firstRowLastColumn="0" w:lastRowFirstColumn="0" w:lastRowLastColumn="0"/>
              <w:rPr>
                <w:i/>
                <w:sz w:val="18"/>
              </w:rPr>
            </w:pPr>
            <w:r w:rsidRPr="009B62DF">
              <w:rPr>
                <w:i/>
                <w:sz w:val="18"/>
              </w:rPr>
              <w:t>Comment</w:t>
            </w:r>
          </w:p>
        </w:tc>
      </w:tr>
      <w:tr w:rsidR="006E7E78" w14:paraId="2250CCDD" w14:textId="77777777" w:rsidTr="00C15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2CC39946" w14:textId="61EFD989" w:rsidR="009D616A" w:rsidRPr="00C15AC3" w:rsidRDefault="009D616A" w:rsidP="00C15AC3">
            <w:pPr>
              <w:rPr>
                <w:b w:val="0"/>
                <w:sz w:val="18"/>
              </w:rPr>
            </w:pPr>
            <w:r w:rsidRPr="00C15AC3">
              <w:rPr>
                <w:b w:val="0"/>
                <w:sz w:val="18"/>
              </w:rPr>
              <w:t>Market for nitrogen, liquid, RER</w:t>
            </w:r>
          </w:p>
        </w:tc>
        <w:tc>
          <w:tcPr>
            <w:tcW w:w="284" w:type="dxa"/>
          </w:tcPr>
          <w:p w14:paraId="05EB83AD" w14:textId="4BE8D278" w:rsidR="009D616A" w:rsidRDefault="009D616A" w:rsidP="00C15AC3">
            <w:pPr>
              <w:cnfStyle w:val="000000100000" w:firstRow="0" w:lastRow="0" w:firstColumn="0" w:lastColumn="0" w:oddVBand="0" w:evenVBand="0" w:oddHBand="1" w:evenHBand="0" w:firstRowFirstColumn="0" w:firstRowLastColumn="0" w:lastRowFirstColumn="0" w:lastRowLastColumn="0"/>
              <w:rPr>
                <w:sz w:val="18"/>
              </w:rPr>
            </w:pPr>
            <w:r>
              <w:rPr>
                <w:sz w:val="18"/>
              </w:rPr>
              <w:t>kg</w:t>
            </w:r>
          </w:p>
        </w:tc>
        <w:tc>
          <w:tcPr>
            <w:tcW w:w="1134" w:type="dxa"/>
          </w:tcPr>
          <w:p w14:paraId="4AE1F7C3" w14:textId="5B0B6452" w:rsidR="009D616A" w:rsidRDefault="009D616A" w:rsidP="00C15AC3">
            <w:pPr>
              <w:cnfStyle w:val="000000100000" w:firstRow="0" w:lastRow="0" w:firstColumn="0" w:lastColumn="0" w:oddVBand="0" w:evenVBand="0" w:oddHBand="1" w:evenHBand="0" w:firstRowFirstColumn="0" w:firstRowLastColumn="0" w:lastRowFirstColumn="0" w:lastRowLastColumn="0"/>
              <w:rPr>
                <w:sz w:val="18"/>
              </w:rPr>
            </w:pPr>
            <w:r>
              <w:rPr>
                <w:sz w:val="18"/>
              </w:rPr>
              <w:t>0.82</w:t>
            </w:r>
          </w:p>
        </w:tc>
        <w:tc>
          <w:tcPr>
            <w:tcW w:w="4252" w:type="dxa"/>
          </w:tcPr>
          <w:p w14:paraId="1D856A6E" w14:textId="191400D1" w:rsidR="009D616A" w:rsidRPr="00B51D8F" w:rsidRDefault="009D616A" w:rsidP="00C15AC3">
            <w:pPr>
              <w:cnfStyle w:val="000000100000" w:firstRow="0" w:lastRow="0" w:firstColumn="0" w:lastColumn="0" w:oddVBand="0" w:evenVBand="0" w:oddHBand="1" w:evenHBand="0" w:firstRowFirstColumn="0" w:firstRowLastColumn="0" w:lastRowFirstColumn="0" w:lastRowLastColumn="0"/>
              <w:rPr>
                <w:i/>
                <w:sz w:val="18"/>
              </w:rPr>
            </w:pPr>
          </w:p>
        </w:tc>
      </w:tr>
      <w:tr w:rsidR="006E7E78" w14:paraId="7B8D242F" w14:textId="77777777" w:rsidTr="00C15AC3">
        <w:tc>
          <w:tcPr>
            <w:cnfStyle w:val="001000000000" w:firstRow="0" w:lastRow="0" w:firstColumn="1" w:lastColumn="0" w:oddVBand="0" w:evenVBand="0" w:oddHBand="0" w:evenHBand="0" w:firstRowFirstColumn="0" w:firstRowLastColumn="0" w:lastRowFirstColumn="0" w:lastRowLastColumn="0"/>
            <w:tcW w:w="3402" w:type="dxa"/>
          </w:tcPr>
          <w:p w14:paraId="10CFF807" w14:textId="1C22867F" w:rsidR="009D616A" w:rsidRPr="00C15AC3" w:rsidRDefault="009D616A" w:rsidP="00C15AC3">
            <w:pPr>
              <w:rPr>
                <w:b w:val="0"/>
                <w:sz w:val="18"/>
              </w:rPr>
            </w:pPr>
            <w:r w:rsidRPr="00C15AC3">
              <w:rPr>
                <w:b w:val="0"/>
                <w:sz w:val="18"/>
              </w:rPr>
              <w:t>Electrolysis-based hydrogen</w:t>
            </w:r>
          </w:p>
        </w:tc>
        <w:tc>
          <w:tcPr>
            <w:tcW w:w="284" w:type="dxa"/>
          </w:tcPr>
          <w:p w14:paraId="75C7653A" w14:textId="35104820" w:rsidR="009D616A" w:rsidRPr="004636E1" w:rsidRDefault="009D616A" w:rsidP="00C15AC3">
            <w:pPr>
              <w:cnfStyle w:val="000000000000" w:firstRow="0" w:lastRow="0" w:firstColumn="0" w:lastColumn="0" w:oddVBand="0" w:evenVBand="0" w:oddHBand="0" w:evenHBand="0" w:firstRowFirstColumn="0" w:firstRowLastColumn="0" w:lastRowFirstColumn="0" w:lastRowLastColumn="0"/>
              <w:rPr>
                <w:sz w:val="18"/>
              </w:rPr>
            </w:pPr>
            <w:r>
              <w:rPr>
                <w:sz w:val="18"/>
              </w:rPr>
              <w:t>kg</w:t>
            </w:r>
          </w:p>
        </w:tc>
        <w:tc>
          <w:tcPr>
            <w:tcW w:w="1134" w:type="dxa"/>
          </w:tcPr>
          <w:p w14:paraId="217C6B64" w14:textId="195EB619" w:rsidR="009D616A" w:rsidRPr="004636E1" w:rsidRDefault="009D616A" w:rsidP="00C15AC3">
            <w:pPr>
              <w:cnfStyle w:val="000000000000" w:firstRow="0" w:lastRow="0" w:firstColumn="0" w:lastColumn="0" w:oddVBand="0" w:evenVBand="0" w:oddHBand="0" w:evenHBand="0" w:firstRowFirstColumn="0" w:firstRowLastColumn="0" w:lastRowFirstColumn="0" w:lastRowLastColumn="0"/>
              <w:rPr>
                <w:sz w:val="18"/>
              </w:rPr>
            </w:pPr>
            <w:r>
              <w:rPr>
                <w:sz w:val="18"/>
              </w:rPr>
              <w:t>0.18</w:t>
            </w:r>
          </w:p>
        </w:tc>
        <w:tc>
          <w:tcPr>
            <w:tcW w:w="4252" w:type="dxa"/>
          </w:tcPr>
          <w:p w14:paraId="42CADD00" w14:textId="38984B50" w:rsidR="009D616A" w:rsidRDefault="009D616A" w:rsidP="00C15AC3">
            <w:pPr>
              <w:cnfStyle w:val="000000000000" w:firstRow="0" w:lastRow="0" w:firstColumn="0" w:lastColumn="0" w:oddVBand="0" w:evenVBand="0" w:oddHBand="0" w:evenHBand="0" w:firstRowFirstColumn="0" w:firstRowLastColumn="0" w:lastRowFirstColumn="0" w:lastRowLastColumn="0"/>
              <w:rPr>
                <w:i/>
                <w:sz w:val="18"/>
              </w:rPr>
            </w:pPr>
            <w:r>
              <w:rPr>
                <w:i/>
                <w:sz w:val="18"/>
              </w:rPr>
              <w:t>Inventory described in</w:t>
            </w:r>
            <w:r w:rsidR="0058060F">
              <w:rPr>
                <w:i/>
                <w:sz w:val="18"/>
              </w:rPr>
              <w:t xml:space="preserve"> Javourez et </w:t>
            </w:r>
            <w:r w:rsidR="0058060F" w:rsidRPr="00C53179">
              <w:rPr>
                <w:i/>
                <w:sz w:val="18"/>
              </w:rPr>
              <w:t>al., (202</w:t>
            </w:r>
            <w:r w:rsidR="00C53179" w:rsidRPr="00C53179">
              <w:rPr>
                <w:i/>
                <w:sz w:val="18"/>
              </w:rPr>
              <w:t>4</w:t>
            </w:r>
            <w:r w:rsidR="0058060F" w:rsidRPr="00C53179">
              <w:rPr>
                <w:i/>
                <w:sz w:val="18"/>
              </w:rPr>
              <w:t>)</w:t>
            </w:r>
            <w:r w:rsidR="0058060F" w:rsidRPr="00C53179">
              <w:rPr>
                <w:i/>
                <w:sz w:val="18"/>
              </w:rPr>
              <w:fldChar w:fldCharType="begin"/>
            </w:r>
            <w:r w:rsidR="00CD084F">
              <w:rPr>
                <w:i/>
                <w:sz w:val="18"/>
              </w:rPr>
              <w:instrText xml:space="preserve"> ADDIN ZOTERO_ITEM CSL_CITATION {"citationID":"q4xJ9S5i","properties":{"formattedCitation":"\\super 1\\nosupersub{}","plainCitation":"1","noteIndex":0},"citationItems":[{"id":14334,"uris":["http://zotero.org/users/6423791/items/VWPZYH5Z"],"itemData":{"id":14334,"type":"article","DOI":"https://doi.org/10.21203/rs.3.rs-3671083/v1","genre":"preprint","publisher":"Research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pathways","author":[{"family":"Javourez","given":"U."},{"family":"Tiruta-Barna","given":"L."},{"family":"Hamelin","given":"L."}],"issued":{"date-parts":[["2023",11,20]]}}}],"schema":"https://github.com/citation-style-language/schema/raw/master/csl-citation.json"} </w:instrText>
            </w:r>
            <w:r w:rsidR="0058060F" w:rsidRPr="00C53179">
              <w:rPr>
                <w:i/>
                <w:sz w:val="18"/>
              </w:rPr>
              <w:fldChar w:fldCharType="separate"/>
            </w:r>
            <w:r w:rsidR="00C15AC3" w:rsidRPr="00C53179">
              <w:rPr>
                <w:rFonts w:ascii="Calibri" w:hAnsi="Calibri" w:cs="Calibri"/>
                <w:sz w:val="18"/>
                <w:szCs w:val="24"/>
                <w:vertAlign w:val="superscript"/>
              </w:rPr>
              <w:t>1</w:t>
            </w:r>
            <w:r w:rsidR="0058060F" w:rsidRPr="00C53179">
              <w:rPr>
                <w:i/>
                <w:sz w:val="18"/>
              </w:rPr>
              <w:fldChar w:fldCharType="end"/>
            </w:r>
            <w:r w:rsidR="006E7E78" w:rsidRPr="00C53179">
              <w:rPr>
                <w:i/>
                <w:sz w:val="18"/>
              </w:rPr>
              <w:t xml:space="preserve"> fixed</w:t>
            </w:r>
            <w:r w:rsidR="006E7E78" w:rsidRPr="006E7E78">
              <w:rPr>
                <w:i/>
                <w:sz w:val="18"/>
              </w:rPr>
              <w:t xml:space="preserve"> with baseline technological performances</w:t>
            </w:r>
          </w:p>
        </w:tc>
      </w:tr>
      <w:tr w:rsidR="006E7E78" w14:paraId="2D4445D0" w14:textId="77777777" w:rsidTr="00C15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70B22172" w14:textId="717FE43A" w:rsidR="009D616A" w:rsidRPr="00C15AC3" w:rsidRDefault="009D616A" w:rsidP="00C15AC3">
            <w:pPr>
              <w:rPr>
                <w:b w:val="0"/>
                <w:sz w:val="18"/>
              </w:rPr>
            </w:pPr>
            <w:r w:rsidRPr="00C15AC3">
              <w:rPr>
                <w:b w:val="0"/>
                <w:sz w:val="18"/>
              </w:rPr>
              <w:t>Electricity</w:t>
            </w:r>
          </w:p>
        </w:tc>
        <w:tc>
          <w:tcPr>
            <w:tcW w:w="284" w:type="dxa"/>
          </w:tcPr>
          <w:p w14:paraId="3432CB0B" w14:textId="6C608496" w:rsidR="009D616A" w:rsidRPr="004636E1" w:rsidRDefault="009D616A" w:rsidP="00C15AC3">
            <w:pPr>
              <w:cnfStyle w:val="000000100000" w:firstRow="0" w:lastRow="0" w:firstColumn="0" w:lastColumn="0" w:oddVBand="0" w:evenVBand="0" w:oddHBand="1" w:evenHBand="0" w:firstRowFirstColumn="0" w:firstRowLastColumn="0" w:lastRowFirstColumn="0" w:lastRowLastColumn="0"/>
              <w:rPr>
                <w:sz w:val="18"/>
              </w:rPr>
            </w:pPr>
            <w:r>
              <w:rPr>
                <w:sz w:val="18"/>
              </w:rPr>
              <w:t>kWh</w:t>
            </w:r>
          </w:p>
        </w:tc>
        <w:tc>
          <w:tcPr>
            <w:tcW w:w="1134" w:type="dxa"/>
          </w:tcPr>
          <w:p w14:paraId="0E7DFCFF" w14:textId="49EE83FF" w:rsidR="009D616A" w:rsidRPr="004636E1" w:rsidRDefault="009D616A" w:rsidP="00C15AC3">
            <w:pPr>
              <w:cnfStyle w:val="000000100000" w:firstRow="0" w:lastRow="0" w:firstColumn="0" w:lastColumn="0" w:oddVBand="0" w:evenVBand="0" w:oddHBand="1" w:evenHBand="0" w:firstRowFirstColumn="0" w:firstRowLastColumn="0" w:lastRowFirstColumn="0" w:lastRowLastColumn="0"/>
              <w:rPr>
                <w:sz w:val="18"/>
              </w:rPr>
            </w:pPr>
            <w:r>
              <w:rPr>
                <w:sz w:val="18"/>
              </w:rPr>
              <w:t>0.74</w:t>
            </w:r>
          </w:p>
        </w:tc>
        <w:tc>
          <w:tcPr>
            <w:tcW w:w="4252" w:type="dxa"/>
          </w:tcPr>
          <w:p w14:paraId="09B98587" w14:textId="4AFD75CD" w:rsidR="009D616A" w:rsidRDefault="009D616A" w:rsidP="00C15AC3">
            <w:pPr>
              <w:cnfStyle w:val="000000100000" w:firstRow="0" w:lastRow="0" w:firstColumn="0" w:lastColumn="0" w:oddVBand="0" w:evenVBand="0" w:oddHBand="1" w:evenHBand="0" w:firstRowFirstColumn="0" w:firstRowLastColumn="0" w:lastRowFirstColumn="0" w:lastRowLastColumn="0"/>
              <w:rPr>
                <w:i/>
                <w:sz w:val="18"/>
              </w:rPr>
            </w:pPr>
            <w:r>
              <w:rPr>
                <w:i/>
                <w:sz w:val="18"/>
              </w:rPr>
              <w:t>Scenario-dependent</w:t>
            </w:r>
            <w:r w:rsidR="00C15AC3">
              <w:rPr>
                <w:i/>
                <w:sz w:val="18"/>
              </w:rPr>
              <w:t xml:space="preserve"> marginal mix</w:t>
            </w:r>
          </w:p>
        </w:tc>
      </w:tr>
      <w:tr w:rsidR="006E7E78" w14:paraId="08764790" w14:textId="77777777" w:rsidTr="00C15AC3">
        <w:tc>
          <w:tcPr>
            <w:cnfStyle w:val="001000000000" w:firstRow="0" w:lastRow="0" w:firstColumn="1" w:lastColumn="0" w:oddVBand="0" w:evenVBand="0" w:oddHBand="0" w:evenHBand="0" w:firstRowFirstColumn="0" w:firstRowLastColumn="0" w:lastRowFirstColumn="0" w:lastRowLastColumn="0"/>
            <w:tcW w:w="3402" w:type="dxa"/>
          </w:tcPr>
          <w:p w14:paraId="6C53C7E7" w14:textId="3D8FAFEF" w:rsidR="009D616A" w:rsidRPr="00C15AC3" w:rsidRDefault="009D616A" w:rsidP="00C15AC3">
            <w:pPr>
              <w:rPr>
                <w:b w:val="0"/>
                <w:sz w:val="18"/>
              </w:rPr>
            </w:pPr>
            <w:r w:rsidRPr="00C15AC3">
              <w:rPr>
                <w:b w:val="0"/>
                <w:sz w:val="18"/>
              </w:rPr>
              <w:t>Market for water, decarbonized, FR</w:t>
            </w:r>
          </w:p>
        </w:tc>
        <w:tc>
          <w:tcPr>
            <w:tcW w:w="284" w:type="dxa"/>
          </w:tcPr>
          <w:p w14:paraId="6528DBEE" w14:textId="73DC9815" w:rsidR="009D616A" w:rsidRPr="004636E1" w:rsidRDefault="009D616A" w:rsidP="00C15AC3">
            <w:pPr>
              <w:cnfStyle w:val="000000000000" w:firstRow="0" w:lastRow="0" w:firstColumn="0" w:lastColumn="0" w:oddVBand="0" w:evenVBand="0" w:oddHBand="0" w:evenHBand="0" w:firstRowFirstColumn="0" w:firstRowLastColumn="0" w:lastRowFirstColumn="0" w:lastRowLastColumn="0"/>
              <w:rPr>
                <w:sz w:val="18"/>
              </w:rPr>
            </w:pPr>
            <w:r>
              <w:rPr>
                <w:sz w:val="18"/>
              </w:rPr>
              <w:t>kg</w:t>
            </w:r>
          </w:p>
        </w:tc>
        <w:tc>
          <w:tcPr>
            <w:tcW w:w="1134" w:type="dxa"/>
          </w:tcPr>
          <w:p w14:paraId="6B8A32C4" w14:textId="17CBD9CE" w:rsidR="009D616A" w:rsidRPr="004636E1" w:rsidRDefault="009D616A" w:rsidP="00C15AC3">
            <w:pPr>
              <w:cnfStyle w:val="000000000000" w:firstRow="0" w:lastRow="0" w:firstColumn="0" w:lastColumn="0" w:oddVBand="0" w:evenVBand="0" w:oddHBand="0" w:evenHBand="0" w:firstRowFirstColumn="0" w:firstRowLastColumn="0" w:lastRowFirstColumn="0" w:lastRowLastColumn="0"/>
              <w:rPr>
                <w:sz w:val="18"/>
              </w:rPr>
            </w:pPr>
            <w:r>
              <w:rPr>
                <w:sz w:val="18"/>
              </w:rPr>
              <w:t>155.14</w:t>
            </w:r>
          </w:p>
        </w:tc>
        <w:tc>
          <w:tcPr>
            <w:tcW w:w="4252" w:type="dxa"/>
          </w:tcPr>
          <w:p w14:paraId="2FCA8C54" w14:textId="093C6923" w:rsidR="009D616A" w:rsidRDefault="009D616A" w:rsidP="00C15AC3">
            <w:pPr>
              <w:cnfStyle w:val="000000000000" w:firstRow="0" w:lastRow="0" w:firstColumn="0" w:lastColumn="0" w:oddVBand="0" w:evenVBand="0" w:oddHBand="0" w:evenHBand="0" w:firstRowFirstColumn="0" w:firstRowLastColumn="0" w:lastRowFirstColumn="0" w:lastRowLastColumn="0"/>
              <w:rPr>
                <w:i/>
                <w:sz w:val="18"/>
              </w:rPr>
            </w:pPr>
            <w:r>
              <w:rPr>
                <w:i/>
                <w:sz w:val="18"/>
              </w:rPr>
              <w:t>Cooling water</w:t>
            </w:r>
          </w:p>
        </w:tc>
      </w:tr>
      <w:tr w:rsidR="006E7E78" w14:paraId="62815846" w14:textId="77777777" w:rsidTr="00C15AC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402" w:type="dxa"/>
          </w:tcPr>
          <w:p w14:paraId="2F371820" w14:textId="4555188B" w:rsidR="009D616A" w:rsidRPr="00C15AC3" w:rsidRDefault="009D616A" w:rsidP="00C15AC3">
            <w:pPr>
              <w:rPr>
                <w:b w:val="0"/>
                <w:sz w:val="18"/>
              </w:rPr>
            </w:pPr>
            <w:r w:rsidRPr="00C15AC3">
              <w:rPr>
                <w:b w:val="0"/>
                <w:sz w:val="18"/>
              </w:rPr>
              <w:t>Market for chemical factory, organics, GLO</w:t>
            </w:r>
          </w:p>
        </w:tc>
        <w:tc>
          <w:tcPr>
            <w:tcW w:w="284" w:type="dxa"/>
          </w:tcPr>
          <w:p w14:paraId="04C103CD" w14:textId="722C378B" w:rsidR="009D616A" w:rsidRDefault="009D616A" w:rsidP="00C15AC3">
            <w:pPr>
              <w:cnfStyle w:val="000000100000" w:firstRow="0" w:lastRow="0" w:firstColumn="0" w:lastColumn="0" w:oddVBand="0" w:evenVBand="0" w:oddHBand="1" w:evenHBand="0" w:firstRowFirstColumn="0" w:firstRowLastColumn="0" w:lastRowFirstColumn="0" w:lastRowLastColumn="0"/>
              <w:rPr>
                <w:sz w:val="18"/>
              </w:rPr>
            </w:pPr>
            <w:r>
              <w:rPr>
                <w:sz w:val="18"/>
              </w:rPr>
              <w:t>unit</w:t>
            </w:r>
          </w:p>
        </w:tc>
        <w:tc>
          <w:tcPr>
            <w:tcW w:w="1134" w:type="dxa"/>
          </w:tcPr>
          <w:p w14:paraId="762B86B5" w14:textId="046898F7" w:rsidR="009D616A" w:rsidRDefault="009D616A" w:rsidP="00C15AC3">
            <w:pPr>
              <w:cnfStyle w:val="000000100000" w:firstRow="0" w:lastRow="0" w:firstColumn="0" w:lastColumn="0" w:oddVBand="0" w:evenVBand="0" w:oddHBand="1" w:evenHBand="0" w:firstRowFirstColumn="0" w:firstRowLastColumn="0" w:lastRowFirstColumn="0" w:lastRowLastColumn="0"/>
              <w:rPr>
                <w:sz w:val="18"/>
              </w:rPr>
            </w:pPr>
            <w:r>
              <w:rPr>
                <w:sz w:val="18"/>
              </w:rPr>
              <w:t>9.15</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11</w:t>
            </w:r>
          </w:p>
        </w:tc>
        <w:tc>
          <w:tcPr>
            <w:tcW w:w="4252" w:type="dxa"/>
          </w:tcPr>
          <w:p w14:paraId="35CBB23B" w14:textId="583555BF" w:rsidR="009D616A" w:rsidRDefault="009D616A" w:rsidP="00C15AC3">
            <w:pPr>
              <w:cnfStyle w:val="000000100000" w:firstRow="0" w:lastRow="0" w:firstColumn="0" w:lastColumn="0" w:oddVBand="0" w:evenVBand="0" w:oddHBand="1" w:evenHBand="0" w:firstRowFirstColumn="0" w:firstRowLastColumn="0" w:lastRowFirstColumn="0" w:lastRowLastColumn="0"/>
              <w:rPr>
                <w:i/>
                <w:sz w:val="18"/>
              </w:rPr>
            </w:pPr>
            <w:r>
              <w:rPr>
                <w:i/>
                <w:sz w:val="18"/>
              </w:rPr>
              <w:t>Proxy of green ammonia production plant</w:t>
            </w:r>
          </w:p>
        </w:tc>
      </w:tr>
    </w:tbl>
    <w:p w14:paraId="17246347" w14:textId="4B9AB3C3" w:rsidR="00C046E3" w:rsidRDefault="00C046E3" w:rsidP="00C15AC3">
      <w:pPr>
        <w:rPr>
          <w:sz w:val="18"/>
        </w:rPr>
      </w:pPr>
      <w:r>
        <w:rPr>
          <w:sz w:val="18"/>
        </w:rPr>
        <w:t xml:space="preserve">All </w:t>
      </w:r>
      <w:r w:rsidR="00492142">
        <w:rPr>
          <w:sz w:val="18"/>
        </w:rPr>
        <w:t>activities</w:t>
      </w:r>
      <w:r>
        <w:rPr>
          <w:sz w:val="18"/>
        </w:rPr>
        <w:t xml:space="preserve"> are from the </w:t>
      </w:r>
      <w:proofErr w:type="spellStart"/>
      <w:r>
        <w:rPr>
          <w:sz w:val="18"/>
        </w:rPr>
        <w:t>ecoinvent</w:t>
      </w:r>
      <w:proofErr w:type="spellEnd"/>
      <w:r>
        <w:rPr>
          <w:sz w:val="18"/>
        </w:rPr>
        <w:t xml:space="preserve"> 3.8 consequential database.</w:t>
      </w:r>
    </w:p>
    <w:p w14:paraId="3425C6C0" w14:textId="64CACCC2" w:rsidR="00092573" w:rsidRPr="00793512" w:rsidRDefault="0058060F" w:rsidP="0058060F">
      <w:pPr>
        <w:pStyle w:val="Lgende"/>
        <w:jc w:val="left"/>
      </w:pPr>
      <w:bookmarkStart w:id="14" w:name="_Ref151651252"/>
      <w:bookmarkStart w:id="15" w:name="_Toc155516843"/>
      <w:r>
        <w:t>Table SI</w:t>
      </w:r>
      <w:r>
        <w:fldChar w:fldCharType="begin"/>
      </w:r>
      <w:r>
        <w:instrText xml:space="preserve"> SEQ Table \* ARABIC </w:instrText>
      </w:r>
      <w:r>
        <w:fldChar w:fldCharType="separate"/>
      </w:r>
      <w:r w:rsidR="00C65861">
        <w:rPr>
          <w:noProof/>
        </w:rPr>
        <w:t>7</w:t>
      </w:r>
      <w:r>
        <w:fldChar w:fldCharType="end"/>
      </w:r>
      <w:bookmarkEnd w:id="14"/>
      <w:r>
        <w:t xml:space="preserve"> </w:t>
      </w:r>
      <w:r w:rsidR="00092573" w:rsidRPr="00793512">
        <w:t xml:space="preserve">– </w:t>
      </w:r>
      <w:r w:rsidR="00C53179">
        <w:t>LCA scores</w:t>
      </w:r>
      <w:r w:rsidR="00092573" w:rsidRPr="00793512">
        <w:t xml:space="preserve"> of marginal </w:t>
      </w:r>
      <w:r w:rsidR="00092573">
        <w:t>fertilizer and fertilizing services</w:t>
      </w:r>
      <w:r w:rsidR="00092573" w:rsidRPr="00793512">
        <w:t xml:space="preserve"> in </w:t>
      </w:r>
      <w:r w:rsidR="00C53179">
        <w:t xml:space="preserve">three future </w:t>
      </w:r>
      <w:r w:rsidR="00092573" w:rsidRPr="00793512">
        <w:t>energy scenarios</w:t>
      </w:r>
      <w:bookmarkEnd w:id="15"/>
    </w:p>
    <w:tbl>
      <w:tblPr>
        <w:tblStyle w:val="Tableausimple2"/>
        <w:tblW w:w="0" w:type="auto"/>
        <w:jc w:val="center"/>
        <w:tblLook w:val="04A0" w:firstRow="1" w:lastRow="0" w:firstColumn="1" w:lastColumn="0" w:noHBand="0" w:noVBand="1"/>
      </w:tblPr>
      <w:tblGrid>
        <w:gridCol w:w="2399"/>
        <w:gridCol w:w="1977"/>
        <w:gridCol w:w="2003"/>
        <w:gridCol w:w="2693"/>
      </w:tblGrid>
      <w:tr w:rsidR="00092573" w:rsidRPr="00AE3D44" w14:paraId="5DD46A99" w14:textId="77777777" w:rsidTr="00C15AC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284695C2" w14:textId="77777777" w:rsidR="00092573" w:rsidRPr="0098795B" w:rsidRDefault="00092573" w:rsidP="00C15AC3">
            <w:pPr>
              <w:pStyle w:val="Contenudetableau"/>
              <w:rPr>
                <w:rFonts w:ascii="Calibri" w:hAnsi="Calibri"/>
                <w:bCs w:val="0"/>
                <w:color w:val="000000"/>
                <w:sz w:val="18"/>
                <w:szCs w:val="18"/>
              </w:rPr>
            </w:pPr>
            <w:r w:rsidRPr="0098795B">
              <w:rPr>
                <w:bCs w:val="0"/>
                <w:color w:val="000000"/>
                <w:sz w:val="18"/>
                <w:szCs w:val="18"/>
              </w:rPr>
              <w:t>Technology group (% in mix)</w:t>
            </w:r>
          </w:p>
        </w:tc>
        <w:tc>
          <w:tcPr>
            <w:tcW w:w="1977" w:type="dxa"/>
          </w:tcPr>
          <w:p w14:paraId="36EBFD6F" w14:textId="77777777" w:rsidR="00092573" w:rsidRPr="0098795B" w:rsidRDefault="00092573" w:rsidP="00C15AC3">
            <w:pPr>
              <w:pStyle w:val="Contenudetableau"/>
              <w:cnfStyle w:val="100000000000" w:firstRow="1" w:lastRow="0" w:firstColumn="0" w:lastColumn="0" w:oddVBand="0" w:evenVBand="0" w:oddHBand="0" w:evenHBand="0" w:firstRowFirstColumn="0" w:firstRowLastColumn="0" w:lastRowFirstColumn="0" w:lastRowLastColumn="0"/>
              <w:rPr>
                <w:rFonts w:ascii="Calibri" w:hAnsi="Calibri"/>
                <w:bCs w:val="0"/>
                <w:color w:val="000000"/>
                <w:sz w:val="18"/>
                <w:szCs w:val="18"/>
              </w:rPr>
            </w:pPr>
            <w:r w:rsidRPr="0098795B">
              <w:rPr>
                <w:color w:val="000000"/>
                <w:sz w:val="18"/>
                <w:szCs w:val="18"/>
              </w:rPr>
              <w:t>Toward renewable energies</w:t>
            </w:r>
          </w:p>
        </w:tc>
        <w:tc>
          <w:tcPr>
            <w:tcW w:w="2003" w:type="dxa"/>
          </w:tcPr>
          <w:p w14:paraId="16664984" w14:textId="77777777" w:rsidR="00092573" w:rsidRPr="0098795B" w:rsidRDefault="00092573" w:rsidP="00C15AC3">
            <w:pPr>
              <w:pStyle w:val="Contenudetableau"/>
              <w:cnfStyle w:val="100000000000" w:firstRow="1" w:lastRow="0" w:firstColumn="0" w:lastColumn="0" w:oddVBand="0" w:evenVBand="0" w:oddHBand="0" w:evenHBand="0" w:firstRowFirstColumn="0" w:firstRowLastColumn="0" w:lastRowFirstColumn="0" w:lastRowLastColumn="0"/>
              <w:rPr>
                <w:bCs w:val="0"/>
                <w:color w:val="000000"/>
                <w:sz w:val="18"/>
                <w:szCs w:val="18"/>
              </w:rPr>
            </w:pPr>
            <w:r w:rsidRPr="0098795B">
              <w:rPr>
                <w:color w:val="000000"/>
                <w:sz w:val="18"/>
                <w:szCs w:val="18"/>
              </w:rPr>
              <w:t>Towards high electrification</w:t>
            </w:r>
          </w:p>
        </w:tc>
        <w:tc>
          <w:tcPr>
            <w:tcW w:w="2693" w:type="dxa"/>
          </w:tcPr>
          <w:p w14:paraId="6D1F1DA6" w14:textId="77777777" w:rsidR="00092573" w:rsidRPr="007F4C02" w:rsidRDefault="00092573" w:rsidP="00C15AC3">
            <w:pPr>
              <w:pStyle w:val="Contenudetableau"/>
              <w:cnfStyle w:val="100000000000" w:firstRow="1" w:lastRow="0" w:firstColumn="0" w:lastColumn="0" w:oddVBand="0" w:evenVBand="0" w:oddHBand="0" w:evenHBand="0" w:firstRowFirstColumn="0" w:firstRowLastColumn="0" w:lastRowFirstColumn="0" w:lastRowLastColumn="0"/>
              <w:rPr>
                <w:b w:val="0"/>
                <w:bCs w:val="0"/>
                <w:color w:val="000000"/>
                <w:sz w:val="18"/>
                <w:szCs w:val="18"/>
                <w:vertAlign w:val="superscript"/>
                <w:lang w:val="fr-FR"/>
              </w:rPr>
            </w:pPr>
            <w:r w:rsidRPr="007F4C02">
              <w:rPr>
                <w:color w:val="000000"/>
                <w:sz w:val="18"/>
                <w:szCs w:val="18"/>
                <w:lang w:val="fr-FR"/>
              </w:rPr>
              <w:t>Average EU situation, 2030</w:t>
            </w:r>
            <w:r w:rsidRPr="007F4C02">
              <w:rPr>
                <w:color w:val="000000"/>
                <w:sz w:val="18"/>
                <w:szCs w:val="18"/>
                <w:vertAlign w:val="superscript"/>
                <w:lang w:val="fr-FR"/>
              </w:rPr>
              <w:t>*</w:t>
            </w:r>
          </w:p>
          <w:p w14:paraId="5DC15B32" w14:textId="77777777" w:rsidR="00092573" w:rsidRPr="007F4C02" w:rsidRDefault="00092573" w:rsidP="00C15AC3">
            <w:pPr>
              <w:pStyle w:val="Contenudetableau"/>
              <w:cnfStyle w:val="100000000000" w:firstRow="1" w:lastRow="0" w:firstColumn="0" w:lastColumn="0" w:oddVBand="0" w:evenVBand="0" w:oddHBand="0" w:evenHBand="0" w:firstRowFirstColumn="0" w:firstRowLastColumn="0" w:lastRowFirstColumn="0" w:lastRowLastColumn="0"/>
              <w:rPr>
                <w:bCs w:val="0"/>
                <w:color w:val="000000"/>
                <w:sz w:val="18"/>
                <w:szCs w:val="18"/>
                <w:lang w:val="fr-FR"/>
              </w:rPr>
            </w:pPr>
            <w:r w:rsidRPr="007F4C02">
              <w:rPr>
                <w:color w:val="000000"/>
                <w:sz w:val="18"/>
                <w:szCs w:val="18"/>
                <w:lang w:val="fr-FR"/>
              </w:rPr>
              <w:t>(</w:t>
            </w:r>
            <w:r w:rsidRPr="007F4C02">
              <w:rPr>
                <w:i/>
                <w:color w:val="000000"/>
                <w:sz w:val="18"/>
                <w:szCs w:val="18"/>
                <w:lang w:val="fr-FR"/>
              </w:rPr>
              <w:t xml:space="preserve">Illustrative </w:t>
            </w:r>
            <w:proofErr w:type="spellStart"/>
            <w:r w:rsidRPr="007F4C02">
              <w:rPr>
                <w:i/>
                <w:color w:val="000000"/>
                <w:sz w:val="18"/>
                <w:szCs w:val="18"/>
                <w:lang w:val="fr-FR"/>
              </w:rPr>
              <w:t>purposes</w:t>
            </w:r>
            <w:proofErr w:type="spellEnd"/>
            <w:r w:rsidRPr="007F4C02">
              <w:rPr>
                <w:color w:val="000000"/>
                <w:sz w:val="18"/>
                <w:szCs w:val="18"/>
                <w:lang w:val="fr-FR"/>
              </w:rPr>
              <w:t>)</w:t>
            </w:r>
          </w:p>
        </w:tc>
      </w:tr>
      <w:tr w:rsidR="00092573" w:rsidRPr="0098795B" w14:paraId="0D7E9871"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390A5CD4" w14:textId="3E3B02BD" w:rsidR="00092573" w:rsidRPr="00DF637C" w:rsidRDefault="00092573" w:rsidP="00C15AC3">
            <w:pPr>
              <w:pStyle w:val="Contenudetableau"/>
              <w:rPr>
                <w:rFonts w:ascii="Calibri" w:hAnsi="Calibri"/>
                <w:b w:val="0"/>
                <w:color w:val="000000"/>
                <w:sz w:val="18"/>
                <w:szCs w:val="18"/>
              </w:rPr>
            </w:pPr>
            <w:r>
              <w:rPr>
                <w:rFonts w:ascii="Calibri" w:hAnsi="Calibri"/>
                <w:b w:val="0"/>
                <w:color w:val="000000"/>
                <w:sz w:val="18"/>
                <w:szCs w:val="18"/>
              </w:rPr>
              <w:t>Conventional inorganic N</w:t>
            </w:r>
          </w:p>
        </w:tc>
        <w:tc>
          <w:tcPr>
            <w:tcW w:w="1977" w:type="dxa"/>
          </w:tcPr>
          <w:p w14:paraId="5D980469" w14:textId="0A16857F" w:rsidR="00092573" w:rsidRPr="0098795B" w:rsidRDefault="00092573"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100%</w:t>
            </w:r>
          </w:p>
        </w:tc>
        <w:tc>
          <w:tcPr>
            <w:tcW w:w="2003" w:type="dxa"/>
          </w:tcPr>
          <w:p w14:paraId="2BEE105B" w14:textId="77777777" w:rsidR="00092573" w:rsidRPr="0098795B" w:rsidRDefault="00092573"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p>
        </w:tc>
        <w:tc>
          <w:tcPr>
            <w:tcW w:w="2693" w:type="dxa"/>
          </w:tcPr>
          <w:p w14:paraId="66F62F39" w14:textId="553C6634" w:rsidR="00092573" w:rsidRPr="0098795B" w:rsidRDefault="00092573"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100%</w:t>
            </w:r>
          </w:p>
        </w:tc>
      </w:tr>
      <w:tr w:rsidR="00092573" w:rsidRPr="0098795B" w14:paraId="2FC02D8B"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4CAAEEC2" w14:textId="47F60F3B" w:rsidR="00092573" w:rsidRPr="00DF637C" w:rsidRDefault="00092573" w:rsidP="00C15AC3">
            <w:pPr>
              <w:pStyle w:val="Contenudetableau"/>
              <w:rPr>
                <w:rFonts w:ascii="Calibri" w:hAnsi="Calibri"/>
                <w:b w:val="0"/>
                <w:color w:val="000000"/>
                <w:sz w:val="18"/>
                <w:szCs w:val="18"/>
              </w:rPr>
            </w:pPr>
            <w:r>
              <w:rPr>
                <w:rFonts w:ascii="Calibri" w:hAnsi="Calibri"/>
                <w:b w:val="0"/>
                <w:color w:val="000000"/>
                <w:sz w:val="18"/>
                <w:szCs w:val="18"/>
              </w:rPr>
              <w:t>Green ammonia-based N</w:t>
            </w:r>
          </w:p>
        </w:tc>
        <w:tc>
          <w:tcPr>
            <w:tcW w:w="1977" w:type="dxa"/>
          </w:tcPr>
          <w:p w14:paraId="54965BCC" w14:textId="19EAE8FB" w:rsidR="00092573" w:rsidRPr="0098795B" w:rsidRDefault="00092573"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p>
        </w:tc>
        <w:tc>
          <w:tcPr>
            <w:tcW w:w="2003" w:type="dxa"/>
          </w:tcPr>
          <w:p w14:paraId="274C7A5A" w14:textId="3DB66DF7" w:rsidR="00092573" w:rsidRPr="0098795B" w:rsidRDefault="00092573"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100%</w:t>
            </w:r>
          </w:p>
        </w:tc>
        <w:tc>
          <w:tcPr>
            <w:tcW w:w="2693" w:type="dxa"/>
          </w:tcPr>
          <w:p w14:paraId="3BFE8EFC" w14:textId="77777777" w:rsidR="00092573" w:rsidRPr="0098795B" w:rsidRDefault="00092573"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p>
        </w:tc>
      </w:tr>
      <w:tr w:rsidR="00092573" w:rsidRPr="0098795B" w14:paraId="277042D9"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7A9FF8B9" w14:textId="23EB1CA0" w:rsidR="00092573" w:rsidRPr="00DF637C" w:rsidRDefault="00092573" w:rsidP="00C15AC3">
            <w:pPr>
              <w:pStyle w:val="Contenudetableau"/>
              <w:rPr>
                <w:rFonts w:ascii="Calibri" w:hAnsi="Calibri"/>
                <w:b w:val="0"/>
                <w:color w:val="000000"/>
                <w:sz w:val="18"/>
                <w:szCs w:val="18"/>
              </w:rPr>
            </w:pPr>
            <w:r>
              <w:rPr>
                <w:rFonts w:ascii="Calibri" w:hAnsi="Calibri"/>
                <w:b w:val="0"/>
                <w:color w:val="000000"/>
                <w:sz w:val="18"/>
                <w:szCs w:val="18"/>
              </w:rPr>
              <w:t>Conventional inorganic P</w:t>
            </w:r>
            <w:r w:rsidRPr="00092573">
              <w:rPr>
                <w:rFonts w:ascii="Calibri" w:hAnsi="Calibri"/>
                <w:b w:val="0"/>
                <w:color w:val="000000"/>
                <w:sz w:val="18"/>
                <w:szCs w:val="18"/>
                <w:vertAlign w:val="subscript"/>
              </w:rPr>
              <w:t>2</w:t>
            </w:r>
            <w:r>
              <w:rPr>
                <w:rFonts w:ascii="Calibri" w:hAnsi="Calibri"/>
                <w:b w:val="0"/>
                <w:color w:val="000000"/>
                <w:sz w:val="18"/>
                <w:szCs w:val="18"/>
              </w:rPr>
              <w:t>O</w:t>
            </w:r>
            <w:r w:rsidRPr="00092573">
              <w:rPr>
                <w:rFonts w:ascii="Calibri" w:hAnsi="Calibri"/>
                <w:b w:val="0"/>
                <w:color w:val="000000"/>
                <w:sz w:val="18"/>
                <w:szCs w:val="18"/>
                <w:vertAlign w:val="subscript"/>
              </w:rPr>
              <w:t>5</w:t>
            </w:r>
          </w:p>
        </w:tc>
        <w:tc>
          <w:tcPr>
            <w:tcW w:w="1977" w:type="dxa"/>
          </w:tcPr>
          <w:p w14:paraId="6615B921" w14:textId="042D0ED3" w:rsidR="00092573" w:rsidRPr="0098795B" w:rsidRDefault="00092573"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100%</w:t>
            </w:r>
          </w:p>
        </w:tc>
        <w:tc>
          <w:tcPr>
            <w:tcW w:w="2003" w:type="dxa"/>
          </w:tcPr>
          <w:p w14:paraId="6A6C24CA" w14:textId="444770AB" w:rsidR="00092573" w:rsidRPr="0098795B" w:rsidRDefault="00092573"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100%</w:t>
            </w:r>
          </w:p>
        </w:tc>
        <w:tc>
          <w:tcPr>
            <w:tcW w:w="2693" w:type="dxa"/>
          </w:tcPr>
          <w:p w14:paraId="51CC589C" w14:textId="3D3D0992" w:rsidR="00092573" w:rsidRPr="0098795B" w:rsidRDefault="00092573"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100%</w:t>
            </w:r>
          </w:p>
        </w:tc>
      </w:tr>
      <w:tr w:rsidR="00092573" w:rsidRPr="0098795B" w14:paraId="0471E5E4"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18C14112" w14:textId="0EA6126A" w:rsidR="00092573" w:rsidRPr="00DF637C" w:rsidRDefault="00092573" w:rsidP="00C15AC3">
            <w:pPr>
              <w:pStyle w:val="Contenudetableau"/>
              <w:rPr>
                <w:rFonts w:ascii="Calibri" w:hAnsi="Calibri"/>
                <w:b w:val="0"/>
                <w:color w:val="000000"/>
                <w:sz w:val="18"/>
                <w:szCs w:val="18"/>
              </w:rPr>
            </w:pPr>
            <w:r>
              <w:rPr>
                <w:rFonts w:ascii="Calibri" w:hAnsi="Calibri"/>
                <w:b w:val="0"/>
                <w:color w:val="000000"/>
                <w:sz w:val="18"/>
                <w:szCs w:val="18"/>
              </w:rPr>
              <w:t>Conventional inorganic K</w:t>
            </w:r>
            <w:r w:rsidRPr="00092573">
              <w:rPr>
                <w:rFonts w:ascii="Calibri" w:hAnsi="Calibri"/>
                <w:b w:val="0"/>
                <w:color w:val="000000"/>
                <w:sz w:val="18"/>
                <w:szCs w:val="18"/>
                <w:vertAlign w:val="subscript"/>
              </w:rPr>
              <w:t>2</w:t>
            </w:r>
            <w:r>
              <w:rPr>
                <w:rFonts w:ascii="Calibri" w:hAnsi="Calibri"/>
                <w:b w:val="0"/>
                <w:color w:val="000000"/>
                <w:sz w:val="18"/>
                <w:szCs w:val="18"/>
              </w:rPr>
              <w:t>O</w:t>
            </w:r>
          </w:p>
        </w:tc>
        <w:tc>
          <w:tcPr>
            <w:tcW w:w="1977" w:type="dxa"/>
          </w:tcPr>
          <w:p w14:paraId="48EA18E5" w14:textId="13D5100D" w:rsidR="00092573" w:rsidRPr="0098795B" w:rsidRDefault="00092573"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100%</w:t>
            </w:r>
          </w:p>
        </w:tc>
        <w:tc>
          <w:tcPr>
            <w:tcW w:w="2003" w:type="dxa"/>
          </w:tcPr>
          <w:p w14:paraId="57C9DC5C" w14:textId="36C7FC97" w:rsidR="00092573" w:rsidRPr="0098795B" w:rsidRDefault="00092573"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100%</w:t>
            </w:r>
          </w:p>
        </w:tc>
        <w:tc>
          <w:tcPr>
            <w:tcW w:w="2693" w:type="dxa"/>
          </w:tcPr>
          <w:p w14:paraId="7617A716" w14:textId="68838077" w:rsidR="00092573" w:rsidRPr="0098795B" w:rsidRDefault="00092573"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100%</w:t>
            </w:r>
          </w:p>
        </w:tc>
      </w:tr>
      <w:tr w:rsidR="00092573" w:rsidRPr="0098795B" w14:paraId="11DFC0BE"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208D08B6" w14:textId="77777777" w:rsidR="00092573" w:rsidRPr="00DF637C" w:rsidRDefault="00092573" w:rsidP="00C15AC3">
            <w:pPr>
              <w:pStyle w:val="Contenudetableau"/>
              <w:rPr>
                <w:b w:val="0"/>
                <w:i/>
                <w:sz w:val="18"/>
              </w:rPr>
            </w:pPr>
            <w:r w:rsidRPr="00DF637C">
              <w:rPr>
                <w:b w:val="0"/>
                <w:i/>
                <w:sz w:val="18"/>
              </w:rPr>
              <w:t>Comment</w:t>
            </w:r>
          </w:p>
        </w:tc>
        <w:tc>
          <w:tcPr>
            <w:tcW w:w="6673" w:type="dxa"/>
            <w:gridSpan w:val="3"/>
          </w:tcPr>
          <w:p w14:paraId="5D940063" w14:textId="0B76638C" w:rsidR="00092573" w:rsidRPr="00DF637C" w:rsidRDefault="00092573" w:rsidP="00C15AC3">
            <w:pPr>
              <w:pStyle w:val="Contenudetableau"/>
              <w:cnfStyle w:val="000000100000" w:firstRow="0" w:lastRow="0" w:firstColumn="0" w:lastColumn="0" w:oddVBand="0" w:evenVBand="0" w:oddHBand="1" w:evenHBand="0" w:firstRowFirstColumn="0" w:firstRowLastColumn="0" w:lastRowFirstColumn="0" w:lastRowLastColumn="0"/>
              <w:rPr>
                <w:i/>
                <w:color w:val="000000"/>
                <w:sz w:val="18"/>
              </w:rPr>
            </w:pPr>
            <w:r w:rsidRPr="00DF637C">
              <w:rPr>
                <w:i/>
                <w:color w:val="000000"/>
                <w:sz w:val="18"/>
              </w:rPr>
              <w:t xml:space="preserve">Considering </w:t>
            </w:r>
            <w:r w:rsidR="00C53179">
              <w:rPr>
                <w:i/>
                <w:color w:val="000000"/>
                <w:sz w:val="18"/>
              </w:rPr>
              <w:t xml:space="preserve">the </w:t>
            </w:r>
            <w:r w:rsidRPr="00DF637C">
              <w:rPr>
                <w:i/>
                <w:color w:val="000000"/>
                <w:sz w:val="18"/>
              </w:rPr>
              <w:t xml:space="preserve">corresponding marginal power mix for each scenario as in </w:t>
            </w:r>
            <w:r w:rsidR="00C15AC3" w:rsidRPr="0058060F">
              <w:rPr>
                <w:b/>
                <w:i/>
                <w:color w:val="000000"/>
                <w:sz w:val="18"/>
                <w:szCs w:val="18"/>
                <w:highlight w:val="yellow"/>
              </w:rPr>
              <w:fldChar w:fldCharType="begin"/>
            </w:r>
            <w:r w:rsidR="00C15AC3" w:rsidRPr="0058060F">
              <w:rPr>
                <w:b/>
                <w:i/>
                <w:color w:val="000000"/>
                <w:sz w:val="18"/>
                <w:szCs w:val="18"/>
                <w:highlight w:val="yellow"/>
              </w:rPr>
              <w:instrText xml:space="preserve"> REF _Ref151650016 \h  \* MERGEFORMAT </w:instrText>
            </w:r>
            <w:r w:rsidR="00C15AC3" w:rsidRPr="0058060F">
              <w:rPr>
                <w:b/>
                <w:i/>
                <w:color w:val="000000"/>
                <w:sz w:val="18"/>
                <w:szCs w:val="18"/>
                <w:highlight w:val="yellow"/>
              </w:rPr>
            </w:r>
            <w:r w:rsidR="00C15AC3" w:rsidRPr="0058060F">
              <w:rPr>
                <w:b/>
                <w:i/>
                <w:color w:val="000000"/>
                <w:sz w:val="18"/>
                <w:szCs w:val="18"/>
                <w:highlight w:val="yellow"/>
              </w:rPr>
              <w:fldChar w:fldCharType="separate"/>
            </w:r>
            <w:r w:rsidR="00C15AC3" w:rsidRPr="0058060F">
              <w:rPr>
                <w:b/>
                <w:i/>
                <w:sz w:val="18"/>
                <w:szCs w:val="18"/>
              </w:rPr>
              <w:t>Table SI</w:t>
            </w:r>
            <w:r w:rsidR="00C15AC3" w:rsidRPr="0058060F">
              <w:rPr>
                <w:b/>
                <w:i/>
                <w:noProof/>
                <w:sz w:val="18"/>
                <w:szCs w:val="18"/>
              </w:rPr>
              <w:t>2</w:t>
            </w:r>
            <w:r w:rsidR="00C15AC3" w:rsidRPr="0058060F">
              <w:rPr>
                <w:b/>
                <w:i/>
                <w:color w:val="000000"/>
                <w:sz w:val="18"/>
                <w:szCs w:val="18"/>
                <w:highlight w:val="yellow"/>
              </w:rPr>
              <w:fldChar w:fldCharType="end"/>
            </w:r>
            <w:r w:rsidR="00C15AC3" w:rsidRPr="00DF637C">
              <w:rPr>
                <w:i/>
                <w:color w:val="000000"/>
                <w:sz w:val="18"/>
              </w:rPr>
              <w:t>.</w:t>
            </w:r>
          </w:p>
        </w:tc>
      </w:tr>
      <w:tr w:rsidR="00092573" w:rsidRPr="0098795B" w14:paraId="0E1C26E9"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7E6E6" w:themeFill="background2"/>
          </w:tcPr>
          <w:p w14:paraId="4FF1E648" w14:textId="5AA40C18" w:rsidR="00092573" w:rsidRPr="00092573" w:rsidRDefault="00092573" w:rsidP="00C15AC3">
            <w:pPr>
              <w:pStyle w:val="Contenudetableau"/>
              <w:rPr>
                <w:b w:val="0"/>
                <w:bCs w:val="0"/>
                <w:sz w:val="18"/>
              </w:rPr>
            </w:pPr>
            <w:r>
              <w:rPr>
                <w:sz w:val="18"/>
              </w:rPr>
              <w:t xml:space="preserve">Environmental </w:t>
            </w:r>
            <w:r w:rsidRPr="00C15AC3">
              <w:rPr>
                <w:sz w:val="18"/>
                <w:shd w:val="clear" w:color="auto" w:fill="E7E6E6" w:themeFill="background2"/>
              </w:rPr>
              <w:t xml:space="preserve">impacts (EF 3.0), expressed per </w:t>
            </w:r>
            <w:proofErr w:type="spellStart"/>
            <w:r w:rsidRPr="00C15AC3">
              <w:rPr>
                <w:sz w:val="18"/>
                <w:shd w:val="clear" w:color="auto" w:fill="E7E6E6" w:themeFill="background2"/>
              </w:rPr>
              <w:t>kgN</w:t>
            </w:r>
            <w:proofErr w:type="spellEnd"/>
            <w:r w:rsidRPr="00C15AC3">
              <w:rPr>
                <w:sz w:val="18"/>
                <w:shd w:val="clear" w:color="auto" w:fill="E7E6E6" w:themeFill="background2"/>
              </w:rPr>
              <w:t xml:space="preserve"> supplied (fertilizer</w:t>
            </w:r>
            <w:r w:rsidR="006E7E78" w:rsidRPr="00C15AC3">
              <w:rPr>
                <w:sz w:val="18"/>
                <w:shd w:val="clear" w:color="auto" w:fill="E7E6E6" w:themeFill="background2"/>
              </w:rPr>
              <w:t xml:space="preserve"> service</w:t>
            </w:r>
            <w:r w:rsidRPr="00C15AC3">
              <w:rPr>
                <w:sz w:val="18"/>
                <w:shd w:val="clear" w:color="auto" w:fill="E7E6E6" w:themeFill="background2"/>
              </w:rPr>
              <w:t>)</w:t>
            </w:r>
          </w:p>
        </w:tc>
      </w:tr>
      <w:tr w:rsidR="00092573" w:rsidRPr="0098795B" w14:paraId="0160D3EE"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690D6872" w14:textId="77777777" w:rsidR="00092573" w:rsidRPr="0098795B" w:rsidRDefault="00092573" w:rsidP="00C15AC3">
            <w:pPr>
              <w:pStyle w:val="Contenudetableau"/>
              <w:rPr>
                <w:sz w:val="18"/>
              </w:rPr>
            </w:pPr>
            <w:r w:rsidRPr="00C17A27">
              <w:rPr>
                <w:b w:val="0"/>
                <w:sz w:val="18"/>
              </w:rPr>
              <w:t>Climate change (kgCO</w:t>
            </w:r>
            <w:r w:rsidRPr="00C17A27">
              <w:rPr>
                <w:b w:val="0"/>
                <w:sz w:val="18"/>
                <w:vertAlign w:val="subscript"/>
              </w:rPr>
              <w:t>2</w:t>
            </w:r>
            <w:r w:rsidRPr="00C17A27">
              <w:rPr>
                <w:b w:val="0"/>
                <w:sz w:val="18"/>
              </w:rPr>
              <w:t>-eq)</w:t>
            </w:r>
          </w:p>
        </w:tc>
        <w:tc>
          <w:tcPr>
            <w:tcW w:w="1977" w:type="dxa"/>
          </w:tcPr>
          <w:p w14:paraId="426CD945" w14:textId="09A7EE7C" w:rsidR="00092573" w:rsidRPr="0098795B" w:rsidRDefault="00092573"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4.17</w:t>
            </w:r>
          </w:p>
        </w:tc>
        <w:tc>
          <w:tcPr>
            <w:tcW w:w="2003" w:type="dxa"/>
          </w:tcPr>
          <w:p w14:paraId="64D80F92" w14:textId="6468C7B4" w:rsidR="00092573" w:rsidRPr="0098795B" w:rsidRDefault="00092573"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w:t>
            </w:r>
            <w:r w:rsidR="006E7E78">
              <w:rPr>
                <w:color w:val="000000"/>
                <w:sz w:val="18"/>
              </w:rPr>
              <w:t>10</w:t>
            </w:r>
          </w:p>
        </w:tc>
        <w:tc>
          <w:tcPr>
            <w:tcW w:w="2693" w:type="dxa"/>
          </w:tcPr>
          <w:p w14:paraId="4FDA3645" w14:textId="588D6B26" w:rsidR="00092573" w:rsidRPr="0098795B" w:rsidRDefault="00092573"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4.17</w:t>
            </w:r>
          </w:p>
        </w:tc>
      </w:tr>
      <w:tr w:rsidR="00092573" w:rsidRPr="0098795B" w14:paraId="0EBD17AF"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7AAF0349" w14:textId="77777777" w:rsidR="00092573" w:rsidRPr="00C17A27" w:rsidRDefault="00092573" w:rsidP="00C15AC3">
            <w:pPr>
              <w:pStyle w:val="Contenudetableau"/>
              <w:rPr>
                <w:sz w:val="18"/>
              </w:rPr>
            </w:pPr>
            <w:r w:rsidRPr="00C17A27">
              <w:rPr>
                <w:b w:val="0"/>
                <w:sz w:val="18"/>
              </w:rPr>
              <w:t>Marine eutrophic</w:t>
            </w:r>
            <w:r>
              <w:rPr>
                <w:b w:val="0"/>
                <w:sz w:val="18"/>
              </w:rPr>
              <w:t>.</w:t>
            </w:r>
            <w:r w:rsidRPr="00C17A27">
              <w:rPr>
                <w:b w:val="0"/>
                <w:sz w:val="18"/>
              </w:rPr>
              <w:t xml:space="preserve"> (</w:t>
            </w:r>
            <w:proofErr w:type="spellStart"/>
            <w:r w:rsidRPr="00C17A27">
              <w:rPr>
                <w:b w:val="0"/>
                <w:sz w:val="18"/>
              </w:rPr>
              <w:t>kgN</w:t>
            </w:r>
            <w:proofErr w:type="spellEnd"/>
            <w:r w:rsidRPr="00C17A27">
              <w:rPr>
                <w:b w:val="0"/>
                <w:sz w:val="18"/>
              </w:rPr>
              <w:t>-eq)</w:t>
            </w:r>
          </w:p>
        </w:tc>
        <w:tc>
          <w:tcPr>
            <w:tcW w:w="1977" w:type="dxa"/>
          </w:tcPr>
          <w:p w14:paraId="271DFFB5" w14:textId="42C4A92C" w:rsidR="00092573" w:rsidRPr="00C17A27" w:rsidRDefault="0087414D"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4.5</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3</w:t>
            </w:r>
          </w:p>
        </w:tc>
        <w:tc>
          <w:tcPr>
            <w:tcW w:w="2003" w:type="dxa"/>
          </w:tcPr>
          <w:p w14:paraId="44E78F41" w14:textId="0C61EB5C" w:rsidR="00092573" w:rsidRDefault="00092573"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4.2</w:t>
            </w:r>
            <w:r w:rsidR="006E7E78">
              <w:rPr>
                <w:rFonts w:ascii="Calibri" w:hAnsi="Calibri"/>
                <w:color w:val="000000"/>
                <w:sz w:val="18"/>
                <w:szCs w:val="18"/>
              </w:rPr>
              <w:t>2</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3</w:t>
            </w:r>
          </w:p>
        </w:tc>
        <w:tc>
          <w:tcPr>
            <w:tcW w:w="2693" w:type="dxa"/>
          </w:tcPr>
          <w:p w14:paraId="026F9BEA" w14:textId="752BC1E8" w:rsidR="00092573" w:rsidRDefault="00092573"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4.5</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3</w:t>
            </w:r>
          </w:p>
        </w:tc>
      </w:tr>
      <w:tr w:rsidR="00092573" w:rsidRPr="0098795B" w14:paraId="61E0DFF6"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0742467C" w14:textId="77777777" w:rsidR="00092573" w:rsidRPr="00C17A27" w:rsidRDefault="00092573" w:rsidP="00C15AC3">
            <w:pPr>
              <w:pStyle w:val="Contenudetableau"/>
              <w:rPr>
                <w:sz w:val="18"/>
              </w:rPr>
            </w:pPr>
            <w:r w:rsidRPr="00C17A27">
              <w:rPr>
                <w:b w:val="0"/>
                <w:sz w:val="18"/>
              </w:rPr>
              <w:t>Land use (points)</w:t>
            </w:r>
          </w:p>
        </w:tc>
        <w:tc>
          <w:tcPr>
            <w:tcW w:w="1977" w:type="dxa"/>
          </w:tcPr>
          <w:p w14:paraId="1496A61E" w14:textId="30F04DA0" w:rsidR="00092573" w:rsidRPr="00C17A27" w:rsidRDefault="00092573"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22.7</w:t>
            </w:r>
          </w:p>
        </w:tc>
        <w:tc>
          <w:tcPr>
            <w:tcW w:w="2003" w:type="dxa"/>
          </w:tcPr>
          <w:p w14:paraId="726F80AC" w14:textId="7358B07C" w:rsidR="00092573" w:rsidRPr="00C17A27" w:rsidRDefault="006E7E78"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21.8</w:t>
            </w:r>
          </w:p>
        </w:tc>
        <w:tc>
          <w:tcPr>
            <w:tcW w:w="2693" w:type="dxa"/>
          </w:tcPr>
          <w:p w14:paraId="3AA83408" w14:textId="5B838529" w:rsidR="00092573" w:rsidRDefault="00092573"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22.7</w:t>
            </w:r>
          </w:p>
        </w:tc>
      </w:tr>
      <w:tr w:rsidR="00092573" w:rsidRPr="0098795B" w14:paraId="72BE8EDC"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0AFCBE08" w14:textId="77777777" w:rsidR="00092573" w:rsidRPr="00C17A27" w:rsidRDefault="00092573" w:rsidP="00C15AC3">
            <w:pPr>
              <w:pStyle w:val="Contenudetableau"/>
              <w:rPr>
                <w:sz w:val="18"/>
              </w:rPr>
            </w:pPr>
            <w:r w:rsidRPr="00C17A27">
              <w:rPr>
                <w:b w:val="0"/>
                <w:color w:val="000000"/>
                <w:sz w:val="18"/>
                <w:szCs w:val="18"/>
              </w:rPr>
              <w:t>Water use (m</w:t>
            </w:r>
            <w:r w:rsidRPr="00C17A27">
              <w:rPr>
                <w:b w:val="0"/>
                <w:color w:val="000000"/>
                <w:sz w:val="18"/>
                <w:szCs w:val="18"/>
                <w:vertAlign w:val="superscript"/>
              </w:rPr>
              <w:t>3</w:t>
            </w:r>
            <w:r w:rsidRPr="00C17A27">
              <w:rPr>
                <w:b w:val="0"/>
                <w:color w:val="000000"/>
                <w:sz w:val="18"/>
                <w:szCs w:val="18"/>
              </w:rPr>
              <w:t>-eq)</w:t>
            </w:r>
          </w:p>
        </w:tc>
        <w:tc>
          <w:tcPr>
            <w:tcW w:w="1977" w:type="dxa"/>
          </w:tcPr>
          <w:p w14:paraId="1D12EE55" w14:textId="234C636E" w:rsidR="00092573" w:rsidRDefault="00092573"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5.21</w:t>
            </w:r>
          </w:p>
        </w:tc>
        <w:tc>
          <w:tcPr>
            <w:tcW w:w="2003" w:type="dxa"/>
          </w:tcPr>
          <w:p w14:paraId="7A4DF9E8" w14:textId="5B4FA948" w:rsidR="00092573" w:rsidRDefault="006E7E78"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-0.55</w:t>
            </w:r>
          </w:p>
        </w:tc>
        <w:tc>
          <w:tcPr>
            <w:tcW w:w="2693" w:type="dxa"/>
          </w:tcPr>
          <w:p w14:paraId="1C7940FB" w14:textId="708E1899" w:rsidR="00092573" w:rsidRDefault="00092573"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5.21</w:t>
            </w:r>
          </w:p>
        </w:tc>
      </w:tr>
      <w:tr w:rsidR="006E7E78" w:rsidRPr="0098795B" w14:paraId="5DC88D8F"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E7E6E6" w:themeFill="background2"/>
          </w:tcPr>
          <w:p w14:paraId="78D6A6C3" w14:textId="04BD8786" w:rsidR="006E7E78" w:rsidRDefault="006E7E78" w:rsidP="00C15AC3">
            <w:pPr>
              <w:pStyle w:val="Contenudetableau"/>
              <w:rPr>
                <w:rFonts w:ascii="Calibri" w:hAnsi="Calibri"/>
                <w:color w:val="000000"/>
                <w:sz w:val="18"/>
                <w:szCs w:val="18"/>
              </w:rPr>
            </w:pPr>
            <w:r>
              <w:rPr>
                <w:sz w:val="18"/>
              </w:rPr>
              <w:t xml:space="preserve">Environmental </w:t>
            </w:r>
            <w:r w:rsidRPr="00793512">
              <w:rPr>
                <w:sz w:val="18"/>
              </w:rPr>
              <w:t xml:space="preserve">impacts </w:t>
            </w:r>
            <w:r>
              <w:rPr>
                <w:sz w:val="18"/>
              </w:rPr>
              <w:t>(</w:t>
            </w:r>
            <w:r w:rsidRPr="00793512">
              <w:rPr>
                <w:sz w:val="18"/>
              </w:rPr>
              <w:t>EF 3.0</w:t>
            </w:r>
            <w:r>
              <w:rPr>
                <w:sz w:val="18"/>
              </w:rPr>
              <w:t>)</w:t>
            </w:r>
            <w:r w:rsidRPr="00793512">
              <w:rPr>
                <w:sz w:val="18"/>
              </w:rPr>
              <w:t>,</w:t>
            </w:r>
            <w:r>
              <w:rPr>
                <w:sz w:val="18"/>
              </w:rPr>
              <w:t xml:space="preserve"> </w:t>
            </w:r>
            <w:r w:rsidRPr="00793512">
              <w:rPr>
                <w:sz w:val="18"/>
              </w:rPr>
              <w:t xml:space="preserve">expressed per </w:t>
            </w:r>
            <w:proofErr w:type="spellStart"/>
            <w:r>
              <w:rPr>
                <w:sz w:val="18"/>
              </w:rPr>
              <w:t>kgN</w:t>
            </w:r>
            <w:proofErr w:type="spellEnd"/>
            <w:r w:rsidRPr="00793512">
              <w:rPr>
                <w:sz w:val="18"/>
              </w:rPr>
              <w:t xml:space="preserve"> supplied</w:t>
            </w:r>
            <w:r>
              <w:rPr>
                <w:sz w:val="18"/>
              </w:rPr>
              <w:t xml:space="preserve"> (fertilizing service)</w:t>
            </w:r>
          </w:p>
        </w:tc>
      </w:tr>
      <w:tr w:rsidR="006E7E78" w:rsidRPr="0098795B" w14:paraId="1275EFC7"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38A30535" w14:textId="232BE587" w:rsidR="006E7E78" w:rsidRPr="00C17A27" w:rsidRDefault="006E7E78" w:rsidP="00C15AC3">
            <w:pPr>
              <w:pStyle w:val="Contenudetableau"/>
              <w:rPr>
                <w:color w:val="000000"/>
                <w:sz w:val="18"/>
                <w:szCs w:val="18"/>
              </w:rPr>
            </w:pPr>
            <w:r w:rsidRPr="00C17A27">
              <w:rPr>
                <w:b w:val="0"/>
                <w:sz w:val="18"/>
              </w:rPr>
              <w:t>Climate change (kgCO</w:t>
            </w:r>
            <w:r w:rsidRPr="00C17A27">
              <w:rPr>
                <w:b w:val="0"/>
                <w:sz w:val="18"/>
                <w:vertAlign w:val="subscript"/>
              </w:rPr>
              <w:t>2</w:t>
            </w:r>
            <w:r w:rsidRPr="00C17A27">
              <w:rPr>
                <w:b w:val="0"/>
                <w:sz w:val="18"/>
              </w:rPr>
              <w:t>-eq)</w:t>
            </w:r>
          </w:p>
        </w:tc>
        <w:tc>
          <w:tcPr>
            <w:tcW w:w="1977" w:type="dxa"/>
          </w:tcPr>
          <w:p w14:paraId="610B9EF0" w14:textId="57FC4DB8" w:rsidR="006E7E78" w:rsidRDefault="006E7E78"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9.95</w:t>
            </w:r>
          </w:p>
        </w:tc>
        <w:tc>
          <w:tcPr>
            <w:tcW w:w="2003" w:type="dxa"/>
          </w:tcPr>
          <w:p w14:paraId="15DD517B" w14:textId="22C1F50F" w:rsidR="006E7E78" w:rsidRDefault="006E7E78"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6.88</w:t>
            </w:r>
          </w:p>
        </w:tc>
        <w:tc>
          <w:tcPr>
            <w:tcW w:w="2693" w:type="dxa"/>
          </w:tcPr>
          <w:p w14:paraId="668B8B90" w14:textId="208FAE7F" w:rsidR="006E7E78" w:rsidRDefault="006E7E78"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9.95</w:t>
            </w:r>
          </w:p>
        </w:tc>
      </w:tr>
      <w:tr w:rsidR="006E7E78" w:rsidRPr="0098795B" w14:paraId="3BAE1188"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68888332" w14:textId="66114462" w:rsidR="006E7E78" w:rsidRPr="00C17A27" w:rsidRDefault="006E7E78" w:rsidP="00C15AC3">
            <w:pPr>
              <w:pStyle w:val="Contenudetableau"/>
              <w:rPr>
                <w:color w:val="000000"/>
                <w:sz w:val="18"/>
                <w:szCs w:val="18"/>
              </w:rPr>
            </w:pPr>
            <w:r w:rsidRPr="00C17A27">
              <w:rPr>
                <w:b w:val="0"/>
                <w:sz w:val="18"/>
              </w:rPr>
              <w:t>Marine eutrophic</w:t>
            </w:r>
            <w:r>
              <w:rPr>
                <w:b w:val="0"/>
                <w:sz w:val="18"/>
              </w:rPr>
              <w:t>.</w:t>
            </w:r>
            <w:r w:rsidRPr="00C17A27">
              <w:rPr>
                <w:b w:val="0"/>
                <w:sz w:val="18"/>
              </w:rPr>
              <w:t xml:space="preserve"> (</w:t>
            </w:r>
            <w:proofErr w:type="spellStart"/>
            <w:r w:rsidRPr="00C17A27">
              <w:rPr>
                <w:b w:val="0"/>
                <w:sz w:val="18"/>
              </w:rPr>
              <w:t>kgN</w:t>
            </w:r>
            <w:proofErr w:type="spellEnd"/>
            <w:r w:rsidRPr="00C17A27">
              <w:rPr>
                <w:b w:val="0"/>
                <w:sz w:val="18"/>
              </w:rPr>
              <w:t>-eq)</w:t>
            </w:r>
          </w:p>
        </w:tc>
        <w:tc>
          <w:tcPr>
            <w:tcW w:w="1977" w:type="dxa"/>
          </w:tcPr>
          <w:p w14:paraId="581E07BA" w14:textId="00FA0513" w:rsidR="006E7E78" w:rsidRDefault="006E7E78"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0.13</w:t>
            </w:r>
          </w:p>
        </w:tc>
        <w:tc>
          <w:tcPr>
            <w:tcW w:w="2003" w:type="dxa"/>
          </w:tcPr>
          <w:p w14:paraId="131B605C" w14:textId="0C94807D" w:rsidR="006E7E78" w:rsidRDefault="006E7E78"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0.13</w:t>
            </w:r>
          </w:p>
        </w:tc>
        <w:tc>
          <w:tcPr>
            <w:tcW w:w="2693" w:type="dxa"/>
          </w:tcPr>
          <w:p w14:paraId="1C4C7195" w14:textId="4325F3C9" w:rsidR="006E7E78" w:rsidRDefault="006E7E78"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0.13</w:t>
            </w:r>
          </w:p>
        </w:tc>
      </w:tr>
      <w:tr w:rsidR="006E7E78" w:rsidRPr="0098795B" w14:paraId="25869333"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128EF918" w14:textId="3F79435C" w:rsidR="006E7E78" w:rsidRPr="00C17A27" w:rsidRDefault="006E7E78" w:rsidP="00C15AC3">
            <w:pPr>
              <w:pStyle w:val="Contenudetableau"/>
              <w:rPr>
                <w:color w:val="000000"/>
                <w:sz w:val="18"/>
                <w:szCs w:val="18"/>
              </w:rPr>
            </w:pPr>
            <w:r w:rsidRPr="00C17A27">
              <w:rPr>
                <w:b w:val="0"/>
                <w:sz w:val="18"/>
              </w:rPr>
              <w:t>Land use (points)</w:t>
            </w:r>
          </w:p>
        </w:tc>
        <w:tc>
          <w:tcPr>
            <w:tcW w:w="1977" w:type="dxa"/>
          </w:tcPr>
          <w:p w14:paraId="11F6C1CC" w14:textId="145A481A" w:rsidR="006E7E78" w:rsidRDefault="006E7E78"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22.8</w:t>
            </w:r>
          </w:p>
        </w:tc>
        <w:tc>
          <w:tcPr>
            <w:tcW w:w="2003" w:type="dxa"/>
          </w:tcPr>
          <w:p w14:paraId="42756BCD" w14:textId="0039A689" w:rsidR="006E7E78" w:rsidRDefault="006E7E78"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22.0</w:t>
            </w:r>
          </w:p>
        </w:tc>
        <w:tc>
          <w:tcPr>
            <w:tcW w:w="2693" w:type="dxa"/>
          </w:tcPr>
          <w:p w14:paraId="2DB57642" w14:textId="220641F5" w:rsidR="006E7E78" w:rsidRDefault="006E7E78"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22.8</w:t>
            </w:r>
          </w:p>
        </w:tc>
      </w:tr>
      <w:tr w:rsidR="006E7E78" w:rsidRPr="0098795B" w14:paraId="698740D1"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5A5B9929" w14:textId="2A19FF82" w:rsidR="006E7E78" w:rsidRPr="00C17A27" w:rsidRDefault="006E7E78" w:rsidP="00C15AC3">
            <w:pPr>
              <w:pStyle w:val="Contenudetableau"/>
              <w:rPr>
                <w:color w:val="000000"/>
                <w:sz w:val="18"/>
                <w:szCs w:val="18"/>
              </w:rPr>
            </w:pPr>
            <w:r w:rsidRPr="00C17A27">
              <w:rPr>
                <w:b w:val="0"/>
                <w:color w:val="000000"/>
                <w:sz w:val="18"/>
                <w:szCs w:val="18"/>
              </w:rPr>
              <w:t>Water use (m</w:t>
            </w:r>
            <w:r w:rsidRPr="00C17A27">
              <w:rPr>
                <w:b w:val="0"/>
                <w:color w:val="000000"/>
                <w:sz w:val="18"/>
                <w:szCs w:val="18"/>
                <w:vertAlign w:val="superscript"/>
              </w:rPr>
              <w:t>3</w:t>
            </w:r>
            <w:r w:rsidRPr="00C17A27">
              <w:rPr>
                <w:b w:val="0"/>
                <w:color w:val="000000"/>
                <w:sz w:val="18"/>
                <w:szCs w:val="18"/>
              </w:rPr>
              <w:t>-eq)</w:t>
            </w:r>
          </w:p>
        </w:tc>
        <w:tc>
          <w:tcPr>
            <w:tcW w:w="1977" w:type="dxa"/>
          </w:tcPr>
          <w:p w14:paraId="070FA07A" w14:textId="2EF03296" w:rsidR="006E7E78" w:rsidRDefault="006E7E78"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5.21</w:t>
            </w:r>
          </w:p>
        </w:tc>
        <w:tc>
          <w:tcPr>
            <w:tcW w:w="2003" w:type="dxa"/>
          </w:tcPr>
          <w:p w14:paraId="7D8C0EFB" w14:textId="0C2EBDC1" w:rsidR="006E7E78" w:rsidRDefault="006E7E78"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-0.54</w:t>
            </w:r>
          </w:p>
        </w:tc>
        <w:tc>
          <w:tcPr>
            <w:tcW w:w="2693" w:type="dxa"/>
          </w:tcPr>
          <w:p w14:paraId="0127A8E6" w14:textId="651D28F8" w:rsidR="006E7E78" w:rsidRDefault="006E7E78"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5.21</w:t>
            </w:r>
          </w:p>
        </w:tc>
      </w:tr>
      <w:tr w:rsidR="006E7E78" w:rsidRPr="0098795B" w14:paraId="3D0C5508"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E7E6E6" w:themeFill="background2"/>
          </w:tcPr>
          <w:p w14:paraId="0AAD7FCB" w14:textId="11B7AE00" w:rsidR="006E7E78" w:rsidRDefault="006E7E78" w:rsidP="00C15AC3">
            <w:pPr>
              <w:pStyle w:val="Contenudetableau"/>
              <w:rPr>
                <w:rFonts w:ascii="Calibri" w:hAnsi="Calibri"/>
                <w:color w:val="000000"/>
                <w:sz w:val="18"/>
                <w:szCs w:val="18"/>
              </w:rPr>
            </w:pPr>
            <w:r>
              <w:rPr>
                <w:sz w:val="18"/>
              </w:rPr>
              <w:t xml:space="preserve">Environmental </w:t>
            </w:r>
            <w:r w:rsidRPr="00793512">
              <w:rPr>
                <w:sz w:val="18"/>
              </w:rPr>
              <w:t xml:space="preserve">impacts </w:t>
            </w:r>
            <w:r>
              <w:rPr>
                <w:sz w:val="18"/>
              </w:rPr>
              <w:t>(</w:t>
            </w:r>
            <w:r w:rsidRPr="00793512">
              <w:rPr>
                <w:sz w:val="18"/>
              </w:rPr>
              <w:t>EF 3.0</w:t>
            </w:r>
            <w:r>
              <w:rPr>
                <w:sz w:val="18"/>
              </w:rPr>
              <w:t>)</w:t>
            </w:r>
            <w:r w:rsidRPr="00793512">
              <w:rPr>
                <w:sz w:val="18"/>
              </w:rPr>
              <w:t>,</w:t>
            </w:r>
            <w:r>
              <w:rPr>
                <w:sz w:val="18"/>
              </w:rPr>
              <w:t xml:space="preserve"> </w:t>
            </w:r>
            <w:r w:rsidRPr="00793512">
              <w:rPr>
                <w:sz w:val="18"/>
              </w:rPr>
              <w:t xml:space="preserve">expressed per </w:t>
            </w:r>
            <w:r>
              <w:rPr>
                <w:sz w:val="18"/>
              </w:rPr>
              <w:t>kgP</w:t>
            </w:r>
            <w:r w:rsidRPr="006E7E78">
              <w:rPr>
                <w:sz w:val="18"/>
                <w:vertAlign w:val="subscript"/>
              </w:rPr>
              <w:t>2</w:t>
            </w:r>
            <w:r>
              <w:rPr>
                <w:sz w:val="18"/>
              </w:rPr>
              <w:t>O</w:t>
            </w:r>
            <w:r w:rsidRPr="006E7E78">
              <w:rPr>
                <w:sz w:val="18"/>
                <w:vertAlign w:val="subscript"/>
              </w:rPr>
              <w:t>5</w:t>
            </w:r>
            <w:r w:rsidRPr="00793512">
              <w:rPr>
                <w:sz w:val="18"/>
              </w:rPr>
              <w:t xml:space="preserve"> supplied</w:t>
            </w:r>
            <w:r>
              <w:rPr>
                <w:sz w:val="18"/>
              </w:rPr>
              <w:t xml:space="preserve"> (both fertilizer and fertilizing services)</w:t>
            </w:r>
            <w:r w:rsidRPr="006E7E78">
              <w:rPr>
                <w:sz w:val="18"/>
                <w:vertAlign w:val="superscript"/>
              </w:rPr>
              <w:t xml:space="preserve"> *</w:t>
            </w:r>
            <w:r>
              <w:rPr>
                <w:sz w:val="18"/>
                <w:vertAlign w:val="superscript"/>
              </w:rPr>
              <w:t>*</w:t>
            </w:r>
          </w:p>
        </w:tc>
      </w:tr>
      <w:tr w:rsidR="0087414D" w:rsidRPr="0098795B" w14:paraId="6673F099"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04D6962B" w14:textId="1721E303" w:rsidR="0087414D" w:rsidRPr="00C17A27" w:rsidRDefault="0087414D" w:rsidP="00C15AC3">
            <w:pPr>
              <w:pStyle w:val="Contenudetableau"/>
              <w:rPr>
                <w:color w:val="000000"/>
                <w:sz w:val="18"/>
                <w:szCs w:val="18"/>
              </w:rPr>
            </w:pPr>
            <w:r w:rsidRPr="00C17A27">
              <w:rPr>
                <w:b w:val="0"/>
                <w:sz w:val="18"/>
              </w:rPr>
              <w:t>Climate change (kgCO</w:t>
            </w:r>
            <w:r w:rsidRPr="00C17A27">
              <w:rPr>
                <w:b w:val="0"/>
                <w:sz w:val="18"/>
                <w:vertAlign w:val="subscript"/>
              </w:rPr>
              <w:t>2</w:t>
            </w:r>
            <w:r w:rsidRPr="00C17A27">
              <w:rPr>
                <w:b w:val="0"/>
                <w:sz w:val="18"/>
              </w:rPr>
              <w:t>-eq)</w:t>
            </w:r>
          </w:p>
        </w:tc>
        <w:tc>
          <w:tcPr>
            <w:tcW w:w="1977" w:type="dxa"/>
          </w:tcPr>
          <w:p w14:paraId="374B9071" w14:textId="1935AA16" w:rsidR="0087414D" w:rsidRDefault="0087414D"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1.89</w:t>
            </w:r>
          </w:p>
        </w:tc>
        <w:tc>
          <w:tcPr>
            <w:tcW w:w="2003" w:type="dxa"/>
          </w:tcPr>
          <w:p w14:paraId="68F107F4" w14:textId="7AAD7CD1" w:rsidR="0087414D" w:rsidRDefault="0087414D"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1.89</w:t>
            </w:r>
          </w:p>
        </w:tc>
        <w:tc>
          <w:tcPr>
            <w:tcW w:w="2693" w:type="dxa"/>
          </w:tcPr>
          <w:p w14:paraId="01CB11BB" w14:textId="6D855189" w:rsidR="0087414D" w:rsidRDefault="0087414D"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1.89</w:t>
            </w:r>
          </w:p>
        </w:tc>
      </w:tr>
      <w:tr w:rsidR="0087414D" w:rsidRPr="0098795B" w14:paraId="04C766E2"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6DF3E79F" w14:textId="7B809455" w:rsidR="0087414D" w:rsidRPr="00C17A27" w:rsidRDefault="0087414D" w:rsidP="00C15AC3">
            <w:pPr>
              <w:pStyle w:val="Contenudetableau"/>
              <w:rPr>
                <w:color w:val="000000"/>
                <w:sz w:val="18"/>
                <w:szCs w:val="18"/>
              </w:rPr>
            </w:pPr>
            <w:r w:rsidRPr="00C17A27">
              <w:rPr>
                <w:b w:val="0"/>
                <w:sz w:val="18"/>
              </w:rPr>
              <w:t>Marine eutrophic</w:t>
            </w:r>
            <w:r>
              <w:rPr>
                <w:b w:val="0"/>
                <w:sz w:val="18"/>
              </w:rPr>
              <w:t>.</w:t>
            </w:r>
            <w:r w:rsidRPr="00C17A27">
              <w:rPr>
                <w:b w:val="0"/>
                <w:sz w:val="18"/>
              </w:rPr>
              <w:t xml:space="preserve"> (</w:t>
            </w:r>
            <w:proofErr w:type="spellStart"/>
            <w:r w:rsidRPr="00C17A27">
              <w:rPr>
                <w:b w:val="0"/>
                <w:sz w:val="18"/>
              </w:rPr>
              <w:t>kgN</w:t>
            </w:r>
            <w:proofErr w:type="spellEnd"/>
            <w:r w:rsidRPr="00C17A27">
              <w:rPr>
                <w:b w:val="0"/>
                <w:sz w:val="18"/>
              </w:rPr>
              <w:t>-eq)</w:t>
            </w:r>
          </w:p>
        </w:tc>
        <w:tc>
          <w:tcPr>
            <w:tcW w:w="1977" w:type="dxa"/>
          </w:tcPr>
          <w:p w14:paraId="4109B885" w14:textId="35CBDD89" w:rsidR="0087414D" w:rsidRDefault="0087414D"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2.1</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3</w:t>
            </w:r>
          </w:p>
        </w:tc>
        <w:tc>
          <w:tcPr>
            <w:tcW w:w="2003" w:type="dxa"/>
          </w:tcPr>
          <w:p w14:paraId="2CF8A69A" w14:textId="6C9A4FAA" w:rsidR="0087414D" w:rsidRDefault="0087414D"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2.1</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3</w:t>
            </w:r>
          </w:p>
        </w:tc>
        <w:tc>
          <w:tcPr>
            <w:tcW w:w="2693" w:type="dxa"/>
          </w:tcPr>
          <w:p w14:paraId="5A1C2514" w14:textId="2E95ED1B" w:rsidR="0087414D" w:rsidRDefault="0087414D"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2.1</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3</w:t>
            </w:r>
          </w:p>
        </w:tc>
      </w:tr>
      <w:tr w:rsidR="0087414D" w:rsidRPr="0098795B" w14:paraId="6E6734FB"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64B7731D" w14:textId="2E42559A" w:rsidR="0087414D" w:rsidRPr="00C17A27" w:rsidRDefault="0087414D" w:rsidP="00C15AC3">
            <w:pPr>
              <w:pStyle w:val="Contenudetableau"/>
              <w:rPr>
                <w:color w:val="000000"/>
                <w:sz w:val="18"/>
                <w:szCs w:val="18"/>
              </w:rPr>
            </w:pPr>
            <w:r w:rsidRPr="00C17A27">
              <w:rPr>
                <w:b w:val="0"/>
                <w:sz w:val="18"/>
              </w:rPr>
              <w:t>Land use (points)</w:t>
            </w:r>
          </w:p>
        </w:tc>
        <w:tc>
          <w:tcPr>
            <w:tcW w:w="1977" w:type="dxa"/>
          </w:tcPr>
          <w:p w14:paraId="6CC80343" w14:textId="4DC849B7" w:rsidR="0087414D" w:rsidRDefault="0087414D"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42.2</w:t>
            </w:r>
          </w:p>
        </w:tc>
        <w:tc>
          <w:tcPr>
            <w:tcW w:w="2003" w:type="dxa"/>
          </w:tcPr>
          <w:p w14:paraId="5032187A" w14:textId="76EF22C4" w:rsidR="0087414D" w:rsidRDefault="0087414D"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42.2</w:t>
            </w:r>
          </w:p>
        </w:tc>
        <w:tc>
          <w:tcPr>
            <w:tcW w:w="2693" w:type="dxa"/>
          </w:tcPr>
          <w:p w14:paraId="2CE1D2F8" w14:textId="48B5F3DC" w:rsidR="0087414D" w:rsidRDefault="0087414D"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42.2</w:t>
            </w:r>
          </w:p>
        </w:tc>
      </w:tr>
      <w:tr w:rsidR="0087414D" w:rsidRPr="0098795B" w14:paraId="48A61E1D"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4FACB806" w14:textId="60457D49" w:rsidR="0087414D" w:rsidRPr="00C17A27" w:rsidRDefault="0087414D" w:rsidP="00C15AC3">
            <w:pPr>
              <w:pStyle w:val="Contenudetableau"/>
              <w:rPr>
                <w:color w:val="000000"/>
                <w:sz w:val="18"/>
                <w:szCs w:val="18"/>
              </w:rPr>
            </w:pPr>
            <w:r w:rsidRPr="00C17A27">
              <w:rPr>
                <w:b w:val="0"/>
                <w:color w:val="000000"/>
                <w:sz w:val="18"/>
                <w:szCs w:val="18"/>
              </w:rPr>
              <w:t>Water use (m</w:t>
            </w:r>
            <w:r w:rsidRPr="00C17A27">
              <w:rPr>
                <w:b w:val="0"/>
                <w:color w:val="000000"/>
                <w:sz w:val="18"/>
                <w:szCs w:val="18"/>
                <w:vertAlign w:val="superscript"/>
              </w:rPr>
              <w:t>3</w:t>
            </w:r>
            <w:r w:rsidRPr="00C17A27">
              <w:rPr>
                <w:b w:val="0"/>
                <w:color w:val="000000"/>
                <w:sz w:val="18"/>
                <w:szCs w:val="18"/>
              </w:rPr>
              <w:t>-eq)</w:t>
            </w:r>
          </w:p>
        </w:tc>
        <w:tc>
          <w:tcPr>
            <w:tcW w:w="1977" w:type="dxa"/>
          </w:tcPr>
          <w:p w14:paraId="301C9300" w14:textId="0BB89EF8" w:rsidR="0087414D" w:rsidRDefault="0087414D"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2.37</w:t>
            </w:r>
          </w:p>
        </w:tc>
        <w:tc>
          <w:tcPr>
            <w:tcW w:w="2003" w:type="dxa"/>
          </w:tcPr>
          <w:p w14:paraId="53403227" w14:textId="4F15BCB4" w:rsidR="0087414D" w:rsidRDefault="0087414D"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2.37</w:t>
            </w:r>
          </w:p>
        </w:tc>
        <w:tc>
          <w:tcPr>
            <w:tcW w:w="2693" w:type="dxa"/>
          </w:tcPr>
          <w:p w14:paraId="60D0E320" w14:textId="07590A9A" w:rsidR="0087414D" w:rsidRDefault="0087414D"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2.37</w:t>
            </w:r>
          </w:p>
        </w:tc>
      </w:tr>
      <w:tr w:rsidR="0087414D" w:rsidRPr="0098795B" w14:paraId="5F9F2B3A"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E7E6E6" w:themeFill="background2"/>
          </w:tcPr>
          <w:p w14:paraId="168AA315" w14:textId="3F451DD8" w:rsidR="0087414D" w:rsidRDefault="0087414D" w:rsidP="00C15AC3">
            <w:pPr>
              <w:pStyle w:val="Contenudetableau"/>
              <w:rPr>
                <w:rFonts w:ascii="Calibri" w:hAnsi="Calibri"/>
                <w:color w:val="000000"/>
                <w:sz w:val="18"/>
                <w:szCs w:val="18"/>
              </w:rPr>
            </w:pPr>
            <w:r>
              <w:rPr>
                <w:sz w:val="18"/>
              </w:rPr>
              <w:t xml:space="preserve">Environmental </w:t>
            </w:r>
            <w:r w:rsidRPr="00793512">
              <w:rPr>
                <w:sz w:val="18"/>
              </w:rPr>
              <w:t xml:space="preserve">impacts </w:t>
            </w:r>
            <w:r>
              <w:rPr>
                <w:sz w:val="18"/>
              </w:rPr>
              <w:t>(</w:t>
            </w:r>
            <w:r w:rsidRPr="00793512">
              <w:rPr>
                <w:sz w:val="18"/>
              </w:rPr>
              <w:t>EF 3.0</w:t>
            </w:r>
            <w:r>
              <w:rPr>
                <w:sz w:val="18"/>
              </w:rPr>
              <w:t>)</w:t>
            </w:r>
            <w:r w:rsidRPr="00793512">
              <w:rPr>
                <w:sz w:val="18"/>
              </w:rPr>
              <w:t>,</w:t>
            </w:r>
            <w:r>
              <w:rPr>
                <w:sz w:val="18"/>
              </w:rPr>
              <w:t xml:space="preserve"> </w:t>
            </w:r>
            <w:r w:rsidRPr="00793512">
              <w:rPr>
                <w:sz w:val="18"/>
              </w:rPr>
              <w:t xml:space="preserve">expressed per </w:t>
            </w:r>
            <w:r>
              <w:rPr>
                <w:sz w:val="18"/>
              </w:rPr>
              <w:t>kgK</w:t>
            </w:r>
            <w:r w:rsidRPr="006E7E78">
              <w:rPr>
                <w:sz w:val="18"/>
                <w:vertAlign w:val="subscript"/>
              </w:rPr>
              <w:t>2</w:t>
            </w:r>
            <w:r>
              <w:rPr>
                <w:sz w:val="18"/>
              </w:rPr>
              <w:t>O</w:t>
            </w:r>
            <w:r w:rsidRPr="00793512">
              <w:rPr>
                <w:sz w:val="18"/>
              </w:rPr>
              <w:t xml:space="preserve"> supplied</w:t>
            </w:r>
            <w:r>
              <w:rPr>
                <w:sz w:val="18"/>
              </w:rPr>
              <w:t xml:space="preserve"> (both fertilizer and fertilizing services)</w:t>
            </w:r>
            <w:r w:rsidRPr="006E7E78">
              <w:rPr>
                <w:sz w:val="18"/>
                <w:vertAlign w:val="superscript"/>
              </w:rPr>
              <w:t xml:space="preserve"> *</w:t>
            </w:r>
            <w:r>
              <w:rPr>
                <w:sz w:val="18"/>
                <w:vertAlign w:val="superscript"/>
              </w:rPr>
              <w:t>*</w:t>
            </w:r>
          </w:p>
        </w:tc>
      </w:tr>
      <w:tr w:rsidR="0087414D" w:rsidRPr="0098795B" w14:paraId="0376023C"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750421CE" w14:textId="29BE28F5" w:rsidR="0087414D" w:rsidRPr="00C17A27" w:rsidRDefault="0087414D" w:rsidP="00C15AC3">
            <w:pPr>
              <w:pStyle w:val="Contenudetableau"/>
              <w:rPr>
                <w:color w:val="000000"/>
                <w:sz w:val="18"/>
                <w:szCs w:val="18"/>
              </w:rPr>
            </w:pPr>
            <w:r w:rsidRPr="00C17A27">
              <w:rPr>
                <w:b w:val="0"/>
                <w:sz w:val="18"/>
              </w:rPr>
              <w:t>Climate change (kgCO</w:t>
            </w:r>
            <w:r w:rsidRPr="00C17A27">
              <w:rPr>
                <w:b w:val="0"/>
                <w:sz w:val="18"/>
                <w:vertAlign w:val="subscript"/>
              </w:rPr>
              <w:t>2</w:t>
            </w:r>
            <w:r w:rsidRPr="00C17A27">
              <w:rPr>
                <w:b w:val="0"/>
                <w:sz w:val="18"/>
              </w:rPr>
              <w:t>-eq)</w:t>
            </w:r>
          </w:p>
        </w:tc>
        <w:tc>
          <w:tcPr>
            <w:tcW w:w="1977" w:type="dxa"/>
          </w:tcPr>
          <w:p w14:paraId="3A91D2AC" w14:textId="5628FA28" w:rsidR="0087414D" w:rsidRDefault="0087414D"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2.09</w:t>
            </w:r>
          </w:p>
        </w:tc>
        <w:tc>
          <w:tcPr>
            <w:tcW w:w="2003" w:type="dxa"/>
          </w:tcPr>
          <w:p w14:paraId="074BEDA0" w14:textId="2203D3CC" w:rsidR="0087414D" w:rsidRDefault="0087414D"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2.09</w:t>
            </w:r>
          </w:p>
        </w:tc>
        <w:tc>
          <w:tcPr>
            <w:tcW w:w="2693" w:type="dxa"/>
          </w:tcPr>
          <w:p w14:paraId="06E7BE23" w14:textId="06C950F3" w:rsidR="0087414D" w:rsidRDefault="0087414D"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2.09</w:t>
            </w:r>
          </w:p>
        </w:tc>
      </w:tr>
      <w:tr w:rsidR="0087414D" w:rsidRPr="0098795B" w14:paraId="451C4BB6"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2FE41670" w14:textId="31E670BE" w:rsidR="0087414D" w:rsidRPr="00C17A27" w:rsidRDefault="0087414D" w:rsidP="00C15AC3">
            <w:pPr>
              <w:pStyle w:val="Contenudetableau"/>
              <w:rPr>
                <w:color w:val="000000"/>
                <w:sz w:val="18"/>
                <w:szCs w:val="18"/>
              </w:rPr>
            </w:pPr>
            <w:r w:rsidRPr="00C17A27">
              <w:rPr>
                <w:b w:val="0"/>
                <w:sz w:val="18"/>
              </w:rPr>
              <w:t>Marine eutrophic</w:t>
            </w:r>
            <w:r>
              <w:rPr>
                <w:b w:val="0"/>
                <w:sz w:val="18"/>
              </w:rPr>
              <w:t>.</w:t>
            </w:r>
            <w:r w:rsidRPr="00C17A27">
              <w:rPr>
                <w:b w:val="0"/>
                <w:sz w:val="18"/>
              </w:rPr>
              <w:t xml:space="preserve"> (</w:t>
            </w:r>
            <w:proofErr w:type="spellStart"/>
            <w:r w:rsidRPr="00C17A27">
              <w:rPr>
                <w:b w:val="0"/>
                <w:sz w:val="18"/>
              </w:rPr>
              <w:t>kgN</w:t>
            </w:r>
            <w:proofErr w:type="spellEnd"/>
            <w:r w:rsidRPr="00C17A27">
              <w:rPr>
                <w:b w:val="0"/>
                <w:sz w:val="18"/>
              </w:rPr>
              <w:t>-eq)</w:t>
            </w:r>
          </w:p>
        </w:tc>
        <w:tc>
          <w:tcPr>
            <w:tcW w:w="1977" w:type="dxa"/>
          </w:tcPr>
          <w:p w14:paraId="5C3DA28C" w14:textId="5E04629A" w:rsidR="0087414D" w:rsidRDefault="0087414D"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2.5</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3</w:t>
            </w:r>
          </w:p>
        </w:tc>
        <w:tc>
          <w:tcPr>
            <w:tcW w:w="2003" w:type="dxa"/>
          </w:tcPr>
          <w:p w14:paraId="4391C939" w14:textId="07E0F32F" w:rsidR="0087414D" w:rsidRDefault="0087414D"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2.5</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3</w:t>
            </w:r>
          </w:p>
        </w:tc>
        <w:tc>
          <w:tcPr>
            <w:tcW w:w="2693" w:type="dxa"/>
          </w:tcPr>
          <w:p w14:paraId="4AE16CEB" w14:textId="74331CF7" w:rsidR="0087414D" w:rsidRDefault="0087414D"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2.5</w:t>
            </w:r>
            <w:r w:rsidRPr="00C17A27">
              <w:rPr>
                <w:rFonts w:ascii="Calibri" w:hAnsi="Calibri"/>
                <w:color w:val="000000"/>
                <w:sz w:val="18"/>
                <w:szCs w:val="18"/>
              </w:rPr>
              <w:t xml:space="preserve"> x 10</w:t>
            </w:r>
            <w:r w:rsidRPr="00C17A27">
              <w:rPr>
                <w:rFonts w:ascii="Calibri" w:hAnsi="Calibri"/>
                <w:color w:val="000000"/>
                <w:sz w:val="18"/>
                <w:szCs w:val="18"/>
                <w:vertAlign w:val="superscript"/>
              </w:rPr>
              <w:t>-</w:t>
            </w:r>
            <w:r>
              <w:rPr>
                <w:rFonts w:ascii="Calibri" w:hAnsi="Calibri"/>
                <w:color w:val="000000"/>
                <w:sz w:val="18"/>
                <w:szCs w:val="18"/>
                <w:vertAlign w:val="superscript"/>
              </w:rPr>
              <w:t>3</w:t>
            </w:r>
          </w:p>
        </w:tc>
      </w:tr>
      <w:tr w:rsidR="0087414D" w:rsidRPr="0098795B" w14:paraId="2D77C8AD"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27A2C9AC" w14:textId="51D913F2" w:rsidR="0087414D" w:rsidRPr="00C17A27" w:rsidRDefault="0087414D" w:rsidP="00C15AC3">
            <w:pPr>
              <w:pStyle w:val="Contenudetableau"/>
              <w:rPr>
                <w:color w:val="000000"/>
                <w:sz w:val="18"/>
                <w:szCs w:val="18"/>
              </w:rPr>
            </w:pPr>
            <w:r w:rsidRPr="00C17A27">
              <w:rPr>
                <w:b w:val="0"/>
                <w:sz w:val="18"/>
              </w:rPr>
              <w:t>Land use (points)</w:t>
            </w:r>
          </w:p>
        </w:tc>
        <w:tc>
          <w:tcPr>
            <w:tcW w:w="1977" w:type="dxa"/>
          </w:tcPr>
          <w:p w14:paraId="2B1F9D4F" w14:textId="307C93D6" w:rsidR="0087414D" w:rsidRDefault="0087414D"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26.0</w:t>
            </w:r>
          </w:p>
        </w:tc>
        <w:tc>
          <w:tcPr>
            <w:tcW w:w="2003" w:type="dxa"/>
          </w:tcPr>
          <w:p w14:paraId="76E2A0A9" w14:textId="5BDDFCC8" w:rsidR="0087414D" w:rsidRDefault="0087414D"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26.0</w:t>
            </w:r>
          </w:p>
        </w:tc>
        <w:tc>
          <w:tcPr>
            <w:tcW w:w="2693" w:type="dxa"/>
          </w:tcPr>
          <w:p w14:paraId="6F3A5FBD" w14:textId="67EB33C1" w:rsidR="0087414D" w:rsidRDefault="0087414D"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26.0</w:t>
            </w:r>
          </w:p>
        </w:tc>
      </w:tr>
      <w:tr w:rsidR="0087414D" w:rsidRPr="0098795B" w14:paraId="23A3B864"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26696014" w14:textId="36B6C16F" w:rsidR="0087414D" w:rsidRPr="00C17A27" w:rsidRDefault="0087414D" w:rsidP="00C15AC3">
            <w:pPr>
              <w:pStyle w:val="Contenudetableau"/>
              <w:rPr>
                <w:color w:val="000000"/>
                <w:sz w:val="18"/>
                <w:szCs w:val="18"/>
              </w:rPr>
            </w:pPr>
            <w:r w:rsidRPr="00C17A27">
              <w:rPr>
                <w:b w:val="0"/>
                <w:color w:val="000000"/>
                <w:sz w:val="18"/>
                <w:szCs w:val="18"/>
              </w:rPr>
              <w:t>Water use (m</w:t>
            </w:r>
            <w:r w:rsidRPr="00C17A27">
              <w:rPr>
                <w:b w:val="0"/>
                <w:color w:val="000000"/>
                <w:sz w:val="18"/>
                <w:szCs w:val="18"/>
                <w:vertAlign w:val="superscript"/>
              </w:rPr>
              <w:t>3</w:t>
            </w:r>
            <w:r w:rsidRPr="00C17A27">
              <w:rPr>
                <w:b w:val="0"/>
                <w:color w:val="000000"/>
                <w:sz w:val="18"/>
                <w:szCs w:val="18"/>
              </w:rPr>
              <w:t>-eq)</w:t>
            </w:r>
          </w:p>
        </w:tc>
        <w:tc>
          <w:tcPr>
            <w:tcW w:w="1977" w:type="dxa"/>
          </w:tcPr>
          <w:p w14:paraId="3397AFF7" w14:textId="78300D6E" w:rsidR="0087414D" w:rsidRDefault="0087414D"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1.10</w:t>
            </w:r>
          </w:p>
        </w:tc>
        <w:tc>
          <w:tcPr>
            <w:tcW w:w="2003" w:type="dxa"/>
          </w:tcPr>
          <w:p w14:paraId="5D466242" w14:textId="6E377306" w:rsidR="0087414D" w:rsidRDefault="0087414D"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1.10</w:t>
            </w:r>
          </w:p>
        </w:tc>
        <w:tc>
          <w:tcPr>
            <w:tcW w:w="2693" w:type="dxa"/>
          </w:tcPr>
          <w:p w14:paraId="70345B69" w14:textId="452D4F0D" w:rsidR="0087414D" w:rsidRDefault="0087414D"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1.10</w:t>
            </w:r>
          </w:p>
        </w:tc>
      </w:tr>
    </w:tbl>
    <w:p w14:paraId="137B782C" w14:textId="74E0DD4E" w:rsidR="00092573" w:rsidRPr="007F4C02" w:rsidRDefault="00092573" w:rsidP="00C15AC3">
      <w:pPr>
        <w:rPr>
          <w:sz w:val="18"/>
          <w:szCs w:val="18"/>
        </w:rPr>
      </w:pPr>
      <w:r>
        <w:rPr>
          <w:sz w:val="18"/>
          <w:szCs w:val="18"/>
          <w:vertAlign w:val="superscript"/>
        </w:rPr>
        <w:t>*</w:t>
      </w:r>
      <w:r>
        <w:rPr>
          <w:sz w:val="18"/>
          <w:szCs w:val="18"/>
        </w:rPr>
        <w:t>: Assumed for illustrative purposes.</w:t>
      </w:r>
      <w:r>
        <w:rPr>
          <w:sz w:val="18"/>
          <w:szCs w:val="18"/>
          <w:vertAlign w:val="superscript"/>
        </w:rPr>
        <w:t xml:space="preserve"> </w:t>
      </w:r>
      <w:r w:rsidRPr="007F4C02">
        <w:rPr>
          <w:sz w:val="18"/>
          <w:szCs w:val="18"/>
          <w:vertAlign w:val="superscript"/>
        </w:rPr>
        <w:t>**</w:t>
      </w:r>
      <w:r w:rsidRPr="007F4C02">
        <w:rPr>
          <w:sz w:val="18"/>
          <w:szCs w:val="18"/>
        </w:rPr>
        <w:t>:</w:t>
      </w:r>
      <w:r w:rsidR="0087414D">
        <w:rPr>
          <w:sz w:val="18"/>
          <w:szCs w:val="18"/>
        </w:rPr>
        <w:t xml:space="preserve"> For these impact categories, no difference of </w:t>
      </w:r>
      <w:r w:rsidR="00C53179">
        <w:rPr>
          <w:sz w:val="18"/>
          <w:szCs w:val="18"/>
        </w:rPr>
        <w:t>LCA scores</w:t>
      </w:r>
      <w:r w:rsidR="0087414D">
        <w:rPr>
          <w:sz w:val="18"/>
          <w:szCs w:val="18"/>
        </w:rPr>
        <w:t xml:space="preserve"> between fertilizing and fertilizer services (that is, no influence of spreading and land emissions inventories).</w:t>
      </w:r>
    </w:p>
    <w:p w14:paraId="3B3BF190" w14:textId="77777777" w:rsidR="009955BF" w:rsidRDefault="009955BF" w:rsidP="009955BF">
      <w:pPr>
        <w:jc w:val="both"/>
      </w:pPr>
      <w:r>
        <w:t>The eventuality of the wide deployment of green ammonia production to support fossil-free Haber-Bosch N fertilizer production was assessed as part of the “towards high electrification” energy scenario. This is because, in this case, H</w:t>
      </w:r>
      <w:r w:rsidRPr="00C046E3">
        <w:rPr>
          <w:vertAlign w:val="subscript"/>
        </w:rPr>
        <w:t>2</w:t>
      </w:r>
      <w:r>
        <w:t xml:space="preserve"> would be provided by electrolysis, hence requiring additional large-</w:t>
      </w:r>
      <w:r>
        <w:lastRenderedPageBreak/>
        <w:t xml:space="preserve">scale power production capacities. To model this alternative way of producing N-fertilizers, the existing </w:t>
      </w:r>
      <w:proofErr w:type="spellStart"/>
      <w:r>
        <w:t>ecoinvent</w:t>
      </w:r>
      <w:proofErr w:type="spellEnd"/>
      <w:r>
        <w:t xml:space="preserve"> “market for inorganic nitrogen production, FR” (fossil-based) activity was kept, but “ammonia production, steam reforming, liquid, RU” and “RER” activities were systematically removed from its background system. These were replaced (keeping the same stoichiometric basis) by an own-made inventory for green ammonia production derived from Mayer et al., 2023 </w:t>
      </w:r>
      <w:r>
        <w:fldChar w:fldCharType="begin"/>
      </w:r>
      <w:r>
        <w:instrText xml:space="preserve"> ADDIN ZOTERO_ITEM CSL_CITATION {"citationID":"iH9gHbgQ","properties":{"formattedCitation":"\\super 8\\nosupersub{}","plainCitation":"8","noteIndex":0},"citationItems":[{"id":14280,"uris":["http://zotero.org/users/6423791/items/K4HJNDRZ"],"itemData":{"id":14280,"type":"article-journal","abstract":"Blue and green ammonia production have been proposed as low-carbon alternatives to emissions-intensive conventional ammonia production. Although much attention has been given to comparing these alternatives, it is still not clear which process has better environmental and economic performance. We present a techno-economic analysis and full life cycle assessment to compare the economics and environmental impacts of blue and green ammonia production. We address the importance of time horizon in climate change impact comparisons by employing the Technology Warming Potential, showing that methane leakage can exacerbate the climate change impacts of blue ammonia in short time horizons. We represent a constrained renewable electricity availability scenario by comparing the climate change impact mitigation efficiency per kWh of renewable electricity. Our work emphasizes the importance of maintaining low natural gas leakage for sustainability of blue ammonia, and the potential for technological advances to further reduce the environmental impacts of photovoltaics-based green ammonia.","container-title":"iScience","DOI":"10.1016/j.isci.2023.107389","ISSN":"2589-0042","issue":"8","journalAbbreviation":"iScience","page":"107389","source":"ScienceDirect","title":"Blue and green ammonia production: A techno-economic and life cycle assessment perspective","title-short":"Blue and green ammonia production","volume":"26","author":[{"family":"Mayer","given":"Patricia"},{"family":"Ramirez","given":"Adrian"},{"family":"Pezzella","given":"Giuseppe"},{"family":"Winter","given":"Benedikt"},{"family":"Sarathy","given":"S. Mani"},{"family":"Gascon","given":"Jorge"},{"family":"Bardow","given":"André"}],"issued":{"date-parts":[["2023",8,18]]}}}],"schema":"https://github.com/citation-style-language/schema/raw/master/csl-citation.json"} </w:instrText>
      </w:r>
      <w:r>
        <w:fldChar w:fldCharType="separate"/>
      </w:r>
      <w:r w:rsidRPr="00C61A9E">
        <w:rPr>
          <w:rFonts w:ascii="Calibri" w:hAnsi="Calibri" w:cs="Calibri"/>
          <w:szCs w:val="24"/>
          <w:vertAlign w:val="superscript"/>
        </w:rPr>
        <w:t>8</w:t>
      </w:r>
      <w:r>
        <w:fldChar w:fldCharType="end"/>
      </w:r>
      <w:r>
        <w:t xml:space="preserve"> (</w:t>
      </w:r>
      <w:r w:rsidRPr="0058060F">
        <w:rPr>
          <w:b/>
        </w:rPr>
        <w:fldChar w:fldCharType="begin"/>
      </w:r>
      <w:r w:rsidRPr="0058060F">
        <w:rPr>
          <w:b/>
        </w:rPr>
        <w:instrText xml:space="preserve"> REF _Ref151651099 \h </w:instrText>
      </w:r>
      <w:r>
        <w:rPr>
          <w:b/>
        </w:rPr>
        <w:instrText xml:space="preserve"> \* MERGEFORMAT </w:instrText>
      </w:r>
      <w:r w:rsidRPr="0058060F">
        <w:rPr>
          <w:b/>
        </w:rPr>
      </w:r>
      <w:r w:rsidRPr="0058060F">
        <w:rPr>
          <w:b/>
        </w:rPr>
        <w:fldChar w:fldCharType="separate"/>
      </w:r>
      <w:r w:rsidRPr="0058060F">
        <w:rPr>
          <w:b/>
        </w:rPr>
        <w:t>Table SI</w:t>
      </w:r>
      <w:r w:rsidRPr="0058060F">
        <w:rPr>
          <w:b/>
          <w:noProof/>
        </w:rPr>
        <w:t>6</w:t>
      </w:r>
      <w:r w:rsidRPr="0058060F">
        <w:rPr>
          <w:b/>
        </w:rPr>
        <w:fldChar w:fldCharType="end"/>
      </w:r>
      <w:r>
        <w:t>).</w:t>
      </w:r>
    </w:p>
    <w:p w14:paraId="6DAE28F5" w14:textId="0010999A" w:rsidR="00C046E3" w:rsidRDefault="00A20660" w:rsidP="00C046E3">
      <w:pPr>
        <w:jc w:val="both"/>
      </w:pPr>
      <w:r>
        <w:t xml:space="preserve">For the four impact categories assessed, the impacts of </w:t>
      </w:r>
      <w:r w:rsidR="00C53179">
        <w:t xml:space="preserve">marginal </w:t>
      </w:r>
      <w:r>
        <w:t xml:space="preserve">P and K fertilizing services mostly come from the production phase. Nitrous oxides land emissions contribute to more than half of the climate change impacts of </w:t>
      </w:r>
      <w:r w:rsidR="00C15AC3">
        <w:t xml:space="preserve">marginal </w:t>
      </w:r>
      <w:r>
        <w:t xml:space="preserve">N-fertilizing </w:t>
      </w:r>
      <w:r w:rsidR="00C15AC3">
        <w:t xml:space="preserve">services </w:t>
      </w:r>
      <w:r>
        <w:t>(</w:t>
      </w:r>
      <w:r w:rsidR="00250063">
        <w:t xml:space="preserve">corresponding to </w:t>
      </w:r>
      <w:r>
        <w:t xml:space="preserve">conventional </w:t>
      </w:r>
      <w:r w:rsidR="00C15AC3">
        <w:t xml:space="preserve">mineral </w:t>
      </w:r>
      <w:r>
        <w:t xml:space="preserve">N </w:t>
      </w:r>
      <w:r w:rsidR="00C15AC3">
        <w:t>land application</w:t>
      </w:r>
      <w:r>
        <w:t xml:space="preserve">). In the </w:t>
      </w:r>
      <w:r w:rsidR="00C15AC3">
        <w:t>“</w:t>
      </w:r>
      <w:r w:rsidR="00250063">
        <w:t xml:space="preserve">towards </w:t>
      </w:r>
      <w:r>
        <w:t>high electrification</w:t>
      </w:r>
      <w:r w:rsidR="00250063">
        <w:t>”</w:t>
      </w:r>
      <w:r>
        <w:t xml:space="preserve"> </w:t>
      </w:r>
      <w:r w:rsidR="00250063">
        <w:t>energy s</w:t>
      </w:r>
      <w:r>
        <w:t xml:space="preserve">cenario, green ammonia production is estimated to reduce the GHG emissions </w:t>
      </w:r>
      <w:r w:rsidR="00250063">
        <w:t>associated with the</w:t>
      </w:r>
      <w:r>
        <w:t xml:space="preserve"> production phase of </w:t>
      </w:r>
      <w:r w:rsidR="00C15AC3">
        <w:t xml:space="preserve">marginal </w:t>
      </w:r>
      <w:r>
        <w:t xml:space="preserve">N-fertilizer by ca. fourfold. </w:t>
      </w:r>
      <w:r w:rsidR="00250063">
        <w:t xml:space="preserve">Yet, </w:t>
      </w:r>
      <w:r>
        <w:t xml:space="preserve">considering </w:t>
      </w:r>
      <w:r w:rsidR="000752FA">
        <w:t xml:space="preserve">the </w:t>
      </w:r>
      <w:r>
        <w:t>spreading and land emissions</w:t>
      </w:r>
      <w:r w:rsidR="000752FA">
        <w:t xml:space="preserve"> phases</w:t>
      </w:r>
      <w:r>
        <w:t xml:space="preserve">, </w:t>
      </w:r>
      <w:r w:rsidR="00250063">
        <w:t>the total climate change impacts of N-fertilizing services are reduced by ca. 30% if implementing green</w:t>
      </w:r>
      <w:r>
        <w:t xml:space="preserve"> ammonia production </w:t>
      </w:r>
      <w:r w:rsidR="00250063">
        <w:t>instead of</w:t>
      </w:r>
      <w:r w:rsidR="000752FA">
        <w:t xml:space="preserve"> conventional fossil-based Haber-Bosch</w:t>
      </w:r>
      <w:r w:rsidR="0034054F">
        <w:t xml:space="preserve"> </w:t>
      </w:r>
      <w:r w:rsidR="00250063">
        <w:t>ammonia production</w:t>
      </w:r>
      <w:r w:rsidR="000752FA">
        <w:t xml:space="preserve">. Net savings in terms of water use when implementing green ammonia production is due to the co-produced oxygen, avoiding </w:t>
      </w:r>
      <w:r w:rsidR="00250063">
        <w:t xml:space="preserve">the </w:t>
      </w:r>
      <w:r w:rsidR="000752FA">
        <w:t xml:space="preserve">water-intensive cryogenic air separation </w:t>
      </w:r>
      <w:r w:rsidR="00250063">
        <w:t xml:space="preserve">processes </w:t>
      </w:r>
      <w:r w:rsidR="000752FA">
        <w:t xml:space="preserve">(here, </w:t>
      </w:r>
      <w:r w:rsidR="00C15AC3">
        <w:t xml:space="preserve">assuming </w:t>
      </w:r>
      <w:r w:rsidR="000752FA">
        <w:t>80% substitution rate</w:t>
      </w:r>
      <w:r w:rsidR="00C15AC3">
        <w:fldChar w:fldCharType="begin"/>
      </w:r>
      <w:r w:rsidR="00CD084F">
        <w:instrText xml:space="preserve"> ADDIN ZOTERO_ITEM CSL_CITATION {"citationID":"SEgTBees","properties":{"formattedCitation":"\\super 1\\nosupersub{}","plainCitation":"1","noteIndex":0},"citationItems":[{"id":14334,"uris":["http://zotero.org/users/6423791/items/VWPZYH5Z"],"itemData":{"id":14334,"type":"article","DOI":"https://doi.org/10.21203/rs.3.rs-3671083/v1","genre":"preprint","publisher":"Research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pathways","author":[{"family":"Javourez","given":"U."},{"family":"Tiruta-Barna","given":"L."},{"family":"Hamelin","given":"L."}],"issued":{"date-parts":[["2023",11,20]]}}}],"schema":"https://github.com/citation-style-language/schema/raw/master/csl-citation.json"} </w:instrText>
      </w:r>
      <w:r w:rsidR="00C15AC3">
        <w:fldChar w:fldCharType="separate"/>
      </w:r>
      <w:r w:rsidR="00C15AC3" w:rsidRPr="00C15AC3">
        <w:rPr>
          <w:rFonts w:ascii="Calibri" w:hAnsi="Calibri" w:cs="Calibri"/>
          <w:szCs w:val="24"/>
          <w:vertAlign w:val="superscript"/>
        </w:rPr>
        <w:t>1</w:t>
      </w:r>
      <w:r w:rsidR="00C15AC3">
        <w:fldChar w:fldCharType="end"/>
      </w:r>
      <w:r w:rsidR="00C15AC3">
        <w:t>, fixed</w:t>
      </w:r>
      <w:r w:rsidR="000752FA">
        <w:t xml:space="preserve">). Almost all the marine eutrophication impacts </w:t>
      </w:r>
      <w:r w:rsidR="00250063">
        <w:t xml:space="preserve">of supplying N-fertilizing services </w:t>
      </w:r>
      <w:r w:rsidR="000752FA">
        <w:t xml:space="preserve">are due to nitrates leaching </w:t>
      </w:r>
      <w:r w:rsidR="00C15AC3">
        <w:t>during</w:t>
      </w:r>
      <w:r w:rsidR="000752FA">
        <w:t xml:space="preserve"> the land spreading phase.</w:t>
      </w:r>
    </w:p>
    <w:p w14:paraId="6566EAD6" w14:textId="77777777" w:rsidR="009955BF" w:rsidRDefault="009955BF" w:rsidP="009955BF">
      <w:pPr>
        <w:pStyle w:val="Contenudetableau"/>
      </w:pPr>
    </w:p>
    <w:p w14:paraId="38A458B8" w14:textId="42021831" w:rsidR="00750E83" w:rsidRPr="00793512" w:rsidRDefault="00750E83" w:rsidP="00750E83">
      <w:pPr>
        <w:pStyle w:val="Titre2"/>
      </w:pPr>
      <w:r>
        <w:t>Food and feed</w:t>
      </w:r>
      <w:r w:rsidRPr="00793512">
        <w:t xml:space="preserve"> markets</w:t>
      </w:r>
    </w:p>
    <w:p w14:paraId="6EC79B7B" w14:textId="58CC7D8C" w:rsidR="00C439F8" w:rsidRPr="00C439F8" w:rsidRDefault="00C439F8" w:rsidP="00C15AC3">
      <w:pPr>
        <w:jc w:val="both"/>
      </w:pPr>
      <w:r w:rsidRPr="00C439F8">
        <w:t xml:space="preserve">The relevant “food and feed markets” characteristics for this study </w:t>
      </w:r>
      <w:r w:rsidR="00C15AC3">
        <w:t>were selected as</w:t>
      </w:r>
      <w:r w:rsidRPr="00C439F8">
        <w:t xml:space="preserve"> the ones directly </w:t>
      </w:r>
      <w:r w:rsidR="00250063">
        <w:t>affecting the LCA scores</w:t>
      </w:r>
      <w:r w:rsidRPr="00C439F8">
        <w:t xml:space="preserve"> of </w:t>
      </w:r>
      <w:r w:rsidR="00250063">
        <w:t xml:space="preserve">the marginal suppliers of </w:t>
      </w:r>
      <w:r w:rsidRPr="00C439F8">
        <w:t>nutritional services</w:t>
      </w:r>
      <w:r w:rsidR="00C15AC3">
        <w:t>, building on previous works</w:t>
      </w:r>
      <w:r w:rsidR="00C15AC3">
        <w:fldChar w:fldCharType="begin"/>
      </w:r>
      <w:r w:rsidR="00C15AC3">
        <w:instrText xml:space="preserve"> ADDIN ZOTERO_ITEM CSL_CITATION {"citationID":"5IFJwDDp","properties":{"formattedCitation":"\\super 2\\nosupersub{}","plainCitation":"2","noteIndex":0},"citationItems":[{"id":13553,"uris":["http://zotero.org/users/6423791/items/EU8KLJZY"],"itemData":{"id":13553,"type":"article-journal","abstract":"Transforming residual biomass into edible ingredients is increasingly\npromoted to alleviate the environmental impacts of food systems. Yet,\nthese approaches mostly rely on emerging technologies and constrained\nresources, and their environmental benefits remain unclear. By combining\nprocess-based consequential life cycle analysis, uncertainty assessment\nand biomass resource estimation, we quantified the impacts of deploying\nwaste-to-nutrition pathways, here applied to the upgrading of agrifood\nco-products by solid-state fermentation (SSF). The benefits of reducing the\ndemand for soybean meal by enhancing the protein concentration of feed\nthrough SSF do not compensate for the environmental burdens induced\nby the process on climate change, water depletion and land use. Besides\nunlocking feed markets to low-feed-quality streams, SSF outperforms\nenergy valorization for most environmental impacts but is less competitive\nto mitigate climate change. Yet, SSF yields overall environmental benefits\nwhen unlocking food markets rather than supplying feed and energy\nservices. Systematic methodological harmonization is required to assess the\npotential of novel ingredients, as outcomes vary according to the displaced\nfood and feed baskets, and related land use changes.","container-title":"Nature Food","DOI":"10.1038/s43016-022-00621-9","journalAbbreviation":"Nat Food","language":"en","page":"911-920","title":"Upgrading agrifood co-products via solid fermentation yields environmental benefits under specific conditions only","volume":"3","author":[{"family":"Javourez","given":"Ugo"},{"family":"Rosero Delgado","given":"Ernesto Alonso"},{"family":"Hamelin","given":"Lorie"}],"issued":{"date-parts":[["2022",10,31]]}}}],"schema":"https://github.com/citation-style-language/schema/raw/master/csl-citation.json"} </w:instrText>
      </w:r>
      <w:r w:rsidR="00C15AC3">
        <w:fldChar w:fldCharType="separate"/>
      </w:r>
      <w:r w:rsidR="00C15AC3" w:rsidRPr="00C15AC3">
        <w:rPr>
          <w:rFonts w:ascii="Calibri" w:hAnsi="Calibri" w:cs="Calibri"/>
          <w:szCs w:val="24"/>
          <w:vertAlign w:val="superscript"/>
        </w:rPr>
        <w:t>2</w:t>
      </w:r>
      <w:r w:rsidR="00C15AC3">
        <w:fldChar w:fldCharType="end"/>
      </w:r>
      <w:r w:rsidRPr="00C439F8">
        <w:t xml:space="preserve">. </w:t>
      </w:r>
      <w:r w:rsidR="00C15AC3">
        <w:t>The</w:t>
      </w:r>
      <w:r w:rsidRPr="00C439F8">
        <w:t xml:space="preserve"> generic grouping</w:t>
      </w:r>
      <w:r w:rsidR="00250063">
        <w:t xml:space="preserve"> of food and feed suppliers</w:t>
      </w:r>
      <w:r w:rsidRPr="00C439F8">
        <w:t xml:space="preserve"> </w:t>
      </w:r>
      <w:r w:rsidR="00250063">
        <w:t>as a function of the main</w:t>
      </w:r>
      <w:r w:rsidRPr="00C439F8">
        <w:t xml:space="preserve"> nutritional </w:t>
      </w:r>
      <w:r w:rsidR="00C15AC3">
        <w:t>services</w:t>
      </w:r>
      <w:r w:rsidR="00250063">
        <w:t xml:space="preserve"> these provide was kept as</w:t>
      </w:r>
      <w:r w:rsidRPr="00C439F8">
        <w:t xml:space="preserve"> </w:t>
      </w:r>
      <w:r w:rsidRPr="00C15AC3">
        <w:t xml:space="preserve">established in </w:t>
      </w:r>
      <w:r w:rsidRPr="00250063">
        <w:t xml:space="preserve">Javourez et al., </w:t>
      </w:r>
      <w:r w:rsidR="00C15AC3" w:rsidRPr="00250063">
        <w:t>(</w:t>
      </w:r>
      <w:r w:rsidRPr="00250063">
        <w:t>2022</w:t>
      </w:r>
      <w:r w:rsidR="00C15AC3" w:rsidRPr="00250063">
        <w:t>)</w:t>
      </w:r>
      <w:r w:rsidRPr="00250063">
        <w:fldChar w:fldCharType="begin"/>
      </w:r>
      <w:r w:rsidR="00690075" w:rsidRPr="00250063">
        <w:instrText xml:space="preserve"> ADDIN ZOTERO_ITEM CSL_CITATION {"citationID":"sZQx0CBA","properties":{"formattedCitation":"\\super 2\\nosupersub{}","plainCitation":"2","noteIndex":0},"citationItems":[{"id":13553,"uris":["http://zotero.org/users/6423791/items/EU8KLJZY"],"itemData":{"id":13553,"type":"article-journal","abstract":"Transforming residual biomass into edible ingredients is increasingly\npromoted to alleviate the environmental impacts of food systems. Yet,\nthese approaches mostly rely on emerging technologies and constrained\nresources, and their environmental benefits remain unclear. By combining\nprocess-based consequential life cycle analysis, uncertainty assessment\nand biomass resource estimation, we quantified the impacts of deploying\nwaste-to-nutrition pathways, here applied to the upgrading of agrifood\nco-products by solid-state fermentation (SSF). The benefits of reducing the\ndemand for soybean meal by enhancing the protein concentration of feed\nthrough SSF do not compensate for the environmental burdens induced\nby the process on climate change, water depletion and land use. Besides\nunlocking feed markets to low-feed-quality streams, SSF outperforms\nenergy valorization for most environmental impacts but is less competitive\nto mitigate climate change. Yet, SSF yields overall environmental benefits\nwhen unlocking food markets rather than supplying feed and energy\nservices. Systematic methodological harmonization is required to assess the\npotential of novel ingredients, as outcomes vary according to the displaced\nfood and feed baskets, and related land use changes.","container-title":"Nature Food","DOI":"10.1038/s43016-022-00621-9","journalAbbreviation":"Nat Food","language":"en","page":"911-920","title":"Upgrading agrifood co-products via solid fermentation yields environmental benefits under specific conditions only","volume":"3","author":[{"family":"Javourez","given":"Ugo"},{"family":"Rosero Delgado","given":"Ernesto Alonso"},{"family":"Hamelin","given":"Lorie"}],"issued":{"date-parts":[["2022",10,31]]}}}],"schema":"https://github.com/citation-style-language/schema/raw/master/csl-citation.json"} </w:instrText>
      </w:r>
      <w:r w:rsidRPr="00250063">
        <w:fldChar w:fldCharType="separate"/>
      </w:r>
      <w:r w:rsidR="00690075" w:rsidRPr="00250063">
        <w:rPr>
          <w:rFonts w:ascii="Calibri" w:hAnsi="Calibri" w:cs="Calibri"/>
          <w:szCs w:val="24"/>
          <w:vertAlign w:val="superscript"/>
        </w:rPr>
        <w:t>2</w:t>
      </w:r>
      <w:r w:rsidRPr="00250063">
        <w:fldChar w:fldCharType="end"/>
      </w:r>
      <w:r w:rsidRPr="00250063">
        <w:t xml:space="preserve"> and </w:t>
      </w:r>
      <w:r w:rsidR="00C15AC3" w:rsidRPr="00250063">
        <w:t>(</w:t>
      </w:r>
      <w:r w:rsidRPr="00250063">
        <w:t>202</w:t>
      </w:r>
      <w:r w:rsidR="00250063" w:rsidRPr="00250063">
        <w:t>4</w:t>
      </w:r>
      <w:r w:rsidR="00C15AC3" w:rsidRPr="00250063">
        <w:t>)</w:t>
      </w:r>
      <w:r w:rsidR="00C15AC3" w:rsidRPr="00250063">
        <w:fldChar w:fldCharType="begin"/>
      </w:r>
      <w:r w:rsidR="00CD084F">
        <w:instrText xml:space="preserve"> ADDIN ZOTERO_ITEM CSL_CITATION {"citationID":"Zwm7vjKE","properties":{"formattedCitation":"\\super 1\\nosupersub{}","plainCitation":"1","noteIndex":0},"citationItems":[{"id":14334,"uris":["http://zotero.org/users/6423791/items/VWPZYH5Z"],"itemData":{"id":14334,"type":"article","DOI":"https://doi.org/10.21203/rs.3.rs-3671083/v1","genre":"preprint","publisher":"Research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pathways","author":[{"family":"Javourez","given":"U."},{"family":"Tiruta-Barna","given":"L."},{"family":"Hamelin","given":"L."}],"issued":{"date-parts":[["2023",11,20]]}}}],"schema":"https://github.com/citation-style-language/schema/raw/master/csl-citation.json"} </w:instrText>
      </w:r>
      <w:r w:rsidR="00C15AC3" w:rsidRPr="00250063">
        <w:fldChar w:fldCharType="separate"/>
      </w:r>
      <w:r w:rsidR="00C15AC3" w:rsidRPr="00250063">
        <w:rPr>
          <w:rFonts w:ascii="Calibri" w:hAnsi="Calibri" w:cs="Calibri"/>
          <w:szCs w:val="24"/>
          <w:vertAlign w:val="superscript"/>
        </w:rPr>
        <w:t>1</w:t>
      </w:r>
      <w:r w:rsidR="00C15AC3" w:rsidRPr="00250063">
        <w:fldChar w:fldCharType="end"/>
      </w:r>
      <w:r w:rsidRPr="00C15AC3">
        <w:t>.</w:t>
      </w:r>
      <w:r>
        <w:t xml:space="preserve"> Feed markets were subdivided into concentrated feed markets considered as global (including proteins, lipids and carbohydrates services), and roughage feed (for ruminant only) assumed as local</w:t>
      </w:r>
      <w:r w:rsidR="00250063">
        <w:t>.</w:t>
      </w:r>
      <w:r w:rsidR="00C15AC3">
        <w:t xml:space="preserve"> </w:t>
      </w:r>
      <w:r w:rsidR="00250063">
        <w:t xml:space="preserve">For food markets, </w:t>
      </w:r>
      <w:r w:rsidR="00C15AC3">
        <w:t xml:space="preserve">only </w:t>
      </w:r>
      <w:r>
        <w:t xml:space="preserve">meat-equivalent and flour-equivalent markets were </w:t>
      </w:r>
      <w:r w:rsidR="00C15AC3">
        <w:t>modeled</w:t>
      </w:r>
      <w:r w:rsidR="00250063">
        <w:t xml:space="preserve">, for being the </w:t>
      </w:r>
      <w:r w:rsidR="00C15AC3">
        <w:t>target of selected novel food</w:t>
      </w:r>
      <w:r w:rsidR="00250063">
        <w:t>s</w:t>
      </w:r>
      <w:r w:rsidR="00C15AC3">
        <w:t xml:space="preserve"> formulation</w:t>
      </w:r>
      <w:r w:rsidR="00250063">
        <w:t xml:space="preserve"> pathways</w:t>
      </w:r>
      <w:r>
        <w:t>. Proposed food and feed markets modeling</w:t>
      </w:r>
      <w:r w:rsidRPr="00C439F8">
        <w:t>, albeit enabling relatively</w:t>
      </w:r>
      <w:r>
        <w:t xml:space="preserve"> </w:t>
      </w:r>
      <w:r w:rsidRPr="00C439F8">
        <w:t xml:space="preserve">broad exploration of </w:t>
      </w:r>
      <w:r w:rsidR="00250063">
        <w:t>contrasted</w:t>
      </w:r>
      <w:r w:rsidRPr="00C439F8">
        <w:t xml:space="preserve"> </w:t>
      </w:r>
      <w:r>
        <w:t xml:space="preserve">future </w:t>
      </w:r>
      <w:r w:rsidRPr="00C439F8">
        <w:t xml:space="preserve">environmental performances of food and feed </w:t>
      </w:r>
      <w:r w:rsidR="00250063">
        <w:t>production</w:t>
      </w:r>
      <w:r w:rsidRPr="00C439F8">
        <w:t xml:space="preserve">, </w:t>
      </w:r>
      <w:r w:rsidR="00C15AC3">
        <w:t>was</w:t>
      </w:r>
      <w:r w:rsidRPr="00C439F8">
        <w:t xml:space="preserve"> nevertheless based on </w:t>
      </w:r>
      <w:r w:rsidR="0034054F">
        <w:t xml:space="preserve">an </w:t>
      </w:r>
      <w:r w:rsidRPr="00C439F8">
        <w:t>extrapolation of current trends, as e.g. developed in the OECD-FAO Agricultural outlook</w:t>
      </w:r>
      <w:r w:rsidRPr="00C439F8">
        <w:fldChar w:fldCharType="begin"/>
      </w:r>
      <w:r w:rsidR="00C61A9E">
        <w:instrText xml:space="preserve"> ADDIN ZOTERO_ITEM CSL_CITATION {"citationID":"qnSRPCcs","properties":{"formattedCitation":"\\super 9\\nosupersub{}","plainCitation":"9","noteIndex":0},"citationItems":[{"id":13772,"uris":["http://zotero.org/users/6423791/items/4WGQ8IFI"],"itemData":{"id":13772,"type":"book","event-place":"Paris","ISBN":"978-92-64-58870-7","language":"en","note":"DOI: 10.1787/f1b0b29c-en","publisher":"OECD Publishing","publisher-place":"Paris","source":"DOI.org (Crossref)","title":"OECD-FAO Agricultural Outlook 2022-2031","URL":"https://www.oecd-ilibrary.org/agriculture-and-food/oecd-fao-agricultural-outlook-2022-2031_f1b0b29c-en","author":[{"literal":"OECD/FAO"}],"accessed":{"date-parts":[["2022",10,14]]},"issued":{"date-parts":[["2022",6,29]]}}}],"schema":"https://github.com/citation-style-language/schema/raw/master/csl-citation.json"} </w:instrText>
      </w:r>
      <w:r w:rsidRPr="00C439F8">
        <w:fldChar w:fldCharType="separate"/>
      </w:r>
      <w:r w:rsidR="00C61A9E" w:rsidRPr="00C61A9E">
        <w:rPr>
          <w:rFonts w:ascii="Calibri" w:hAnsi="Calibri" w:cs="Calibri"/>
          <w:szCs w:val="24"/>
          <w:vertAlign w:val="superscript"/>
        </w:rPr>
        <w:t>9</w:t>
      </w:r>
      <w:r w:rsidRPr="00C439F8">
        <w:fldChar w:fldCharType="end"/>
      </w:r>
      <w:r w:rsidRPr="00C439F8">
        <w:t xml:space="preserve">. </w:t>
      </w:r>
      <w:r w:rsidR="00250063">
        <w:t>In turn</w:t>
      </w:r>
      <w:r w:rsidRPr="00C439F8">
        <w:t xml:space="preserve">, the </w:t>
      </w:r>
      <w:r>
        <w:t xml:space="preserve">simplified sets of </w:t>
      </w:r>
      <w:r w:rsidR="00250063">
        <w:t xml:space="preserve">exploratory </w:t>
      </w:r>
      <w:r w:rsidRPr="00C439F8">
        <w:t>food system</w:t>
      </w:r>
      <w:r w:rsidR="00250063">
        <w:t xml:space="preserve">s </w:t>
      </w:r>
      <w:r>
        <w:t>scenarios</w:t>
      </w:r>
      <w:r w:rsidRPr="00C439F8">
        <w:t xml:space="preserve"> </w:t>
      </w:r>
      <w:r w:rsidR="0034054F">
        <w:t>proposed</w:t>
      </w:r>
      <w:r w:rsidRPr="00C439F8">
        <w:t xml:space="preserve"> </w:t>
      </w:r>
      <w:r w:rsidR="00250063">
        <w:t>here</w:t>
      </w:r>
      <w:r w:rsidRPr="00C439F8">
        <w:t xml:space="preserve"> do not aim to provide an exhaustive panel of all </w:t>
      </w:r>
      <w:r>
        <w:t>reachable situations nor to forecast</w:t>
      </w:r>
      <w:r w:rsidRPr="00C439F8">
        <w:t xml:space="preserve">, </w:t>
      </w:r>
      <w:r>
        <w:t>but rather to provide</w:t>
      </w:r>
      <w:r w:rsidR="00C15AC3">
        <w:t xml:space="preserve"> plausible</w:t>
      </w:r>
      <w:r>
        <w:t xml:space="preserve"> best/worst case future </w:t>
      </w:r>
      <w:r w:rsidR="00250063">
        <w:t>scenarios</w:t>
      </w:r>
      <w:r>
        <w:t xml:space="preserve"> when it comes to the four impact categories assessed. </w:t>
      </w:r>
      <w:r w:rsidR="00250063">
        <w:t>Needless to remind that the</w:t>
      </w:r>
      <w:r>
        <w:t xml:space="preserve"> </w:t>
      </w:r>
      <w:r w:rsidR="003B5A0D">
        <w:t xml:space="preserve">future environmental impacts of </w:t>
      </w:r>
      <w:r>
        <w:t xml:space="preserve">food and feed </w:t>
      </w:r>
      <w:r w:rsidR="00250063">
        <w:t>production</w:t>
      </w:r>
      <w:r>
        <w:t xml:space="preserve"> </w:t>
      </w:r>
      <w:r w:rsidRPr="00C439F8">
        <w:t xml:space="preserve">will depend on the globally-differentiated efforts in implementing supply- and demand-side </w:t>
      </w:r>
      <w:r w:rsidR="003B5A0D">
        <w:t>solutions towards sustainable food systems</w:t>
      </w:r>
      <w:r w:rsidRPr="00C439F8">
        <w:fldChar w:fldCharType="begin"/>
      </w:r>
      <w:r w:rsidR="00C61A9E">
        <w:instrText xml:space="preserve"> ADDIN ZOTERO_ITEM CSL_CITATION {"citationID":"tjStIohz","properties":{"formattedCitation":"\\super 10\\nosupersub{}","plainCitation":"10","noteIndex":0},"citationItems":[{"id":1031,"uris":["http://zotero.org/users/6423791/items/NV44HS9S"],"itemData":{"id":1031,"type":"book","event-place":"Washington (USA)","ISBN":"978-1-56973-963-1","language":"English","publisher":"World Resource Institute","publisher-place":"Washington (USA)","title":"Creating a sustainable food future: A menu of solutions to feed nearly 10 billion people by 2050. Final Report","URL":"https://agritrop.cirad.fr/593176/1/WRR_Food_Full_Report_0.pdf","author":[{"family":"Searchinger","given":"Tim"},{"family":"Waite","given":"Richard"},{"family":"Hanson","given":"Craig"},{"family":"Ranganathan","given":"Janet"},{"family":"Matthews","given":"Emily"}],"issued":{"date-parts":[["2018",12]]}}}],"schema":"https://github.com/citation-style-language/schema/raw/master/csl-citation.json"} </w:instrText>
      </w:r>
      <w:r w:rsidRPr="00C439F8">
        <w:fldChar w:fldCharType="separate"/>
      </w:r>
      <w:r w:rsidR="00C61A9E" w:rsidRPr="00C61A9E">
        <w:rPr>
          <w:rFonts w:ascii="Calibri" w:hAnsi="Calibri" w:cs="Calibri"/>
          <w:szCs w:val="24"/>
          <w:vertAlign w:val="superscript"/>
        </w:rPr>
        <w:t>10</w:t>
      </w:r>
      <w:r w:rsidRPr="00C439F8">
        <w:fldChar w:fldCharType="end"/>
      </w:r>
      <w:r w:rsidRPr="00C439F8">
        <w:t>.</w:t>
      </w:r>
    </w:p>
    <w:p w14:paraId="47A305A0" w14:textId="63BB1D10" w:rsidR="00C439F8" w:rsidRPr="00793512" w:rsidRDefault="00C439F8" w:rsidP="00C439F8">
      <w:pPr>
        <w:pStyle w:val="Titre3"/>
      </w:pPr>
      <w:r>
        <w:t xml:space="preserve">Feed </w:t>
      </w:r>
      <w:r w:rsidRPr="00793512">
        <w:t>markets</w:t>
      </w:r>
    </w:p>
    <w:p w14:paraId="47D01448" w14:textId="3F76C556" w:rsidR="00C15AC3" w:rsidRDefault="0041050F" w:rsidP="00C15AC3">
      <w:pPr>
        <w:jc w:val="both"/>
      </w:pPr>
      <w:r>
        <w:t>The environmental impacts associated with the marginal production of feed</w:t>
      </w:r>
      <w:r w:rsidR="00CD55FD">
        <w:t xml:space="preserve"> ingredients largely affects the LCA scores of waste-to-nutrition pathways: not only by their magnitude, but also because these are contrasted in-between feed ingredients providing different nutritional services (for example, protein feeds against lipids feeds), and between these feed ingredients and non-food commodities (for example, energy and fertilizers). Here, a simplified estimation of contrasted sets of LCA scores related to marginal feed suppliers is proposed, based on two factors. The first one relates to </w:t>
      </w:r>
      <w:r w:rsidR="00C85D50">
        <w:t xml:space="preserve">the </w:t>
      </w:r>
      <w:r w:rsidR="00C15AC3">
        <w:t xml:space="preserve">distribution of </w:t>
      </w:r>
      <w:r w:rsidR="00CD55FD">
        <w:t>different</w:t>
      </w:r>
      <w:r w:rsidR="00C15AC3">
        <w:t xml:space="preserve"> crops </w:t>
      </w:r>
      <w:r w:rsidR="00CD55FD">
        <w:t xml:space="preserve">in the marginal feed production </w:t>
      </w:r>
      <w:r w:rsidR="00C15AC3">
        <w:t>mix</w:t>
      </w:r>
      <w:r w:rsidR="00CD55FD">
        <w:t>. The second related to</w:t>
      </w:r>
      <w:r w:rsidR="00C85D50">
        <w:t xml:space="preserve"> the magnitude of land use change (LUC) impacts</w:t>
      </w:r>
      <w:r w:rsidR="00CD55FD">
        <w:t xml:space="preserve"> associated with this marginal production</w:t>
      </w:r>
      <w:r w:rsidR="00C85D50">
        <w:t>.</w:t>
      </w:r>
      <w:r w:rsidR="00450EDF">
        <w:t xml:space="preserve"> The latter </w:t>
      </w:r>
      <w:r w:rsidR="00CD55FD">
        <w:t>was modeled through</w:t>
      </w:r>
      <w:r w:rsidR="00450EDF">
        <w:t xml:space="preserve"> the marginally-responding yields</w:t>
      </w:r>
      <w:r w:rsidR="00CD55FD">
        <w:t xml:space="preserve"> for each crop,</w:t>
      </w:r>
      <w:r w:rsidR="00450EDF">
        <w:t xml:space="preserve"> and </w:t>
      </w:r>
      <w:r w:rsidR="00CD55FD">
        <w:t xml:space="preserve">by using </w:t>
      </w:r>
      <w:r w:rsidR="008E3F5D">
        <w:t>a deterministic (and generic)</w:t>
      </w:r>
      <w:r w:rsidR="00450EDF">
        <w:t xml:space="preserve"> LUC factor</w:t>
      </w:r>
      <w:r w:rsidR="00450EDF">
        <w:fldChar w:fldCharType="begin"/>
      </w:r>
      <w:r w:rsidR="00690075">
        <w:instrText xml:space="preserve"> ADDIN ZOTERO_ITEM CSL_CITATION {"citationID":"6J18cxUu","properties":{"formattedCitation":"\\super 2\\nosupersub{}","plainCitation":"2","noteIndex":0},"citationItems":[{"id":13553,"uris":["http://zotero.org/users/6423791/items/EU8KLJZY"],"itemData":{"id":13553,"type":"article-journal","abstract":"Transforming residual biomass into edible ingredients is increasingly\npromoted to alleviate the environmental impacts of food systems. Yet,\nthese approaches mostly rely on emerging technologies and constrained\nresources, and their environmental benefits remain unclear. By combining\nprocess-based consequential life cycle analysis, uncertainty assessment\nand biomass resource estimation, we quantified the impacts of deploying\nwaste-to-nutrition pathways, here applied to the upgrading of agrifood\nco-products by solid-state fermentation (SSF). The benefits of reducing the\ndemand for soybean meal by enhancing the protein concentration of feed\nthrough SSF do not compensate for the environmental burdens induced\nby the process on climate change, water depletion and land use. Besides\nunlocking feed markets to low-feed-quality streams, SSF outperforms\nenergy valorization for most environmental impacts but is less competitive\nto mitigate climate change. Yet, SSF yields overall environmental benefits\nwhen unlocking food markets rather than supplying feed and energy\nservices. Systematic methodological harmonization is required to assess the\npotential of novel ingredients, as outcomes vary according to the displaced\nfood and feed baskets, and related land use changes.","container-title":"Nature Food","DOI":"10.1038/s43016-022-00621-9","journalAbbreviation":"Nat Food","language":"en","page":"911-920","title":"Upgrading agrifood co-products via solid fermentation yields environmental benefits under specific conditions only","volume":"3","author":[{"family":"Javourez","given":"Ugo"},{"family":"Rosero Delgado","given":"Ernesto Alonso"},{"family":"Hamelin","given":"Lorie"}],"issued":{"date-parts":[["2022",10,31]]}}}],"schema":"https://github.com/citation-style-language/schema/raw/master/csl-citation.json"} </w:instrText>
      </w:r>
      <w:r w:rsidR="00450EDF">
        <w:fldChar w:fldCharType="separate"/>
      </w:r>
      <w:r w:rsidR="00690075" w:rsidRPr="00690075">
        <w:rPr>
          <w:rFonts w:ascii="Calibri" w:hAnsi="Calibri" w:cs="Calibri"/>
          <w:szCs w:val="24"/>
          <w:vertAlign w:val="superscript"/>
        </w:rPr>
        <w:t>2</w:t>
      </w:r>
      <w:r w:rsidR="00450EDF">
        <w:fldChar w:fldCharType="end"/>
      </w:r>
      <w:r w:rsidR="00450EDF">
        <w:t xml:space="preserve"> </w:t>
      </w:r>
      <w:r w:rsidR="00CD55FD">
        <w:lastRenderedPageBreak/>
        <w:t>representing</w:t>
      </w:r>
      <w:r w:rsidR="00C15AC3">
        <w:t xml:space="preserve"> </w:t>
      </w:r>
      <w:r w:rsidR="00450EDF">
        <w:t xml:space="preserve">the future </w:t>
      </w:r>
      <w:r w:rsidR="008E3F5D">
        <w:t xml:space="preserve">global </w:t>
      </w:r>
      <w:r w:rsidR="00450EDF">
        <w:t xml:space="preserve">balance between intensification and expansion in producing more land-dependent </w:t>
      </w:r>
      <w:r w:rsidR="00CD55FD">
        <w:t>products</w:t>
      </w:r>
      <w:r w:rsidR="00450EDF">
        <w:t>.</w:t>
      </w:r>
      <w:r w:rsidR="00C15AC3">
        <w:t xml:space="preserve"> A first scenario consists in extrapolating the past ten years global feed production trends </w:t>
      </w:r>
      <w:r w:rsidR="00CD55FD">
        <w:t xml:space="preserve">and LUC trends </w:t>
      </w:r>
      <w:r w:rsidR="00C15AC3">
        <w:t xml:space="preserve">according to FAO data (summary in </w:t>
      </w:r>
      <w:r w:rsidR="00C15AC3" w:rsidRPr="00C15AC3">
        <w:rPr>
          <w:b/>
        </w:rPr>
        <w:fldChar w:fldCharType="begin"/>
      </w:r>
      <w:r w:rsidR="00C15AC3" w:rsidRPr="00C15AC3">
        <w:rPr>
          <w:b/>
        </w:rPr>
        <w:instrText xml:space="preserve"> REF _Ref151652324 \h </w:instrText>
      </w:r>
      <w:r w:rsidR="00C15AC3">
        <w:rPr>
          <w:b/>
        </w:rPr>
        <w:instrText xml:space="preserve"> \* MERGEFORMAT </w:instrText>
      </w:r>
      <w:r w:rsidR="00C15AC3" w:rsidRPr="00C15AC3">
        <w:rPr>
          <w:b/>
        </w:rPr>
      </w:r>
      <w:r w:rsidR="00C15AC3" w:rsidRPr="00C15AC3">
        <w:rPr>
          <w:b/>
        </w:rPr>
        <w:fldChar w:fldCharType="separate"/>
      </w:r>
      <w:r w:rsidR="00C15AC3" w:rsidRPr="00C15AC3">
        <w:rPr>
          <w:b/>
        </w:rPr>
        <w:t>Table SI</w:t>
      </w:r>
      <w:r w:rsidR="00C15AC3" w:rsidRPr="00C15AC3">
        <w:rPr>
          <w:b/>
          <w:noProof/>
        </w:rPr>
        <w:t>8</w:t>
      </w:r>
      <w:r w:rsidR="00C15AC3" w:rsidRPr="00C15AC3">
        <w:rPr>
          <w:b/>
        </w:rPr>
        <w:fldChar w:fldCharType="end"/>
      </w:r>
      <w:r w:rsidR="00C15AC3">
        <w:t xml:space="preserve">), already </w:t>
      </w:r>
      <w:r w:rsidR="00CD55FD">
        <w:t xml:space="preserve">performed </w:t>
      </w:r>
      <w:r w:rsidR="00C15AC3">
        <w:t xml:space="preserve">in </w:t>
      </w:r>
      <w:r w:rsidR="00C15AC3" w:rsidRPr="00C15AC3">
        <w:t xml:space="preserve">Javourez et al., </w:t>
      </w:r>
      <w:r w:rsidR="00C15AC3" w:rsidRPr="00CD55FD">
        <w:t>(202</w:t>
      </w:r>
      <w:r w:rsidR="00CD55FD">
        <w:t>2</w:t>
      </w:r>
      <w:r w:rsidR="00C15AC3" w:rsidRPr="00CD55FD">
        <w:t>)</w:t>
      </w:r>
      <w:r w:rsidR="00CD084F">
        <w:fldChar w:fldCharType="begin"/>
      </w:r>
      <w:r w:rsidR="00CD084F">
        <w:instrText xml:space="preserve"> ADDIN ZOTERO_ITEM CSL_CITATION {"citationID":"xoBk4tDV","properties":{"formattedCitation":"\\super 2\\nosupersub{}","plainCitation":"2","noteIndex":0},"citationItems":[{"id":13553,"uris":["http://zotero.org/users/6423791/items/EU8KLJZY"],"itemData":{"id":13553,"type":"article-journal","abstract":"Transforming residual biomass into edible ingredients is increasingly\npromoted to alleviate the environmental impacts of food systems. Yet,\nthese approaches mostly rely on emerging technologies and constrained\nresources, and their environmental benefits remain unclear. By combining\nprocess-based consequential life cycle analysis, uncertainty assessment\nand biomass resource estimation, we quantified the impacts of deploying\nwaste-to-nutrition pathways, here applied to the upgrading of agrifood\nco-products by solid-state fermentation (SSF). The benefits of reducing the\ndemand for soybean meal by enhancing the protein concentration of feed\nthrough SSF do not compensate for the environmental burdens induced\nby the process on climate change, water depletion and land use. Besides\nunlocking feed markets to low-feed-quality streams, SSF outperforms\nenergy valorization for most environmental impacts but is less competitive\nto mitigate climate change. Yet, SSF yields overall environmental benefits\nwhen unlocking food markets rather than supplying feed and energy\nservices. Systematic methodological harmonization is required to assess the\npotential of novel ingredients, as outcomes vary according to the displaced\nfood and feed baskets, and related land use changes.","container-title":"Nature Food","DOI":"10.1038/s43016-022-00621-9","journalAbbreviation":"Nat Food","language":"en","page":"911-920","title":"Upgrading agrifood co-products via solid fermentation yields environmental benefits under specific conditions only","volume":"3","author":[{"family":"Javourez","given":"Ugo"},{"family":"Rosero Delgado","given":"Ernesto Alonso"},{"family":"Hamelin","given":"Lorie"}],"issued":{"date-parts":[["2022",10,31]]}}}],"schema":"https://github.com/citation-style-language/schema/raw/master/csl-citation.json"} </w:instrText>
      </w:r>
      <w:r w:rsidR="00CD084F">
        <w:fldChar w:fldCharType="separate"/>
      </w:r>
      <w:r w:rsidR="00CD084F" w:rsidRPr="00CD084F">
        <w:rPr>
          <w:rFonts w:ascii="Calibri" w:hAnsi="Calibri" w:cs="Calibri"/>
          <w:szCs w:val="24"/>
          <w:vertAlign w:val="superscript"/>
        </w:rPr>
        <w:t>2</w:t>
      </w:r>
      <w:r w:rsidR="00CD084F">
        <w:fldChar w:fldCharType="end"/>
      </w:r>
      <w:r w:rsidR="00C15AC3" w:rsidRPr="00C15AC3">
        <w:t xml:space="preserve"> </w:t>
      </w:r>
      <w:r w:rsidR="00C15AC3">
        <w:t xml:space="preserve">and </w:t>
      </w:r>
      <w:r w:rsidR="00C15AC3" w:rsidRPr="008E3F5D">
        <w:t xml:space="preserve">further referred to as </w:t>
      </w:r>
      <w:r w:rsidR="00C15AC3">
        <w:t xml:space="preserve">the </w:t>
      </w:r>
      <w:r w:rsidR="00C15AC3" w:rsidRPr="008E3F5D">
        <w:t>“</w:t>
      </w:r>
      <w:r w:rsidR="00CD084F">
        <w:t>o</w:t>
      </w:r>
      <w:r w:rsidR="00C15AC3" w:rsidRPr="008E3F5D">
        <w:t>ngoing</w:t>
      </w:r>
      <w:r w:rsidR="00C15AC3">
        <w:t xml:space="preserve"> food systems tr</w:t>
      </w:r>
      <w:r w:rsidR="00CD084F">
        <w:t>ends</w:t>
      </w:r>
      <w:r w:rsidR="00C15AC3" w:rsidRPr="008E3F5D">
        <w:t>”</w:t>
      </w:r>
      <w:r w:rsidR="00CD084F">
        <w:t xml:space="preserve"> scenario</w:t>
      </w:r>
      <w:r w:rsidR="00C15AC3" w:rsidRPr="008E3F5D">
        <w:t>.</w:t>
      </w:r>
    </w:p>
    <w:p w14:paraId="7276AEF6" w14:textId="43338C47" w:rsidR="00B173C6" w:rsidRDefault="00C15AC3" w:rsidP="0017344E">
      <w:pPr>
        <w:jc w:val="both"/>
      </w:pPr>
      <w:r>
        <w:t>T</w:t>
      </w:r>
      <w:r w:rsidR="00185CC1">
        <w:t xml:space="preserve">wo </w:t>
      </w:r>
      <w:r w:rsidR="008E3F5D">
        <w:t xml:space="preserve">additional </w:t>
      </w:r>
      <w:r w:rsidR="00450EDF">
        <w:t>contrasted</w:t>
      </w:r>
      <w:r w:rsidR="00185CC1">
        <w:t xml:space="preserve"> </w:t>
      </w:r>
      <w:r w:rsidR="00CD084F">
        <w:t xml:space="preserve">future </w:t>
      </w:r>
      <w:r w:rsidR="00185CC1">
        <w:t xml:space="preserve">food systems </w:t>
      </w:r>
      <w:r w:rsidR="00CD084F">
        <w:t>scenarios</w:t>
      </w:r>
      <w:r>
        <w:t xml:space="preserve"> were assessed</w:t>
      </w:r>
      <w:r w:rsidR="00C85D50">
        <w:t>.</w:t>
      </w:r>
      <w:r>
        <w:t xml:space="preserve"> </w:t>
      </w:r>
      <w:r w:rsidR="00185CC1">
        <w:t>A best-case scenario entitled “</w:t>
      </w:r>
      <w:r w:rsidR="00CD084F">
        <w:t>t</w:t>
      </w:r>
      <w:r w:rsidR="00185CC1">
        <w:t xml:space="preserve">owards sustainable food systems” was elaborated considering </w:t>
      </w:r>
      <w:r>
        <w:t xml:space="preserve">that </w:t>
      </w:r>
      <w:r w:rsidR="00185CC1">
        <w:t xml:space="preserve">only the </w:t>
      </w:r>
      <w:r w:rsidR="00C85D50">
        <w:t>crop</w:t>
      </w:r>
      <w:r w:rsidR="00185CC1">
        <w:t>s</w:t>
      </w:r>
      <w:r w:rsidR="00C85D50">
        <w:t xml:space="preserve"> </w:t>
      </w:r>
      <w:r w:rsidR="008E3F5D">
        <w:t xml:space="preserve">contributing the most to global feed production increase </w:t>
      </w:r>
      <w:r w:rsidR="00CD084F">
        <w:t xml:space="preserve">today </w:t>
      </w:r>
      <w:r w:rsidR="008E3F5D">
        <w:t>would respond to the additional feed demand (</w:t>
      </w:r>
      <w:r w:rsidR="00CD084F">
        <w:t>that is,</w:t>
      </w:r>
      <w:r w:rsidR="008E3F5D">
        <w:t xml:space="preserve"> the ones displaying the higher </w:t>
      </w:r>
      <w:r w:rsidR="00CD084F">
        <w:t>share</w:t>
      </w:r>
      <w:r w:rsidR="008E3F5D">
        <w:t xml:space="preserve"> in the </w:t>
      </w:r>
      <w:r>
        <w:t xml:space="preserve">extrapolated </w:t>
      </w:r>
      <w:r w:rsidR="008E3F5D">
        <w:t xml:space="preserve">marginal </w:t>
      </w:r>
      <w:r w:rsidR="00CD084F">
        <w:t xml:space="preserve">feed suppliers </w:t>
      </w:r>
      <w:r w:rsidR="008E3F5D">
        <w:t>mix</w:t>
      </w:r>
      <w:r w:rsidR="0017344E">
        <w:t>, as “first order” marginal</w:t>
      </w:r>
      <w:r w:rsidR="00CD084F">
        <w:t xml:space="preserve"> suppliers</w:t>
      </w:r>
      <w:r w:rsidR="008E3F5D">
        <w:t>;</w:t>
      </w:r>
      <w:r>
        <w:t xml:space="preserve"> </w:t>
      </w:r>
      <w:r w:rsidRPr="00C15AC3">
        <w:rPr>
          <w:b/>
        </w:rPr>
        <w:fldChar w:fldCharType="begin"/>
      </w:r>
      <w:r w:rsidRPr="00C15AC3">
        <w:rPr>
          <w:b/>
        </w:rPr>
        <w:instrText xml:space="preserve"> REF _Ref151652324 \h </w:instrText>
      </w:r>
      <w:r>
        <w:rPr>
          <w:b/>
        </w:rPr>
        <w:instrText xml:space="preserve"> \* MERGEFORMAT </w:instrText>
      </w:r>
      <w:r w:rsidRPr="00C15AC3">
        <w:rPr>
          <w:b/>
        </w:rPr>
      </w:r>
      <w:r w:rsidRPr="00C15AC3">
        <w:rPr>
          <w:b/>
        </w:rPr>
        <w:fldChar w:fldCharType="separate"/>
      </w:r>
      <w:r w:rsidRPr="00C15AC3">
        <w:rPr>
          <w:b/>
        </w:rPr>
        <w:t>Table SI</w:t>
      </w:r>
      <w:r w:rsidRPr="00C15AC3">
        <w:rPr>
          <w:b/>
          <w:noProof/>
        </w:rPr>
        <w:t>8</w:t>
      </w:r>
      <w:r w:rsidRPr="00C15AC3">
        <w:rPr>
          <w:b/>
        </w:rPr>
        <w:fldChar w:fldCharType="end"/>
      </w:r>
      <w:r w:rsidR="008E3F5D">
        <w:t>)</w:t>
      </w:r>
      <w:r w:rsidR="00CD084F">
        <w:t>. This scenario also considers</w:t>
      </w:r>
      <w:r w:rsidR="008E3F5D">
        <w:t xml:space="preserve"> </w:t>
      </w:r>
      <w:r>
        <w:t xml:space="preserve">that </w:t>
      </w:r>
      <w:r w:rsidR="008E3F5D">
        <w:t>joint efforts limiting deforestation and bridging yields gap are globally implemented</w:t>
      </w:r>
      <w:r w:rsidR="00CD084F">
        <w:t xml:space="preserve">, meaning </w:t>
      </w:r>
      <w:r w:rsidR="008E3F5D">
        <w:t xml:space="preserve">the share of expansion </w:t>
      </w:r>
      <w:r w:rsidR="00CD084F">
        <w:t xml:space="preserve">shrinks </w:t>
      </w:r>
      <w:r w:rsidR="008E3F5D">
        <w:t xml:space="preserve">down to 25%; </w:t>
      </w:r>
      <w:r w:rsidR="00CD084F">
        <w:t>(</w:t>
      </w:r>
      <w:r w:rsidRPr="00C15AC3">
        <w:rPr>
          <w:b/>
        </w:rPr>
        <w:fldChar w:fldCharType="begin"/>
      </w:r>
      <w:r w:rsidRPr="00C15AC3">
        <w:rPr>
          <w:b/>
        </w:rPr>
        <w:instrText xml:space="preserve"> REF _Ref151652324 \h </w:instrText>
      </w:r>
      <w:r>
        <w:rPr>
          <w:b/>
        </w:rPr>
        <w:instrText xml:space="preserve"> \* MERGEFORMAT </w:instrText>
      </w:r>
      <w:r w:rsidRPr="00C15AC3">
        <w:rPr>
          <w:b/>
        </w:rPr>
      </w:r>
      <w:r w:rsidRPr="00C15AC3">
        <w:rPr>
          <w:b/>
        </w:rPr>
        <w:fldChar w:fldCharType="separate"/>
      </w:r>
      <w:r w:rsidRPr="00C15AC3">
        <w:rPr>
          <w:b/>
        </w:rPr>
        <w:t>Table SI</w:t>
      </w:r>
      <w:r w:rsidRPr="00C15AC3">
        <w:rPr>
          <w:b/>
          <w:noProof/>
        </w:rPr>
        <w:t>8</w:t>
      </w:r>
      <w:r w:rsidRPr="00C15AC3">
        <w:rPr>
          <w:b/>
        </w:rPr>
        <w:fldChar w:fldCharType="end"/>
      </w:r>
      <w:r w:rsidR="008E3F5D">
        <w:t xml:space="preserve">). In this scenario, soybean meal, palm oil, maize and grass silage are respectively the marginal suppliers of proteins, lipids, </w:t>
      </w:r>
      <w:r w:rsidR="00CD084F">
        <w:t xml:space="preserve">carbohydrates </w:t>
      </w:r>
      <w:r w:rsidR="008E3F5D">
        <w:t xml:space="preserve">and roughage feed </w:t>
      </w:r>
      <w:r w:rsidR="00CD084F">
        <w:t>commodities</w:t>
      </w:r>
      <w:r w:rsidR="008E3F5D">
        <w:t xml:space="preserve">. Notably, these crops </w:t>
      </w:r>
      <w:r w:rsidR="00CD084F">
        <w:t xml:space="preserve">present </w:t>
      </w:r>
      <w:r w:rsidR="008E3F5D">
        <w:t xml:space="preserve">the </w:t>
      </w:r>
      <w:r w:rsidR="00384DC1">
        <w:t>best yields</w:t>
      </w:r>
      <w:r w:rsidR="008E3F5D">
        <w:t xml:space="preserve"> </w:t>
      </w:r>
      <w:r w:rsidR="00384DC1">
        <w:t>(</w:t>
      </w:r>
      <w:r w:rsidR="008E3F5D">
        <w:t>for each commodity group</w:t>
      </w:r>
      <w:r w:rsidR="00384DC1">
        <w:t>;</w:t>
      </w:r>
      <w:r>
        <w:t xml:space="preserve"> </w:t>
      </w:r>
      <w:r w:rsidRPr="00C15AC3">
        <w:rPr>
          <w:b/>
        </w:rPr>
        <w:fldChar w:fldCharType="begin"/>
      </w:r>
      <w:r w:rsidRPr="00C15AC3">
        <w:rPr>
          <w:b/>
        </w:rPr>
        <w:instrText xml:space="preserve"> REF _Ref151652626 \h </w:instrText>
      </w:r>
      <w:r>
        <w:rPr>
          <w:b/>
        </w:rPr>
        <w:instrText xml:space="preserve"> \* MERGEFORMAT </w:instrText>
      </w:r>
      <w:r w:rsidRPr="00C15AC3">
        <w:rPr>
          <w:b/>
        </w:rPr>
      </w:r>
      <w:r w:rsidRPr="00C15AC3">
        <w:rPr>
          <w:b/>
        </w:rPr>
        <w:fldChar w:fldCharType="separate"/>
      </w:r>
      <w:r w:rsidRPr="00C15AC3">
        <w:rPr>
          <w:b/>
        </w:rPr>
        <w:t>Table SI</w:t>
      </w:r>
      <w:r w:rsidRPr="00C15AC3">
        <w:rPr>
          <w:b/>
          <w:noProof/>
        </w:rPr>
        <w:t>9</w:t>
      </w:r>
      <w:r w:rsidRPr="00C15AC3">
        <w:rPr>
          <w:b/>
        </w:rPr>
        <w:fldChar w:fldCharType="end"/>
      </w:r>
      <w:r w:rsidR="00384DC1">
        <w:t>)</w:t>
      </w:r>
      <w:r w:rsidR="008E3F5D">
        <w:t xml:space="preserve">, </w:t>
      </w:r>
      <w:r w:rsidR="00384DC1">
        <w:t>partly explaining their position as best environmentally performing crops (discussions below).</w:t>
      </w:r>
      <w:r w:rsidR="00B173C6">
        <w:t xml:space="preserve"> </w:t>
      </w:r>
      <w:r w:rsidR="00450EDF">
        <w:t>A worst-case scenario entitled “</w:t>
      </w:r>
      <w:r w:rsidR="00CD084F">
        <w:t>t</w:t>
      </w:r>
      <w:r w:rsidR="00450EDF">
        <w:t xml:space="preserve">owards uncontrolled land expansion” was </w:t>
      </w:r>
      <w:r w:rsidR="00CD084F">
        <w:t xml:space="preserve">further </w:t>
      </w:r>
      <w:r w:rsidR="00450EDF">
        <w:t>elaborated considering the same marginally-responding feed</w:t>
      </w:r>
      <w:r w:rsidR="00384DC1">
        <w:t xml:space="preserve"> commodities</w:t>
      </w:r>
      <w:r w:rsidR="00450EDF">
        <w:t xml:space="preserve"> </w:t>
      </w:r>
      <w:r w:rsidR="00CD084F">
        <w:t>mixes</w:t>
      </w:r>
      <w:r w:rsidR="00450EDF">
        <w:t xml:space="preserve"> as ongoing trend</w:t>
      </w:r>
      <w:r w:rsidR="00CD084F">
        <w:t>s</w:t>
      </w:r>
      <w:r w:rsidR="00450EDF">
        <w:t xml:space="preserve">, but with increased pressure on arable lands </w:t>
      </w:r>
      <w:r w:rsidR="00CD084F">
        <w:t xml:space="preserve">leading the </w:t>
      </w:r>
      <w:r w:rsidR="00450EDF">
        <w:t xml:space="preserve">share of expansion </w:t>
      </w:r>
      <w:r w:rsidR="00CD084F">
        <w:t>to rise up to</w:t>
      </w:r>
      <w:r w:rsidR="00450EDF">
        <w:t xml:space="preserve"> 85%.</w:t>
      </w:r>
    </w:p>
    <w:p w14:paraId="1FA8312B" w14:textId="577D8776" w:rsidR="00185CC1" w:rsidRPr="00793512" w:rsidRDefault="00C15AC3" w:rsidP="009E08AB">
      <w:pPr>
        <w:pStyle w:val="Lgende"/>
        <w:jc w:val="left"/>
      </w:pPr>
      <w:bookmarkStart w:id="16" w:name="_Ref151652324"/>
      <w:bookmarkStart w:id="17" w:name="_Toc155516844"/>
      <w:r>
        <w:t>Table SI</w:t>
      </w:r>
      <w:r>
        <w:fldChar w:fldCharType="begin"/>
      </w:r>
      <w:r>
        <w:instrText xml:space="preserve"> SEQ Table \* ARABIC </w:instrText>
      </w:r>
      <w:r>
        <w:fldChar w:fldCharType="separate"/>
      </w:r>
      <w:r w:rsidR="00C65861">
        <w:rPr>
          <w:noProof/>
        </w:rPr>
        <w:t>8</w:t>
      </w:r>
      <w:r>
        <w:fldChar w:fldCharType="end"/>
      </w:r>
      <w:bookmarkEnd w:id="16"/>
      <w:r>
        <w:t xml:space="preserve"> </w:t>
      </w:r>
      <w:r w:rsidR="00185CC1" w:rsidRPr="00793512">
        <w:t xml:space="preserve">– </w:t>
      </w:r>
      <w:r w:rsidR="00185CC1">
        <w:t>Marginal feed suppliers mix</w:t>
      </w:r>
      <w:r w:rsidR="00835534">
        <w:t>es</w:t>
      </w:r>
      <w:r w:rsidR="00185CC1">
        <w:t xml:space="preserve"> in </w:t>
      </w:r>
      <w:r w:rsidR="00835534">
        <w:t xml:space="preserve">three future </w:t>
      </w:r>
      <w:r w:rsidR="00185CC1">
        <w:t xml:space="preserve">food systems </w:t>
      </w:r>
      <w:r w:rsidR="00835534">
        <w:t>scenarios</w:t>
      </w:r>
      <w:bookmarkEnd w:id="17"/>
    </w:p>
    <w:tbl>
      <w:tblPr>
        <w:tblStyle w:val="Tableausimple2"/>
        <w:tblW w:w="0" w:type="auto"/>
        <w:jc w:val="center"/>
        <w:tblLook w:val="04A0" w:firstRow="1" w:lastRow="0" w:firstColumn="1" w:lastColumn="0" w:noHBand="0" w:noVBand="1"/>
      </w:tblPr>
      <w:tblGrid>
        <w:gridCol w:w="2399"/>
        <w:gridCol w:w="1854"/>
        <w:gridCol w:w="2594"/>
        <w:gridCol w:w="2225"/>
      </w:tblGrid>
      <w:tr w:rsidR="00185CC1" w:rsidRPr="00F7197B" w14:paraId="1648F1CD" w14:textId="77777777" w:rsidTr="00C15AC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1272FBFE" w14:textId="37254445" w:rsidR="00185CC1" w:rsidRPr="0098795B" w:rsidRDefault="00185CC1" w:rsidP="00C15AC3">
            <w:pPr>
              <w:pStyle w:val="Contenudetableau"/>
              <w:rPr>
                <w:rFonts w:ascii="Calibri" w:hAnsi="Calibri"/>
                <w:bCs w:val="0"/>
                <w:color w:val="000000"/>
                <w:sz w:val="18"/>
                <w:szCs w:val="18"/>
              </w:rPr>
            </w:pPr>
            <w:r>
              <w:rPr>
                <w:bCs w:val="0"/>
                <w:color w:val="000000"/>
                <w:sz w:val="18"/>
                <w:szCs w:val="18"/>
              </w:rPr>
              <w:t>Commodity</w:t>
            </w:r>
            <w:r w:rsidRPr="0098795B">
              <w:rPr>
                <w:bCs w:val="0"/>
                <w:color w:val="000000"/>
                <w:sz w:val="18"/>
                <w:szCs w:val="18"/>
              </w:rPr>
              <w:t xml:space="preserve"> group (% in mix)</w:t>
            </w:r>
          </w:p>
        </w:tc>
        <w:tc>
          <w:tcPr>
            <w:tcW w:w="1854" w:type="dxa"/>
          </w:tcPr>
          <w:p w14:paraId="6039E9AE" w14:textId="62559D93" w:rsidR="00185CC1" w:rsidRPr="0098795B" w:rsidRDefault="00185CC1" w:rsidP="00C15AC3">
            <w:pPr>
              <w:pStyle w:val="Contenudetableau"/>
              <w:cnfStyle w:val="100000000000" w:firstRow="1" w:lastRow="0" w:firstColumn="0" w:lastColumn="0" w:oddVBand="0" w:evenVBand="0" w:oddHBand="0" w:evenHBand="0" w:firstRowFirstColumn="0" w:firstRowLastColumn="0" w:lastRowFirstColumn="0" w:lastRowLastColumn="0"/>
              <w:rPr>
                <w:rFonts w:ascii="Calibri" w:hAnsi="Calibri"/>
                <w:bCs w:val="0"/>
                <w:color w:val="000000"/>
                <w:sz w:val="18"/>
                <w:szCs w:val="18"/>
              </w:rPr>
            </w:pPr>
            <w:r w:rsidRPr="0098795B">
              <w:rPr>
                <w:color w:val="000000"/>
                <w:sz w:val="18"/>
                <w:szCs w:val="18"/>
              </w:rPr>
              <w:t xml:space="preserve">Toward </w:t>
            </w:r>
            <w:r>
              <w:rPr>
                <w:color w:val="000000"/>
                <w:sz w:val="18"/>
                <w:szCs w:val="18"/>
              </w:rPr>
              <w:t>sustainable food systems</w:t>
            </w:r>
          </w:p>
        </w:tc>
        <w:tc>
          <w:tcPr>
            <w:tcW w:w="2594" w:type="dxa"/>
          </w:tcPr>
          <w:p w14:paraId="28C6B112" w14:textId="747FDC78" w:rsidR="00185CC1" w:rsidRPr="0098795B" w:rsidRDefault="00185CC1" w:rsidP="00C15AC3">
            <w:pPr>
              <w:pStyle w:val="Contenudetableau"/>
              <w:cnfStyle w:val="100000000000" w:firstRow="1" w:lastRow="0" w:firstColumn="0" w:lastColumn="0" w:oddVBand="0" w:evenVBand="0" w:oddHBand="0" w:evenHBand="0" w:firstRowFirstColumn="0" w:firstRowLastColumn="0" w:lastRowFirstColumn="0" w:lastRowLastColumn="0"/>
              <w:rPr>
                <w:bCs w:val="0"/>
                <w:color w:val="000000"/>
                <w:sz w:val="18"/>
                <w:szCs w:val="18"/>
              </w:rPr>
            </w:pPr>
            <w:r>
              <w:rPr>
                <w:color w:val="000000"/>
                <w:sz w:val="18"/>
                <w:szCs w:val="18"/>
              </w:rPr>
              <w:t>Ongoing food systems tr</w:t>
            </w:r>
            <w:r w:rsidR="0050583C">
              <w:rPr>
                <w:color w:val="000000"/>
                <w:sz w:val="18"/>
                <w:szCs w:val="18"/>
              </w:rPr>
              <w:t>ends</w:t>
            </w:r>
          </w:p>
        </w:tc>
        <w:tc>
          <w:tcPr>
            <w:tcW w:w="2225" w:type="dxa"/>
          </w:tcPr>
          <w:p w14:paraId="022310D2" w14:textId="421D59AE" w:rsidR="00185CC1" w:rsidRPr="00F7197B" w:rsidRDefault="00185CC1" w:rsidP="00C15AC3">
            <w:pPr>
              <w:pStyle w:val="Contenudetableau"/>
              <w:cnfStyle w:val="100000000000" w:firstRow="1" w:lastRow="0" w:firstColumn="0" w:lastColumn="0" w:oddVBand="0" w:evenVBand="0" w:oddHBand="0" w:evenHBand="0" w:firstRowFirstColumn="0" w:firstRowLastColumn="0" w:lastRowFirstColumn="0" w:lastRowLastColumn="0"/>
              <w:rPr>
                <w:bCs w:val="0"/>
                <w:color w:val="000000"/>
                <w:sz w:val="18"/>
                <w:szCs w:val="18"/>
                <w:lang w:val="fr-FR"/>
              </w:rPr>
            </w:pPr>
            <w:proofErr w:type="spellStart"/>
            <w:r>
              <w:rPr>
                <w:color w:val="000000"/>
                <w:sz w:val="18"/>
                <w:szCs w:val="18"/>
                <w:lang w:val="fr-FR"/>
              </w:rPr>
              <w:t>Towards</w:t>
            </w:r>
            <w:proofErr w:type="spellEnd"/>
            <w:r>
              <w:rPr>
                <w:color w:val="000000"/>
                <w:sz w:val="18"/>
                <w:szCs w:val="18"/>
                <w:lang w:val="fr-FR"/>
              </w:rPr>
              <w:t xml:space="preserve"> </w:t>
            </w:r>
            <w:proofErr w:type="spellStart"/>
            <w:r>
              <w:rPr>
                <w:color w:val="000000"/>
                <w:sz w:val="18"/>
                <w:szCs w:val="18"/>
                <w:lang w:val="fr-FR"/>
              </w:rPr>
              <w:t>uncontrolled</w:t>
            </w:r>
            <w:proofErr w:type="spellEnd"/>
            <w:r>
              <w:rPr>
                <w:color w:val="000000"/>
                <w:sz w:val="18"/>
                <w:szCs w:val="18"/>
                <w:lang w:val="fr-FR"/>
              </w:rPr>
              <w:t xml:space="preserve"> land expansion</w:t>
            </w:r>
          </w:p>
        </w:tc>
      </w:tr>
      <w:tr w:rsidR="004F40BF" w:rsidRPr="00F7197B" w14:paraId="3D014727"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E7E6E6" w:themeFill="background2"/>
          </w:tcPr>
          <w:p w14:paraId="305B6368" w14:textId="675F5125" w:rsidR="004F40BF" w:rsidRDefault="004F40BF" w:rsidP="00C15AC3">
            <w:pPr>
              <w:pStyle w:val="Contenudetableau"/>
              <w:rPr>
                <w:color w:val="000000"/>
                <w:sz w:val="18"/>
                <w:szCs w:val="18"/>
                <w:lang w:val="fr-FR"/>
              </w:rPr>
            </w:pPr>
            <w:proofErr w:type="spellStart"/>
            <w:r>
              <w:rPr>
                <w:color w:val="000000"/>
                <w:sz w:val="18"/>
                <w:szCs w:val="18"/>
                <w:lang w:val="fr-FR"/>
              </w:rPr>
              <w:t>Protein</w:t>
            </w:r>
            <w:proofErr w:type="spellEnd"/>
            <w:r>
              <w:rPr>
                <w:color w:val="000000"/>
                <w:sz w:val="18"/>
                <w:szCs w:val="18"/>
                <w:lang w:val="fr-FR"/>
              </w:rPr>
              <w:t xml:space="preserve"> </w:t>
            </w:r>
            <w:proofErr w:type="spellStart"/>
            <w:r>
              <w:rPr>
                <w:color w:val="000000"/>
                <w:sz w:val="18"/>
                <w:szCs w:val="18"/>
                <w:lang w:val="fr-FR"/>
              </w:rPr>
              <w:t>feed</w:t>
            </w:r>
            <w:r w:rsidR="00835534">
              <w:rPr>
                <w:color w:val="000000"/>
                <w:sz w:val="18"/>
                <w:szCs w:val="18"/>
                <w:lang w:val="fr-FR"/>
              </w:rPr>
              <w:t>s</w:t>
            </w:r>
            <w:proofErr w:type="spellEnd"/>
          </w:p>
        </w:tc>
      </w:tr>
      <w:tr w:rsidR="004F40BF" w:rsidRPr="0098795B" w14:paraId="526C6526"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07711115" w14:textId="0B397769" w:rsidR="004F40BF" w:rsidRPr="00DF637C" w:rsidRDefault="004F40BF" w:rsidP="00C15AC3">
            <w:pPr>
              <w:pStyle w:val="Contenudetableau"/>
              <w:rPr>
                <w:rFonts w:ascii="Calibri" w:hAnsi="Calibri"/>
                <w:b w:val="0"/>
                <w:color w:val="000000"/>
                <w:sz w:val="18"/>
                <w:szCs w:val="18"/>
              </w:rPr>
            </w:pPr>
            <w:r>
              <w:rPr>
                <w:b w:val="0"/>
                <w:sz w:val="18"/>
              </w:rPr>
              <w:t>Soybean meal</w:t>
            </w:r>
          </w:p>
        </w:tc>
        <w:tc>
          <w:tcPr>
            <w:tcW w:w="1854" w:type="dxa"/>
          </w:tcPr>
          <w:p w14:paraId="17A90150" w14:textId="12DBCAFE" w:rsidR="004F40BF" w:rsidRPr="0098795B" w:rsidRDefault="004F40BF"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100%</w:t>
            </w:r>
          </w:p>
        </w:tc>
        <w:tc>
          <w:tcPr>
            <w:tcW w:w="2594" w:type="dxa"/>
          </w:tcPr>
          <w:p w14:paraId="49A413C2" w14:textId="69CB6F6C" w:rsidR="004F40BF" w:rsidRPr="0098795B" w:rsidRDefault="004F40BF"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52%</w:t>
            </w:r>
          </w:p>
        </w:tc>
        <w:tc>
          <w:tcPr>
            <w:tcW w:w="2225" w:type="dxa"/>
          </w:tcPr>
          <w:p w14:paraId="3696CE12" w14:textId="3512E7D2" w:rsidR="004F40BF" w:rsidRPr="0098795B" w:rsidRDefault="004F40BF"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52%</w:t>
            </w:r>
          </w:p>
        </w:tc>
      </w:tr>
      <w:tr w:rsidR="004F40BF" w:rsidRPr="0098795B" w14:paraId="39A7F058"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23715021" w14:textId="04D77792" w:rsidR="004F40BF" w:rsidRPr="00DF637C" w:rsidRDefault="004F40BF" w:rsidP="00C15AC3">
            <w:pPr>
              <w:pStyle w:val="Contenudetableau"/>
              <w:rPr>
                <w:rFonts w:ascii="Calibri" w:hAnsi="Calibri"/>
                <w:b w:val="0"/>
                <w:color w:val="000000"/>
                <w:sz w:val="18"/>
                <w:szCs w:val="18"/>
              </w:rPr>
            </w:pPr>
            <w:r>
              <w:rPr>
                <w:b w:val="0"/>
                <w:sz w:val="18"/>
              </w:rPr>
              <w:t>Rapeseed meal</w:t>
            </w:r>
          </w:p>
        </w:tc>
        <w:tc>
          <w:tcPr>
            <w:tcW w:w="1854" w:type="dxa"/>
          </w:tcPr>
          <w:p w14:paraId="4D1BB5FD" w14:textId="77777777" w:rsidR="004F40BF" w:rsidRPr="0098795B" w:rsidRDefault="004F40BF"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594" w:type="dxa"/>
          </w:tcPr>
          <w:p w14:paraId="3B2186FF" w14:textId="4CB93BC0" w:rsidR="004F40BF" w:rsidRPr="0098795B" w:rsidRDefault="004F40BF"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24%</w:t>
            </w:r>
          </w:p>
        </w:tc>
        <w:tc>
          <w:tcPr>
            <w:tcW w:w="2225" w:type="dxa"/>
          </w:tcPr>
          <w:p w14:paraId="1044C78C" w14:textId="31543A95" w:rsidR="004F40BF" w:rsidRPr="0098795B" w:rsidRDefault="004F40BF"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24%</w:t>
            </w:r>
          </w:p>
        </w:tc>
      </w:tr>
      <w:tr w:rsidR="004F40BF" w:rsidRPr="0098795B" w14:paraId="210A0FB0"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1822C2E1" w14:textId="56BB4CE6" w:rsidR="004F40BF" w:rsidRDefault="004F40BF" w:rsidP="00C15AC3">
            <w:pPr>
              <w:pStyle w:val="Contenudetableau"/>
              <w:rPr>
                <w:b w:val="0"/>
                <w:sz w:val="18"/>
              </w:rPr>
            </w:pPr>
            <w:r>
              <w:rPr>
                <w:b w:val="0"/>
                <w:sz w:val="18"/>
              </w:rPr>
              <w:t>Sunflower meal</w:t>
            </w:r>
          </w:p>
        </w:tc>
        <w:tc>
          <w:tcPr>
            <w:tcW w:w="1854" w:type="dxa"/>
          </w:tcPr>
          <w:p w14:paraId="089AE00C" w14:textId="77777777" w:rsidR="004F40BF" w:rsidRPr="0098795B" w:rsidRDefault="004F40BF"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p>
        </w:tc>
        <w:tc>
          <w:tcPr>
            <w:tcW w:w="2594" w:type="dxa"/>
          </w:tcPr>
          <w:p w14:paraId="3891E994" w14:textId="49944826" w:rsidR="004F40BF" w:rsidRPr="0098795B" w:rsidRDefault="004F40BF"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24%</w:t>
            </w:r>
          </w:p>
        </w:tc>
        <w:tc>
          <w:tcPr>
            <w:tcW w:w="2225" w:type="dxa"/>
          </w:tcPr>
          <w:p w14:paraId="50BA959A" w14:textId="07583110" w:rsidR="004F40BF" w:rsidRDefault="004F40BF"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24%</w:t>
            </w:r>
          </w:p>
        </w:tc>
      </w:tr>
      <w:tr w:rsidR="008F0D4A" w:rsidRPr="0098795B" w14:paraId="0A001367"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E7E6E6" w:themeFill="background2"/>
          </w:tcPr>
          <w:p w14:paraId="6B6B2F3C" w14:textId="786E4582" w:rsidR="008F0D4A" w:rsidRDefault="00835534" w:rsidP="00C15AC3">
            <w:pPr>
              <w:pStyle w:val="Contenudetableau"/>
              <w:rPr>
                <w:color w:val="000000"/>
                <w:sz w:val="18"/>
              </w:rPr>
            </w:pPr>
            <w:r>
              <w:rPr>
                <w:color w:val="000000"/>
                <w:sz w:val="18"/>
                <w:szCs w:val="18"/>
                <w:lang w:val="fr-FR"/>
              </w:rPr>
              <w:t xml:space="preserve">Carbohydrates </w:t>
            </w:r>
            <w:proofErr w:type="spellStart"/>
            <w:r>
              <w:rPr>
                <w:color w:val="000000"/>
                <w:sz w:val="18"/>
                <w:szCs w:val="18"/>
                <w:lang w:val="fr-FR"/>
              </w:rPr>
              <w:t>feeds</w:t>
            </w:r>
            <w:proofErr w:type="spellEnd"/>
          </w:p>
        </w:tc>
      </w:tr>
      <w:tr w:rsidR="008F0D4A" w:rsidRPr="0098795B" w14:paraId="65C3FEBD"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7ABC396E" w14:textId="466834D6" w:rsidR="008F0D4A" w:rsidRPr="00DF637C" w:rsidRDefault="008F0D4A" w:rsidP="00C15AC3">
            <w:pPr>
              <w:pStyle w:val="Contenudetableau"/>
              <w:rPr>
                <w:rFonts w:ascii="Calibri" w:hAnsi="Calibri"/>
                <w:b w:val="0"/>
                <w:color w:val="000000"/>
                <w:sz w:val="18"/>
                <w:szCs w:val="18"/>
              </w:rPr>
            </w:pPr>
            <w:r>
              <w:rPr>
                <w:rFonts w:ascii="Calibri" w:hAnsi="Calibri"/>
                <w:b w:val="0"/>
                <w:color w:val="000000"/>
                <w:sz w:val="18"/>
                <w:szCs w:val="18"/>
              </w:rPr>
              <w:t>Wheat</w:t>
            </w:r>
          </w:p>
        </w:tc>
        <w:tc>
          <w:tcPr>
            <w:tcW w:w="1854" w:type="dxa"/>
          </w:tcPr>
          <w:p w14:paraId="21F42C85" w14:textId="7B9E92DA"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p>
        </w:tc>
        <w:tc>
          <w:tcPr>
            <w:tcW w:w="2594" w:type="dxa"/>
          </w:tcPr>
          <w:p w14:paraId="2F5CB206" w14:textId="754908CA"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24%</w:t>
            </w:r>
          </w:p>
        </w:tc>
        <w:tc>
          <w:tcPr>
            <w:tcW w:w="2225" w:type="dxa"/>
          </w:tcPr>
          <w:p w14:paraId="12266381" w14:textId="5A1B6A0B"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24%</w:t>
            </w:r>
          </w:p>
        </w:tc>
      </w:tr>
      <w:tr w:rsidR="008F0D4A" w:rsidRPr="0098795B" w14:paraId="6443254B"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2B107F50" w14:textId="0ADAB99B" w:rsidR="008F0D4A" w:rsidRPr="00DF637C" w:rsidRDefault="008F0D4A" w:rsidP="00C15AC3">
            <w:pPr>
              <w:pStyle w:val="Contenudetableau"/>
              <w:rPr>
                <w:rFonts w:ascii="Calibri" w:hAnsi="Calibri"/>
                <w:b w:val="0"/>
                <w:color w:val="000000"/>
                <w:sz w:val="18"/>
                <w:szCs w:val="18"/>
              </w:rPr>
            </w:pPr>
            <w:r>
              <w:rPr>
                <w:rFonts w:ascii="Calibri" w:hAnsi="Calibri"/>
                <w:b w:val="0"/>
                <w:color w:val="000000"/>
                <w:sz w:val="18"/>
                <w:szCs w:val="18"/>
              </w:rPr>
              <w:t>Barley</w:t>
            </w:r>
          </w:p>
        </w:tc>
        <w:tc>
          <w:tcPr>
            <w:tcW w:w="1854" w:type="dxa"/>
          </w:tcPr>
          <w:p w14:paraId="32F0F40F" w14:textId="77777777" w:rsidR="008F0D4A" w:rsidRPr="0098795B"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594" w:type="dxa"/>
          </w:tcPr>
          <w:p w14:paraId="60CFAEAD" w14:textId="5D98396A" w:rsidR="008F0D4A" w:rsidRPr="0098795B"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9%</w:t>
            </w:r>
          </w:p>
        </w:tc>
        <w:tc>
          <w:tcPr>
            <w:tcW w:w="2225" w:type="dxa"/>
          </w:tcPr>
          <w:p w14:paraId="1A6D0AC7" w14:textId="68BFFD43" w:rsidR="008F0D4A" w:rsidRPr="0098795B"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9%</w:t>
            </w:r>
          </w:p>
        </w:tc>
      </w:tr>
      <w:tr w:rsidR="008F0D4A" w:rsidRPr="0098795B" w14:paraId="12C26D03"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0B0B4648" w14:textId="75F8EC51" w:rsidR="008F0D4A" w:rsidRDefault="008F0D4A" w:rsidP="00C15AC3">
            <w:pPr>
              <w:pStyle w:val="Contenudetableau"/>
              <w:rPr>
                <w:rFonts w:ascii="Calibri" w:hAnsi="Calibri"/>
                <w:b w:val="0"/>
                <w:color w:val="000000"/>
                <w:sz w:val="18"/>
                <w:szCs w:val="18"/>
              </w:rPr>
            </w:pPr>
            <w:r>
              <w:rPr>
                <w:rFonts w:ascii="Calibri" w:hAnsi="Calibri"/>
                <w:b w:val="0"/>
                <w:color w:val="000000"/>
                <w:sz w:val="18"/>
                <w:szCs w:val="18"/>
              </w:rPr>
              <w:t>Maize</w:t>
            </w:r>
          </w:p>
        </w:tc>
        <w:tc>
          <w:tcPr>
            <w:tcW w:w="1854" w:type="dxa"/>
          </w:tcPr>
          <w:p w14:paraId="4A93DC92" w14:textId="29B5AEC5"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100%</w:t>
            </w:r>
          </w:p>
        </w:tc>
        <w:tc>
          <w:tcPr>
            <w:tcW w:w="2594" w:type="dxa"/>
          </w:tcPr>
          <w:p w14:paraId="2581B185" w14:textId="652CF2CC"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67%</w:t>
            </w:r>
          </w:p>
        </w:tc>
        <w:tc>
          <w:tcPr>
            <w:tcW w:w="2225" w:type="dxa"/>
          </w:tcPr>
          <w:p w14:paraId="7B84050B" w14:textId="2863E84E"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67%</w:t>
            </w:r>
          </w:p>
        </w:tc>
      </w:tr>
      <w:tr w:rsidR="008F0D4A" w:rsidRPr="0098795B" w14:paraId="259E8F54"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4"/>
          </w:tcPr>
          <w:p w14:paraId="18663F7E" w14:textId="7FB67091" w:rsidR="008F0D4A" w:rsidRPr="0098795B" w:rsidRDefault="008F0D4A" w:rsidP="00C15AC3">
            <w:pPr>
              <w:pStyle w:val="Contenudetableau"/>
              <w:rPr>
                <w:color w:val="000000"/>
                <w:sz w:val="18"/>
              </w:rPr>
            </w:pPr>
            <w:proofErr w:type="spellStart"/>
            <w:r>
              <w:rPr>
                <w:color w:val="000000"/>
                <w:sz w:val="18"/>
                <w:szCs w:val="18"/>
                <w:lang w:val="fr-FR"/>
              </w:rPr>
              <w:t>Lipids</w:t>
            </w:r>
            <w:proofErr w:type="spellEnd"/>
            <w:r>
              <w:rPr>
                <w:color w:val="000000"/>
                <w:sz w:val="18"/>
                <w:szCs w:val="18"/>
                <w:lang w:val="fr-FR"/>
              </w:rPr>
              <w:t xml:space="preserve"> </w:t>
            </w:r>
            <w:proofErr w:type="spellStart"/>
            <w:r>
              <w:rPr>
                <w:color w:val="000000"/>
                <w:sz w:val="18"/>
                <w:szCs w:val="18"/>
                <w:lang w:val="fr-FR"/>
              </w:rPr>
              <w:t>feed</w:t>
            </w:r>
            <w:r w:rsidR="00835534">
              <w:rPr>
                <w:color w:val="000000"/>
                <w:sz w:val="18"/>
                <w:szCs w:val="18"/>
                <w:lang w:val="fr-FR"/>
              </w:rPr>
              <w:t>s</w:t>
            </w:r>
            <w:proofErr w:type="spellEnd"/>
          </w:p>
        </w:tc>
      </w:tr>
      <w:tr w:rsidR="008F0D4A" w:rsidRPr="0098795B" w14:paraId="27E8DE71"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4EED5917" w14:textId="6A8CC5EE" w:rsidR="008F0D4A" w:rsidRPr="00DF637C" w:rsidRDefault="008F0D4A" w:rsidP="00C15AC3">
            <w:pPr>
              <w:pStyle w:val="Contenudetableau"/>
              <w:rPr>
                <w:rFonts w:ascii="Calibri" w:hAnsi="Calibri"/>
                <w:b w:val="0"/>
                <w:color w:val="000000"/>
                <w:sz w:val="18"/>
                <w:szCs w:val="18"/>
              </w:rPr>
            </w:pPr>
            <w:r>
              <w:rPr>
                <w:b w:val="0"/>
                <w:sz w:val="18"/>
              </w:rPr>
              <w:t>Palm oil</w:t>
            </w:r>
          </w:p>
        </w:tc>
        <w:tc>
          <w:tcPr>
            <w:tcW w:w="1854" w:type="dxa"/>
          </w:tcPr>
          <w:p w14:paraId="027F9D74" w14:textId="34982A07"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100%</w:t>
            </w:r>
          </w:p>
        </w:tc>
        <w:tc>
          <w:tcPr>
            <w:tcW w:w="2594" w:type="dxa"/>
          </w:tcPr>
          <w:p w14:paraId="74C8134D" w14:textId="42D119F9"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50%</w:t>
            </w:r>
          </w:p>
        </w:tc>
        <w:tc>
          <w:tcPr>
            <w:tcW w:w="2225" w:type="dxa"/>
          </w:tcPr>
          <w:p w14:paraId="3A99589A" w14:textId="43FC0AC1"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50%</w:t>
            </w:r>
          </w:p>
        </w:tc>
      </w:tr>
      <w:tr w:rsidR="008F0D4A" w:rsidRPr="0098795B" w14:paraId="275BFC36"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4A2062D5" w14:textId="3C8E60A3" w:rsidR="008F0D4A" w:rsidRDefault="008F0D4A" w:rsidP="00C15AC3">
            <w:pPr>
              <w:pStyle w:val="Contenudetableau"/>
              <w:rPr>
                <w:b w:val="0"/>
                <w:sz w:val="18"/>
              </w:rPr>
            </w:pPr>
            <w:r>
              <w:rPr>
                <w:b w:val="0"/>
                <w:sz w:val="18"/>
              </w:rPr>
              <w:t>Rapeseed oil</w:t>
            </w:r>
          </w:p>
        </w:tc>
        <w:tc>
          <w:tcPr>
            <w:tcW w:w="1854" w:type="dxa"/>
          </w:tcPr>
          <w:p w14:paraId="577C72A0" w14:textId="77777777" w:rsidR="008F0D4A"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594" w:type="dxa"/>
          </w:tcPr>
          <w:p w14:paraId="5C463785" w14:textId="6866385A" w:rsidR="008F0D4A"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w:t>
            </w:r>
          </w:p>
        </w:tc>
        <w:tc>
          <w:tcPr>
            <w:tcW w:w="2225" w:type="dxa"/>
          </w:tcPr>
          <w:p w14:paraId="0CCCC987" w14:textId="373567CE" w:rsidR="008F0D4A"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w:t>
            </w:r>
          </w:p>
        </w:tc>
      </w:tr>
      <w:tr w:rsidR="008F0D4A" w:rsidRPr="0098795B" w14:paraId="6BC4EE1F"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18D6B822" w14:textId="6E3E5495" w:rsidR="008F0D4A" w:rsidRPr="00DF637C" w:rsidRDefault="008F0D4A" w:rsidP="00C15AC3">
            <w:pPr>
              <w:pStyle w:val="Contenudetableau"/>
              <w:rPr>
                <w:rFonts w:ascii="Calibri" w:hAnsi="Calibri"/>
                <w:b w:val="0"/>
                <w:color w:val="000000"/>
                <w:sz w:val="18"/>
                <w:szCs w:val="18"/>
              </w:rPr>
            </w:pPr>
            <w:r>
              <w:rPr>
                <w:rFonts w:ascii="Calibri" w:hAnsi="Calibri"/>
                <w:b w:val="0"/>
                <w:color w:val="000000"/>
                <w:sz w:val="18"/>
                <w:szCs w:val="18"/>
              </w:rPr>
              <w:t>Soybean oil</w:t>
            </w:r>
          </w:p>
        </w:tc>
        <w:tc>
          <w:tcPr>
            <w:tcW w:w="1854" w:type="dxa"/>
          </w:tcPr>
          <w:p w14:paraId="00629E49" w14:textId="77777777"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p>
        </w:tc>
        <w:tc>
          <w:tcPr>
            <w:tcW w:w="2594" w:type="dxa"/>
          </w:tcPr>
          <w:p w14:paraId="625F1741" w14:textId="6B79C003"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34%</w:t>
            </w:r>
          </w:p>
        </w:tc>
        <w:tc>
          <w:tcPr>
            <w:tcW w:w="2225" w:type="dxa"/>
          </w:tcPr>
          <w:p w14:paraId="750C166B" w14:textId="16DC0D93"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34%</w:t>
            </w:r>
          </w:p>
        </w:tc>
      </w:tr>
      <w:tr w:rsidR="008F0D4A" w:rsidRPr="0098795B" w14:paraId="63C4A754"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52743FA4" w14:textId="066555BE" w:rsidR="008F0D4A" w:rsidRPr="00DF637C" w:rsidRDefault="008F0D4A" w:rsidP="00C15AC3">
            <w:pPr>
              <w:pStyle w:val="Contenudetableau"/>
              <w:rPr>
                <w:rFonts w:ascii="Calibri" w:hAnsi="Calibri"/>
                <w:b w:val="0"/>
                <w:color w:val="000000"/>
                <w:sz w:val="18"/>
                <w:szCs w:val="18"/>
              </w:rPr>
            </w:pPr>
            <w:r>
              <w:rPr>
                <w:b w:val="0"/>
                <w:sz w:val="18"/>
              </w:rPr>
              <w:t>Sunflower oil</w:t>
            </w:r>
          </w:p>
        </w:tc>
        <w:tc>
          <w:tcPr>
            <w:tcW w:w="1854" w:type="dxa"/>
          </w:tcPr>
          <w:p w14:paraId="50BA56EF" w14:textId="77777777" w:rsidR="008F0D4A" w:rsidRPr="0098795B"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594" w:type="dxa"/>
          </w:tcPr>
          <w:p w14:paraId="17A5FF4B" w14:textId="5F50D386" w:rsidR="008F0D4A" w:rsidRPr="0098795B"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13%</w:t>
            </w:r>
          </w:p>
        </w:tc>
        <w:tc>
          <w:tcPr>
            <w:tcW w:w="2225" w:type="dxa"/>
          </w:tcPr>
          <w:p w14:paraId="563FAC5F" w14:textId="13017BAC" w:rsidR="008F0D4A" w:rsidRPr="0098795B"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13%</w:t>
            </w:r>
          </w:p>
        </w:tc>
      </w:tr>
      <w:tr w:rsidR="008F0D4A" w:rsidRPr="0098795B" w14:paraId="2F5098CC"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E7E6E6" w:themeFill="background2"/>
          </w:tcPr>
          <w:p w14:paraId="551C074B" w14:textId="2DC8E71E" w:rsidR="008F0D4A" w:rsidRPr="0098795B" w:rsidRDefault="008F0D4A" w:rsidP="00C15AC3">
            <w:pPr>
              <w:pStyle w:val="Contenudetableau"/>
              <w:rPr>
                <w:color w:val="000000"/>
                <w:sz w:val="18"/>
              </w:rPr>
            </w:pPr>
            <w:proofErr w:type="spellStart"/>
            <w:r>
              <w:rPr>
                <w:color w:val="000000"/>
                <w:sz w:val="18"/>
                <w:szCs w:val="18"/>
                <w:lang w:val="fr-FR"/>
              </w:rPr>
              <w:t>Roughage</w:t>
            </w:r>
            <w:proofErr w:type="spellEnd"/>
            <w:r>
              <w:rPr>
                <w:color w:val="000000"/>
                <w:sz w:val="18"/>
                <w:szCs w:val="18"/>
                <w:lang w:val="fr-FR"/>
              </w:rPr>
              <w:t xml:space="preserve"> </w:t>
            </w:r>
            <w:proofErr w:type="spellStart"/>
            <w:r>
              <w:rPr>
                <w:color w:val="000000"/>
                <w:sz w:val="18"/>
                <w:szCs w:val="18"/>
                <w:lang w:val="fr-FR"/>
              </w:rPr>
              <w:t>feed</w:t>
            </w:r>
            <w:r w:rsidR="00835534">
              <w:rPr>
                <w:color w:val="000000"/>
                <w:sz w:val="18"/>
                <w:szCs w:val="18"/>
                <w:lang w:val="fr-FR"/>
              </w:rPr>
              <w:t>s</w:t>
            </w:r>
            <w:proofErr w:type="spellEnd"/>
          </w:p>
        </w:tc>
      </w:tr>
      <w:tr w:rsidR="008F0D4A" w:rsidRPr="0098795B" w14:paraId="37F72B15"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4AE65652" w14:textId="307F1A4F" w:rsidR="008F0D4A" w:rsidRDefault="008F0D4A" w:rsidP="00C15AC3">
            <w:pPr>
              <w:pStyle w:val="Contenudetableau"/>
              <w:rPr>
                <w:b w:val="0"/>
                <w:sz w:val="18"/>
              </w:rPr>
            </w:pPr>
            <w:r>
              <w:rPr>
                <w:b w:val="0"/>
                <w:sz w:val="18"/>
              </w:rPr>
              <w:t>Grass silage</w:t>
            </w:r>
          </w:p>
        </w:tc>
        <w:tc>
          <w:tcPr>
            <w:tcW w:w="1854" w:type="dxa"/>
          </w:tcPr>
          <w:p w14:paraId="018A5D23" w14:textId="51ED3380" w:rsidR="008F0D4A" w:rsidRPr="0098795B"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100%</w:t>
            </w:r>
          </w:p>
        </w:tc>
        <w:tc>
          <w:tcPr>
            <w:tcW w:w="2594" w:type="dxa"/>
          </w:tcPr>
          <w:p w14:paraId="3423B6EC" w14:textId="301FF292" w:rsidR="008F0D4A"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25%</w:t>
            </w:r>
          </w:p>
        </w:tc>
        <w:tc>
          <w:tcPr>
            <w:tcW w:w="2225" w:type="dxa"/>
          </w:tcPr>
          <w:p w14:paraId="592D3FD8" w14:textId="2FF14174" w:rsidR="008F0D4A" w:rsidRPr="0098795B"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25%</w:t>
            </w:r>
          </w:p>
        </w:tc>
      </w:tr>
      <w:tr w:rsidR="008F0D4A" w:rsidRPr="0098795B" w14:paraId="5D907C30"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7F5244F0" w14:textId="30F32551" w:rsidR="008F0D4A" w:rsidRDefault="008F0D4A" w:rsidP="00C15AC3">
            <w:pPr>
              <w:pStyle w:val="Contenudetableau"/>
              <w:rPr>
                <w:b w:val="0"/>
                <w:sz w:val="18"/>
              </w:rPr>
            </w:pPr>
            <w:r>
              <w:rPr>
                <w:b w:val="0"/>
                <w:sz w:val="18"/>
              </w:rPr>
              <w:t>Ryegrass silage</w:t>
            </w:r>
          </w:p>
        </w:tc>
        <w:tc>
          <w:tcPr>
            <w:tcW w:w="1854" w:type="dxa"/>
          </w:tcPr>
          <w:p w14:paraId="122BACD1" w14:textId="77777777"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p>
        </w:tc>
        <w:tc>
          <w:tcPr>
            <w:tcW w:w="2594" w:type="dxa"/>
          </w:tcPr>
          <w:p w14:paraId="30918AB2" w14:textId="5DA84F7D" w:rsidR="008F0D4A"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25%</w:t>
            </w:r>
          </w:p>
        </w:tc>
        <w:tc>
          <w:tcPr>
            <w:tcW w:w="2225" w:type="dxa"/>
          </w:tcPr>
          <w:p w14:paraId="5A828E0D" w14:textId="5568C62C"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25%</w:t>
            </w:r>
          </w:p>
        </w:tc>
      </w:tr>
      <w:tr w:rsidR="008F0D4A" w:rsidRPr="0098795B" w14:paraId="45042E58"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2B3A715B" w14:textId="6B5D881D" w:rsidR="008F0D4A" w:rsidRDefault="008F0D4A" w:rsidP="00C15AC3">
            <w:pPr>
              <w:pStyle w:val="Contenudetableau"/>
              <w:rPr>
                <w:b w:val="0"/>
                <w:sz w:val="18"/>
              </w:rPr>
            </w:pPr>
            <w:r>
              <w:rPr>
                <w:b w:val="0"/>
                <w:sz w:val="18"/>
              </w:rPr>
              <w:t>Alfalfa-grass silage</w:t>
            </w:r>
          </w:p>
        </w:tc>
        <w:tc>
          <w:tcPr>
            <w:tcW w:w="1854" w:type="dxa"/>
          </w:tcPr>
          <w:p w14:paraId="7C1B7E95" w14:textId="77777777" w:rsidR="008F0D4A" w:rsidRPr="0098795B"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594" w:type="dxa"/>
          </w:tcPr>
          <w:p w14:paraId="45D401C1" w14:textId="6E687EED" w:rsidR="008F0D4A"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25%</w:t>
            </w:r>
          </w:p>
        </w:tc>
        <w:tc>
          <w:tcPr>
            <w:tcW w:w="2225" w:type="dxa"/>
          </w:tcPr>
          <w:p w14:paraId="71542B0B" w14:textId="2F876751" w:rsidR="008F0D4A" w:rsidRPr="0098795B"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25%</w:t>
            </w:r>
          </w:p>
        </w:tc>
      </w:tr>
      <w:tr w:rsidR="008F0D4A" w:rsidRPr="0098795B" w14:paraId="452396FF"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6F359475" w14:textId="4EF449ED" w:rsidR="008F0D4A" w:rsidRDefault="008F0D4A" w:rsidP="00C15AC3">
            <w:pPr>
              <w:pStyle w:val="Contenudetableau"/>
              <w:rPr>
                <w:b w:val="0"/>
                <w:sz w:val="18"/>
              </w:rPr>
            </w:pPr>
            <w:r w:rsidRPr="008F0D4A">
              <w:rPr>
                <w:b w:val="0"/>
                <w:sz w:val="18"/>
              </w:rPr>
              <w:t>Ryegrass mixture silage (Egyptian &amp; Persian clover)</w:t>
            </w:r>
          </w:p>
        </w:tc>
        <w:tc>
          <w:tcPr>
            <w:tcW w:w="1854" w:type="dxa"/>
          </w:tcPr>
          <w:p w14:paraId="758D449C" w14:textId="77777777"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p>
        </w:tc>
        <w:tc>
          <w:tcPr>
            <w:tcW w:w="2594" w:type="dxa"/>
          </w:tcPr>
          <w:p w14:paraId="478E1B78" w14:textId="1BD24A40" w:rsidR="008F0D4A"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12.5%</w:t>
            </w:r>
          </w:p>
        </w:tc>
        <w:tc>
          <w:tcPr>
            <w:tcW w:w="2225" w:type="dxa"/>
          </w:tcPr>
          <w:p w14:paraId="31C09BBE" w14:textId="78936663" w:rsidR="008F0D4A" w:rsidRPr="0098795B" w:rsidRDefault="008F0D4A" w:rsidP="00C15AC3">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12.5%</w:t>
            </w:r>
          </w:p>
        </w:tc>
      </w:tr>
      <w:tr w:rsidR="008F0D4A" w:rsidRPr="0098795B" w14:paraId="5930AF41"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2BAA6E5E" w14:textId="0CC4EF74" w:rsidR="008F0D4A" w:rsidRPr="00DF637C" w:rsidRDefault="008F0D4A" w:rsidP="00C15AC3">
            <w:pPr>
              <w:pStyle w:val="Contenudetableau"/>
              <w:rPr>
                <w:rFonts w:ascii="Calibri" w:hAnsi="Calibri"/>
                <w:b w:val="0"/>
                <w:color w:val="000000"/>
                <w:sz w:val="18"/>
                <w:szCs w:val="18"/>
              </w:rPr>
            </w:pPr>
            <w:r w:rsidRPr="008F0D4A">
              <w:rPr>
                <w:b w:val="0"/>
                <w:sz w:val="18"/>
              </w:rPr>
              <w:t>Ryegrass mixture silage (Egyptian &amp; Red clover)</w:t>
            </w:r>
          </w:p>
        </w:tc>
        <w:tc>
          <w:tcPr>
            <w:tcW w:w="1854" w:type="dxa"/>
          </w:tcPr>
          <w:p w14:paraId="4458D368" w14:textId="46B8A99B" w:rsidR="008F0D4A" w:rsidRPr="0098795B"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p>
        </w:tc>
        <w:tc>
          <w:tcPr>
            <w:tcW w:w="2594" w:type="dxa"/>
          </w:tcPr>
          <w:p w14:paraId="1EB30CA8" w14:textId="15FC0FE3" w:rsidR="008F0D4A" w:rsidRPr="0098795B"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12.5%</w:t>
            </w:r>
          </w:p>
        </w:tc>
        <w:tc>
          <w:tcPr>
            <w:tcW w:w="2225" w:type="dxa"/>
          </w:tcPr>
          <w:p w14:paraId="55F954A2" w14:textId="49CBED9C" w:rsidR="008F0D4A" w:rsidRPr="0098795B"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12.5%</w:t>
            </w:r>
          </w:p>
        </w:tc>
      </w:tr>
      <w:tr w:rsidR="008F0D4A" w:rsidRPr="0098795B" w14:paraId="739F137B"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E7E6E6" w:themeFill="background2"/>
          </w:tcPr>
          <w:p w14:paraId="1ACE339F" w14:textId="63E972EE" w:rsidR="008F0D4A" w:rsidRDefault="008F0D4A" w:rsidP="00C15AC3">
            <w:pPr>
              <w:pStyle w:val="Contenudetableau"/>
              <w:rPr>
                <w:color w:val="000000"/>
                <w:sz w:val="18"/>
              </w:rPr>
            </w:pPr>
            <w:r>
              <w:rPr>
                <w:color w:val="000000"/>
                <w:sz w:val="18"/>
              </w:rPr>
              <w:t>Others</w:t>
            </w:r>
          </w:p>
        </w:tc>
      </w:tr>
      <w:tr w:rsidR="008F0D4A" w:rsidRPr="0098795B" w14:paraId="08705CCD" w14:textId="77777777" w:rsidTr="00C15AC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6491DCF0" w14:textId="14A6FA74" w:rsidR="008F0D4A" w:rsidRPr="008F0D4A" w:rsidRDefault="008F0D4A" w:rsidP="00C15AC3">
            <w:pPr>
              <w:pStyle w:val="Contenudetableau"/>
              <w:rPr>
                <w:b w:val="0"/>
                <w:sz w:val="18"/>
              </w:rPr>
            </w:pPr>
            <w:r w:rsidRPr="008F0D4A">
              <w:rPr>
                <w:b w:val="0"/>
                <w:sz w:val="18"/>
              </w:rPr>
              <w:t>LUC factor</w:t>
            </w:r>
            <w:r>
              <w:rPr>
                <w:b w:val="0"/>
                <w:sz w:val="18"/>
              </w:rPr>
              <w:t xml:space="preserve"> (expansion share)</w:t>
            </w:r>
          </w:p>
        </w:tc>
        <w:tc>
          <w:tcPr>
            <w:tcW w:w="1854" w:type="dxa"/>
          </w:tcPr>
          <w:p w14:paraId="292AD6C4" w14:textId="06A577D0" w:rsidR="008F0D4A" w:rsidRPr="008F0D4A"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25%</w:t>
            </w:r>
          </w:p>
        </w:tc>
        <w:tc>
          <w:tcPr>
            <w:tcW w:w="2594" w:type="dxa"/>
          </w:tcPr>
          <w:p w14:paraId="6B7DF17F" w14:textId="36A4F420" w:rsidR="008F0D4A" w:rsidRPr="008F0D4A"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55%</w:t>
            </w:r>
          </w:p>
        </w:tc>
        <w:tc>
          <w:tcPr>
            <w:tcW w:w="2225" w:type="dxa"/>
          </w:tcPr>
          <w:p w14:paraId="4AD5D59A" w14:textId="2BF71683" w:rsidR="008F0D4A" w:rsidRPr="008F0D4A" w:rsidRDefault="008F0D4A" w:rsidP="00C15AC3">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r>
              <w:rPr>
                <w:color w:val="000000"/>
                <w:sz w:val="18"/>
              </w:rPr>
              <w:t>85%</w:t>
            </w:r>
          </w:p>
        </w:tc>
      </w:tr>
      <w:tr w:rsidR="008F0D4A" w:rsidRPr="0098795B" w14:paraId="6FB5E7A5" w14:textId="77777777" w:rsidTr="00C15AC3">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3BC039BD" w14:textId="77777777" w:rsidR="008F0D4A" w:rsidRPr="00DF637C" w:rsidRDefault="008F0D4A" w:rsidP="00C15AC3">
            <w:pPr>
              <w:pStyle w:val="Contenudetableau"/>
              <w:rPr>
                <w:b w:val="0"/>
                <w:i/>
                <w:sz w:val="18"/>
              </w:rPr>
            </w:pPr>
            <w:r w:rsidRPr="00DF637C">
              <w:rPr>
                <w:b w:val="0"/>
                <w:i/>
                <w:sz w:val="18"/>
              </w:rPr>
              <w:t>Comment</w:t>
            </w:r>
          </w:p>
        </w:tc>
        <w:tc>
          <w:tcPr>
            <w:tcW w:w="6673" w:type="dxa"/>
            <w:gridSpan w:val="3"/>
          </w:tcPr>
          <w:p w14:paraId="5873DB6E" w14:textId="2FD18810" w:rsidR="008F0D4A" w:rsidRPr="00DF637C" w:rsidRDefault="001D0730" w:rsidP="00C15AC3">
            <w:pPr>
              <w:pStyle w:val="Contenudetableau"/>
              <w:cnfStyle w:val="000000000000" w:firstRow="0" w:lastRow="0" w:firstColumn="0" w:lastColumn="0" w:oddVBand="0" w:evenVBand="0" w:oddHBand="0" w:evenHBand="0" w:firstRowFirstColumn="0" w:firstRowLastColumn="0" w:lastRowFirstColumn="0" w:lastRowLastColumn="0"/>
              <w:rPr>
                <w:i/>
                <w:color w:val="000000"/>
                <w:sz w:val="18"/>
              </w:rPr>
            </w:pPr>
            <w:r>
              <w:rPr>
                <w:i/>
                <w:color w:val="000000"/>
                <w:sz w:val="18"/>
              </w:rPr>
              <w:t xml:space="preserve">Background data (FAO) and calculation details in </w:t>
            </w:r>
            <w:r w:rsidRPr="009E08AB">
              <w:rPr>
                <w:i/>
                <w:color w:val="000000"/>
                <w:sz w:val="18"/>
              </w:rPr>
              <w:t xml:space="preserve">Javourez et al., </w:t>
            </w:r>
            <w:r w:rsidR="00C15AC3" w:rsidRPr="009E08AB">
              <w:rPr>
                <w:i/>
                <w:color w:val="000000"/>
                <w:sz w:val="18"/>
              </w:rPr>
              <w:t>(</w:t>
            </w:r>
            <w:r w:rsidRPr="009E08AB">
              <w:rPr>
                <w:i/>
                <w:color w:val="000000"/>
                <w:sz w:val="18"/>
              </w:rPr>
              <w:t>2022</w:t>
            </w:r>
            <w:r w:rsidR="00C15AC3" w:rsidRPr="00835534">
              <w:rPr>
                <w:i/>
                <w:color w:val="000000"/>
                <w:sz w:val="18"/>
              </w:rPr>
              <w:t>)</w:t>
            </w:r>
            <w:r w:rsidRPr="00835534">
              <w:rPr>
                <w:i/>
                <w:color w:val="000000"/>
                <w:sz w:val="18"/>
              </w:rPr>
              <w:fldChar w:fldCharType="begin"/>
            </w:r>
            <w:r w:rsidR="00690075" w:rsidRPr="00835534">
              <w:rPr>
                <w:i/>
                <w:color w:val="000000"/>
                <w:sz w:val="18"/>
              </w:rPr>
              <w:instrText xml:space="preserve"> ADDIN ZOTERO_ITEM CSL_CITATION {"citationID":"tTt5TX94","properties":{"formattedCitation":"\\super 2\\nosupersub{}","plainCitation":"2","noteIndex":0},"citationItems":[{"id":13553,"uris":["http://zotero.org/users/6423791/items/EU8KLJZY"],"itemData":{"id":13553,"type":"article-journal","abstract":"Transforming residual biomass into edible ingredients is increasingly\npromoted to alleviate the environmental impacts of food systems. Yet,\nthese approaches mostly rely on emerging technologies and constrained\nresources, and their environmental benefits remain unclear. By combining\nprocess-based consequential life cycle analysis, uncertainty assessment\nand biomass resource estimation, we quantified the impacts of deploying\nwaste-to-nutrition pathways, here applied to the upgrading of agrifood\nco-products by solid-state fermentation (SSF). The benefits of reducing the\ndemand for soybean meal by enhancing the protein concentration of feed\nthrough SSF do not compensate for the environmental burdens induced\nby the process on climate change, water depletion and land use. Besides\nunlocking feed markets to low-feed-quality streams, SSF outperforms\nenergy valorization for most environmental impacts but is less competitive\nto mitigate climate change. Yet, SSF yields overall environmental benefits\nwhen unlocking food markets rather than supplying feed and energy\nservices. Systematic methodological harmonization is required to assess the\npotential of novel ingredients, as outcomes vary according to the displaced\nfood and feed baskets, and related land use changes.","container-title":"Nature Food","DOI":"10.1038/s43016-022-00621-9","journalAbbreviation":"Nat Food","language":"en","page":"911-920","title":"Upgrading agrifood co-products via solid fermentation yields environmental benefits under specific conditions only","volume":"3","author":[{"family":"Javourez","given":"Ugo"},{"family":"Rosero Delgado","given":"Ernesto Alonso"},{"family":"Hamelin","given":"Lorie"}],"issued":{"date-parts":[["2022",10,31]]}}}],"schema":"https://github.com/citation-style-language/schema/raw/master/csl-citation.json"} </w:instrText>
            </w:r>
            <w:r w:rsidRPr="00835534">
              <w:rPr>
                <w:i/>
                <w:color w:val="000000"/>
                <w:sz w:val="18"/>
              </w:rPr>
              <w:fldChar w:fldCharType="separate"/>
            </w:r>
            <w:r w:rsidR="00690075" w:rsidRPr="00835534">
              <w:rPr>
                <w:rFonts w:ascii="Calibri" w:hAnsi="Calibri" w:cs="Calibri"/>
                <w:sz w:val="18"/>
                <w:szCs w:val="24"/>
                <w:vertAlign w:val="superscript"/>
              </w:rPr>
              <w:t>2</w:t>
            </w:r>
            <w:r w:rsidRPr="00835534">
              <w:rPr>
                <w:i/>
                <w:color w:val="000000"/>
                <w:sz w:val="18"/>
              </w:rPr>
              <w:fldChar w:fldCharType="end"/>
            </w:r>
            <w:r w:rsidRPr="00835534">
              <w:rPr>
                <w:i/>
                <w:color w:val="000000"/>
                <w:sz w:val="18"/>
              </w:rPr>
              <w:t xml:space="preserve"> and </w:t>
            </w:r>
            <w:r w:rsidR="00C15AC3" w:rsidRPr="00835534">
              <w:rPr>
                <w:i/>
                <w:color w:val="000000"/>
                <w:sz w:val="18"/>
              </w:rPr>
              <w:t>(</w:t>
            </w:r>
            <w:r w:rsidRPr="00835534">
              <w:rPr>
                <w:i/>
                <w:color w:val="000000"/>
                <w:sz w:val="18"/>
              </w:rPr>
              <w:t>202</w:t>
            </w:r>
            <w:r w:rsidR="00835534" w:rsidRPr="00835534">
              <w:rPr>
                <w:i/>
                <w:color w:val="000000"/>
                <w:sz w:val="18"/>
              </w:rPr>
              <w:t>4</w:t>
            </w:r>
            <w:r w:rsidR="00C15AC3" w:rsidRPr="00835534">
              <w:rPr>
                <w:i/>
                <w:color w:val="000000"/>
                <w:sz w:val="18"/>
              </w:rPr>
              <w:t>)</w:t>
            </w:r>
            <w:r w:rsidR="00C15AC3" w:rsidRPr="00835534">
              <w:rPr>
                <w:i/>
                <w:color w:val="000000"/>
                <w:sz w:val="18"/>
              </w:rPr>
              <w:fldChar w:fldCharType="begin"/>
            </w:r>
            <w:r w:rsidR="00835534">
              <w:rPr>
                <w:i/>
                <w:color w:val="000000"/>
                <w:sz w:val="18"/>
              </w:rPr>
              <w:instrText xml:space="preserve"> ADDIN ZOTERO_ITEM CSL_CITATION {"citationID":"RqqQUSVi","properties":{"formattedCitation":"\\super 1\\nosupersub{}","plainCitation":"1","noteIndex":0},"citationItems":[{"id":14334,"uris":["http://zotero.org/users/6423791/items/VWPZYH5Z"],"itemData":{"id":14334,"type":"article","DOI":"https://doi.org/10.21203/rs.3.rs-3671083/v1","genre":"preprint","publisher":"Research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pathways","author":[{"family":"Javourez","given":"U."},{"family":"Tiruta-Barna","given":"L."},{"family":"Hamelin","given":"L."}],"issued":{"date-parts":[["2023",11,20]]}}}],"schema":"https://github.com/citation-style-language/schema/raw/master/csl-citation.json"} </w:instrText>
            </w:r>
            <w:r w:rsidR="00C15AC3" w:rsidRPr="00835534">
              <w:rPr>
                <w:i/>
                <w:color w:val="000000"/>
                <w:sz w:val="18"/>
              </w:rPr>
              <w:fldChar w:fldCharType="separate"/>
            </w:r>
            <w:r w:rsidR="00835534" w:rsidRPr="00835534">
              <w:rPr>
                <w:rFonts w:ascii="Calibri" w:hAnsi="Calibri" w:cs="Calibri"/>
                <w:sz w:val="18"/>
                <w:szCs w:val="24"/>
                <w:vertAlign w:val="superscript"/>
              </w:rPr>
              <w:t>1</w:t>
            </w:r>
            <w:r w:rsidR="00C15AC3" w:rsidRPr="00835534">
              <w:rPr>
                <w:i/>
                <w:color w:val="000000"/>
                <w:sz w:val="18"/>
              </w:rPr>
              <w:fldChar w:fldCharType="end"/>
            </w:r>
          </w:p>
        </w:tc>
      </w:tr>
    </w:tbl>
    <w:p w14:paraId="520BBA30" w14:textId="1AB92B4D" w:rsidR="00185CC1" w:rsidRDefault="00185CC1" w:rsidP="00C85D50">
      <w:pPr>
        <w:jc w:val="both"/>
      </w:pPr>
    </w:p>
    <w:p w14:paraId="21E77F7F" w14:textId="77777777" w:rsidR="009955BF" w:rsidRDefault="009955BF" w:rsidP="009955BF">
      <w:pPr>
        <w:jc w:val="both"/>
      </w:pPr>
      <w:r>
        <w:t xml:space="preserve">Not formulated as standalone scenarios, the effects of implementing policies favoring European crops on the marginal feed suppliers mixes and their LCA score were also analyzed (rapeseed meal and oil, wheat and alfalfa-grass silage as roughage, “second order” marginal suppliers in </w:t>
      </w:r>
      <w:r w:rsidRPr="00C15AC3">
        <w:rPr>
          <w:b/>
        </w:rPr>
        <w:fldChar w:fldCharType="begin"/>
      </w:r>
      <w:r w:rsidRPr="00C15AC3">
        <w:rPr>
          <w:b/>
        </w:rPr>
        <w:instrText xml:space="preserve"> REF _Ref151652324 \h </w:instrText>
      </w:r>
      <w:r>
        <w:rPr>
          <w:b/>
        </w:rPr>
        <w:instrText xml:space="preserve"> \* MERGEFORMAT </w:instrText>
      </w:r>
      <w:r w:rsidRPr="00C15AC3">
        <w:rPr>
          <w:b/>
        </w:rPr>
      </w:r>
      <w:r w:rsidRPr="00C15AC3">
        <w:rPr>
          <w:b/>
        </w:rPr>
        <w:fldChar w:fldCharType="separate"/>
      </w:r>
      <w:r w:rsidRPr="00C15AC3">
        <w:rPr>
          <w:b/>
        </w:rPr>
        <w:t>Table SI</w:t>
      </w:r>
      <w:r w:rsidRPr="00C15AC3">
        <w:rPr>
          <w:b/>
          <w:noProof/>
        </w:rPr>
        <w:t>8</w:t>
      </w:r>
      <w:r w:rsidRPr="00C15AC3">
        <w:rPr>
          <w:b/>
        </w:rPr>
        <w:fldChar w:fldCharType="end"/>
      </w:r>
      <w:r>
        <w:t xml:space="preserve">). This was done to screen a larger range of future environmental impacts of food systems (to derive e.g. </w:t>
      </w:r>
      <w:r w:rsidRPr="00537E53">
        <w:rPr>
          <w:b/>
        </w:rPr>
        <w:t xml:space="preserve">Figure </w:t>
      </w:r>
      <w:r>
        <w:rPr>
          <w:b/>
        </w:rPr>
        <w:t>2</w:t>
      </w:r>
      <w:r>
        <w:t xml:space="preserve"> of the main manuscript), and to capture the consequences of maintaining in the long-term the current commodity-focused anti-deforestation European regulations (particularly pointing at e.g. soybean and </w:t>
      </w:r>
      <w:r>
        <w:lastRenderedPageBreak/>
        <w:t>palm fruit bunch). In total, combining three mixes of marginal feed suppliers (total mix, first order and second order) and the three future LUC patterns (25%, 55% and 85% expansion rates), nine contrasted future feed markets contexts (in terms of LCA score) were derived (</w:t>
      </w:r>
      <w:r w:rsidRPr="00B00F6C">
        <w:rPr>
          <w:b/>
        </w:rPr>
        <w:t>data</w:t>
      </w:r>
      <w:r>
        <w:rPr>
          <w:b/>
        </w:rPr>
        <w:t xml:space="preserve"> repository</w:t>
      </w:r>
      <w:r>
        <w:t>), the scenario analysis only detailing the results associated with three out of these.</w:t>
      </w:r>
    </w:p>
    <w:p w14:paraId="2B76A8D2" w14:textId="57E2B0E4" w:rsidR="001D0730" w:rsidRDefault="001D0730" w:rsidP="001D0730">
      <w:pPr>
        <w:jc w:val="both"/>
      </w:pPr>
      <w:r>
        <w:t xml:space="preserve">The </w:t>
      </w:r>
      <w:r w:rsidR="00835534">
        <w:t>LCA scores</w:t>
      </w:r>
      <w:r>
        <w:t xml:space="preserve"> associated with the </w:t>
      </w:r>
      <w:r w:rsidR="00835534">
        <w:t xml:space="preserve">marginal </w:t>
      </w:r>
      <w:r>
        <w:t>suppl</w:t>
      </w:r>
      <w:r w:rsidR="00835534">
        <w:t>ies</w:t>
      </w:r>
      <w:r>
        <w:t xml:space="preserve"> of feed ingredients to final consumer include the whole supply chain from the demand on arable land to the final transportation of the commodity. The same </w:t>
      </w:r>
      <w:r w:rsidR="00835534">
        <w:t>inventory</w:t>
      </w:r>
      <w:r w:rsidR="009E08AB">
        <w:t xml:space="preserve"> modeling </w:t>
      </w:r>
      <w:r>
        <w:t xml:space="preserve">strategy used </w:t>
      </w:r>
      <w:r w:rsidRPr="001D0730">
        <w:t>in Javourez et al., 2022</w:t>
      </w:r>
      <w:r>
        <w:fldChar w:fldCharType="begin"/>
      </w:r>
      <w:r w:rsidR="00690075">
        <w:instrText xml:space="preserve"> ADDIN ZOTERO_ITEM CSL_CITATION {"citationID":"9Wv1ZsXT","properties":{"formattedCitation":"\\super 2\\nosupersub{}","plainCitation":"2","noteIndex":0},"citationItems":[{"id":13553,"uris":["http://zotero.org/users/6423791/items/EU8KLJZY"],"itemData":{"id":13553,"type":"article-journal","abstract":"Transforming residual biomass into edible ingredients is increasingly\npromoted to alleviate the environmental impacts of food systems. Yet,\nthese approaches mostly rely on emerging technologies and constrained\nresources, and their environmental benefits remain unclear. By combining\nprocess-based consequential life cycle analysis, uncertainty assessment\nand biomass resource estimation, we quantified the impacts of deploying\nwaste-to-nutrition pathways, here applied to the upgrading of agrifood\nco-products by solid-state fermentation (SSF). The benefits of reducing the\ndemand for soybean meal by enhancing the protein concentration of feed\nthrough SSF do not compensate for the environmental burdens induced\nby the process on climate change, water depletion and land use. Besides\nunlocking feed markets to low-feed-quality streams, SSF outperforms\nenergy valorization for most environmental impacts but is less competitive\nto mitigate climate change. Yet, SSF yields overall environmental benefits\nwhen unlocking food markets rather than supplying feed and energy\nservices. Systematic methodological harmonization is required to assess the\npotential of novel ingredients, as outcomes vary according to the displaced\nfood and feed baskets, and related land use changes.","container-title":"Nature Food","DOI":"10.1038/s43016-022-00621-9","journalAbbreviation":"Nat Food","language":"en","page":"911-920","title":"Upgrading agrifood co-products via solid fermentation yields environmental benefits under specific conditions only","volume":"3","author":[{"family":"Javourez","given":"Ugo"},{"family":"Rosero Delgado","given":"Ernesto Alonso"},{"family":"Hamelin","given":"Lorie"}],"issued":{"date-parts":[["2022",10,31]]}}}],"schema":"https://github.com/citation-style-language/schema/raw/master/csl-citation.json"} </w:instrText>
      </w:r>
      <w:r>
        <w:fldChar w:fldCharType="separate"/>
      </w:r>
      <w:r w:rsidR="00690075" w:rsidRPr="00690075">
        <w:rPr>
          <w:rFonts w:ascii="Calibri" w:hAnsi="Calibri" w:cs="Calibri"/>
          <w:szCs w:val="24"/>
          <w:vertAlign w:val="superscript"/>
        </w:rPr>
        <w:t>2</w:t>
      </w:r>
      <w:r>
        <w:fldChar w:fldCharType="end"/>
      </w:r>
      <w:r w:rsidRPr="001D0730">
        <w:t xml:space="preserve"> was performed</w:t>
      </w:r>
      <w:r>
        <w:t xml:space="preserve"> here, and only changes or novel modeling elements are further detailed.</w:t>
      </w:r>
    </w:p>
    <w:p w14:paraId="6A02960E" w14:textId="5D176C84" w:rsidR="001D0730" w:rsidRDefault="009E08AB" w:rsidP="001D0730">
      <w:pPr>
        <w:jc w:val="both"/>
      </w:pPr>
      <w:r>
        <w:t>The</w:t>
      </w:r>
      <w:r w:rsidR="001D0730">
        <w:t xml:space="preserve"> </w:t>
      </w:r>
      <w:r w:rsidR="00835534">
        <w:t>inventories</w:t>
      </w:r>
      <w:r>
        <w:t xml:space="preserve"> associated with</w:t>
      </w:r>
      <w:r w:rsidR="001D0730">
        <w:t xml:space="preserve"> </w:t>
      </w:r>
      <w:r>
        <w:t xml:space="preserve">LUC </w:t>
      </w:r>
      <w:r w:rsidR="001D0730">
        <w:t xml:space="preserve">and the rest of the </w:t>
      </w:r>
      <w:r w:rsidR="00835534">
        <w:t>value</w:t>
      </w:r>
      <w:r w:rsidR="001D0730">
        <w:t xml:space="preserve"> chain</w:t>
      </w:r>
      <w:r w:rsidR="00835534">
        <w:t>s</w:t>
      </w:r>
      <w:r w:rsidR="001D0730">
        <w:t xml:space="preserve"> were modeled separately. For the latter, </w:t>
      </w:r>
      <w:r w:rsidR="00835534">
        <w:t xml:space="preserve">the </w:t>
      </w:r>
      <w:proofErr w:type="spellStart"/>
      <w:r w:rsidR="001D0730">
        <w:t>ecoinvent</w:t>
      </w:r>
      <w:proofErr w:type="spellEnd"/>
      <w:r w:rsidR="001D0730">
        <w:t xml:space="preserve"> </w:t>
      </w:r>
      <w:r w:rsidR="00492142">
        <w:t>activities</w:t>
      </w:r>
      <w:r w:rsidR="001D0730">
        <w:t xml:space="preserve"> </w:t>
      </w:r>
      <w:r w:rsidR="00835534">
        <w:t>displayed</w:t>
      </w:r>
      <w:r w:rsidR="001D0730">
        <w:t xml:space="preserve"> in </w:t>
      </w:r>
      <w:r w:rsidRPr="009E08AB">
        <w:rPr>
          <w:b/>
        </w:rPr>
        <w:fldChar w:fldCharType="begin"/>
      </w:r>
      <w:r w:rsidRPr="009E08AB">
        <w:rPr>
          <w:b/>
        </w:rPr>
        <w:instrText xml:space="preserve"> REF _Ref151652626 \h </w:instrText>
      </w:r>
      <w:r>
        <w:rPr>
          <w:b/>
        </w:rPr>
        <w:instrText xml:space="preserve"> \* MERGEFORMAT </w:instrText>
      </w:r>
      <w:r w:rsidRPr="009E08AB">
        <w:rPr>
          <w:b/>
        </w:rPr>
      </w:r>
      <w:r w:rsidRPr="009E08AB">
        <w:rPr>
          <w:b/>
        </w:rPr>
        <w:fldChar w:fldCharType="separate"/>
      </w:r>
      <w:r w:rsidRPr="009E08AB">
        <w:rPr>
          <w:b/>
        </w:rPr>
        <w:t>Table SI</w:t>
      </w:r>
      <w:r w:rsidRPr="009E08AB">
        <w:rPr>
          <w:b/>
          <w:noProof/>
        </w:rPr>
        <w:t>9</w:t>
      </w:r>
      <w:r w:rsidRPr="009E08AB">
        <w:rPr>
          <w:b/>
        </w:rPr>
        <w:fldChar w:fldCharType="end"/>
      </w:r>
      <w:r>
        <w:t xml:space="preserve"> </w:t>
      </w:r>
      <w:r w:rsidR="001D0730">
        <w:t>were considered as prox</w:t>
      </w:r>
      <w:r w:rsidR="00835534">
        <w:t>ies</w:t>
      </w:r>
      <w:r w:rsidR="001D0730">
        <w:t xml:space="preserve"> of the marginally-weighted </w:t>
      </w:r>
      <w:r w:rsidR="00835534">
        <w:t>inventories</w:t>
      </w:r>
      <w:r w:rsidR="001D0730">
        <w:t xml:space="preserve"> of each </w:t>
      </w:r>
      <w:r w:rsidR="00835534">
        <w:t>identified</w:t>
      </w:r>
      <w:r w:rsidR="001D0730">
        <w:t xml:space="preserve"> </w:t>
      </w:r>
      <w:r>
        <w:t>crop</w:t>
      </w:r>
      <w:r w:rsidR="001D0730">
        <w:t xml:space="preserve"> production</w:t>
      </w:r>
      <w:r w:rsidR="00835534">
        <w:t xml:space="preserve"> system</w:t>
      </w:r>
      <w:r>
        <w:t xml:space="preserve">. </w:t>
      </w:r>
      <w:r w:rsidR="00835534">
        <w:t xml:space="preserve">In the </w:t>
      </w:r>
      <w:proofErr w:type="spellStart"/>
      <w:r w:rsidR="00835534">
        <w:t>ecoinvent</w:t>
      </w:r>
      <w:proofErr w:type="spellEnd"/>
      <w:r w:rsidR="00835534">
        <w:t xml:space="preserve"> consequential product system, crops production market activities</w:t>
      </w:r>
      <w:r w:rsidR="001D0730">
        <w:t xml:space="preserve"> already includ</w:t>
      </w:r>
      <w:r>
        <w:t>e</w:t>
      </w:r>
      <w:r w:rsidR="001D0730">
        <w:t xml:space="preserve"> </w:t>
      </w:r>
      <w:r>
        <w:t xml:space="preserve">the </w:t>
      </w:r>
      <w:r w:rsidR="001D0730">
        <w:t xml:space="preserve">differentiated production patterns between </w:t>
      </w:r>
      <w:r>
        <w:t xml:space="preserve">the </w:t>
      </w:r>
      <w:r w:rsidR="001D0730">
        <w:t>marginally</w:t>
      </w:r>
      <w:r w:rsidR="00835534">
        <w:t>-</w:t>
      </w:r>
      <w:r w:rsidR="001D0730">
        <w:t xml:space="preserve">supplying world regions. </w:t>
      </w:r>
      <w:r w:rsidR="00835534">
        <w:t>Further, w</w:t>
      </w:r>
      <w:r w:rsidR="001D0730">
        <w:t xml:space="preserve">hen existing, LUC-related impacts embedded within </w:t>
      </w:r>
      <w:r w:rsidR="00835534">
        <w:t xml:space="preserve">the </w:t>
      </w:r>
      <w:proofErr w:type="spellStart"/>
      <w:r>
        <w:t>ecoinvent</w:t>
      </w:r>
      <w:proofErr w:type="spellEnd"/>
      <w:r>
        <w:t xml:space="preserve"> </w:t>
      </w:r>
      <w:r w:rsidR="00835534">
        <w:t>activities linked with agricultural production</w:t>
      </w:r>
      <w:r w:rsidR="001D0730">
        <w:t xml:space="preserve"> were systematically removed</w:t>
      </w:r>
      <w:r w:rsidR="00835534">
        <w:t>. This was done</w:t>
      </w:r>
      <w:r w:rsidR="001D0730">
        <w:t xml:space="preserve"> for consisten</w:t>
      </w:r>
      <w:r w:rsidR="00835534">
        <w:t xml:space="preserve">tly accounting for these impacts through the use of </w:t>
      </w:r>
      <w:r w:rsidR="00F24A17">
        <w:t>flexible unitary</w:t>
      </w:r>
      <w:r w:rsidR="00835534">
        <w:t xml:space="preserve"> </w:t>
      </w:r>
      <w:r w:rsidR="001D0730">
        <w:t xml:space="preserve">LUC </w:t>
      </w:r>
      <w:r w:rsidR="00F24A17">
        <w:t>activity</w:t>
      </w:r>
      <w:r w:rsidR="00835534">
        <w:t>, a</w:t>
      </w:r>
      <w:r w:rsidR="00F24A17">
        <w:t>s</w:t>
      </w:r>
      <w:r w:rsidR="00835534">
        <w:t xml:space="preserve"> performed in </w:t>
      </w:r>
      <w:r w:rsidR="001D0730" w:rsidRPr="001D0730">
        <w:t>Javourez et al., 2022</w:t>
      </w:r>
      <w:r w:rsidR="001D0730">
        <w:fldChar w:fldCharType="begin"/>
      </w:r>
      <w:r w:rsidR="00690075">
        <w:instrText xml:space="preserve"> ADDIN ZOTERO_ITEM CSL_CITATION {"citationID":"MX40YHXR","properties":{"formattedCitation":"\\super 2\\nosupersub{}","plainCitation":"2","noteIndex":0},"citationItems":[{"id":13553,"uris":["http://zotero.org/users/6423791/items/EU8KLJZY"],"itemData":{"id":13553,"type":"article-journal","abstract":"Transforming residual biomass into edible ingredients is increasingly\npromoted to alleviate the environmental impacts of food systems. Yet,\nthese approaches mostly rely on emerging technologies and constrained\nresources, and their environmental benefits remain unclear. By combining\nprocess-based consequential life cycle analysis, uncertainty assessment\nand biomass resource estimation, we quantified the impacts of deploying\nwaste-to-nutrition pathways, here applied to the upgrading of agrifood\nco-products by solid-state fermentation (SSF). The benefits of reducing the\ndemand for soybean meal by enhancing the protein concentration of feed\nthrough SSF do not compensate for the environmental burdens induced\nby the process on climate change, water depletion and land use. Besides\nunlocking feed markets to low-feed-quality streams, SSF outperforms\nenergy valorization for most environmental impacts but is less competitive\nto mitigate climate change. Yet, SSF yields overall environmental benefits\nwhen unlocking food markets rather than supplying feed and energy\nservices. Systematic methodological harmonization is required to assess the\npotential of novel ingredients, as outcomes vary according to the displaced\nfood and feed baskets, and related land use changes.","container-title":"Nature Food","DOI":"10.1038/s43016-022-00621-9","journalAbbreviation":"Nat Food","language":"en","page":"911-920","title":"Upgrading agrifood co-products via solid fermentation yields environmental benefits under specific conditions only","volume":"3","author":[{"family":"Javourez","given":"Ugo"},{"family":"Rosero Delgado","given":"Ernesto Alonso"},{"family":"Hamelin","given":"Lorie"}],"issued":{"date-parts":[["2022",10,31]]}}}],"schema":"https://github.com/citation-style-language/schema/raw/master/csl-citation.json"} </w:instrText>
      </w:r>
      <w:r w:rsidR="001D0730">
        <w:fldChar w:fldCharType="separate"/>
      </w:r>
      <w:r w:rsidR="00690075" w:rsidRPr="00690075">
        <w:rPr>
          <w:rFonts w:ascii="Calibri" w:hAnsi="Calibri" w:cs="Calibri"/>
          <w:szCs w:val="24"/>
          <w:vertAlign w:val="superscript"/>
        </w:rPr>
        <w:t>2</w:t>
      </w:r>
      <w:r w:rsidR="001D0730">
        <w:fldChar w:fldCharType="end"/>
      </w:r>
      <w:r w:rsidR="001D0730">
        <w:t xml:space="preserve">. This </w:t>
      </w:r>
      <w:r w:rsidR="00F24A17">
        <w:t>activity</w:t>
      </w:r>
      <w:r w:rsidR="001D0730">
        <w:t xml:space="preserve"> builds on the last ten years crop production, fertilizer use and deforestation rates </w:t>
      </w:r>
      <w:r w:rsidR="00F24A17">
        <w:t xml:space="preserve">and is used </w:t>
      </w:r>
      <w:r w:rsidR="001D0730">
        <w:t xml:space="preserve">to </w:t>
      </w:r>
      <w:r w:rsidR="00F24A17">
        <w:t>generate an</w:t>
      </w:r>
      <w:r w:rsidR="001D0730">
        <w:t xml:space="preserve"> aggregated </w:t>
      </w:r>
      <w:r w:rsidR="00835534">
        <w:t>LCA score associated with the</w:t>
      </w:r>
      <w:r w:rsidR="001D0730">
        <w:t xml:space="preserve"> requir</w:t>
      </w:r>
      <w:r w:rsidR="00835534">
        <w:t>ement of</w:t>
      </w:r>
      <w:r w:rsidR="001D0730">
        <w:t xml:space="preserve"> an additional unit (here hectare) of </w:t>
      </w:r>
      <w:r w:rsidR="00F24A17">
        <w:t xml:space="preserve">arable </w:t>
      </w:r>
      <w:r w:rsidR="001D0730">
        <w:t xml:space="preserve">land. This </w:t>
      </w:r>
      <w:r w:rsidR="00F24A17">
        <w:t>activity</w:t>
      </w:r>
      <w:r w:rsidR="001D0730">
        <w:t xml:space="preserve"> already includes the share of expansion (net transformation of non-arable land into arable land, such as through deforestation) and intensification (achieving higher yields) in meeting this additional demand, based on past trends. Therefore, this </w:t>
      </w:r>
      <w:r w:rsidR="00F24A17">
        <w:t>activity</w:t>
      </w:r>
      <w:r w:rsidR="001D0730">
        <w:t xml:space="preserve"> is a generic estimation of the global implications of demanding one additional hectare of arable land for food production, and is based on many assumptions </w:t>
      </w:r>
      <w:r w:rsidR="001D0730" w:rsidRPr="001D0730">
        <w:t xml:space="preserve">(see </w:t>
      </w:r>
      <w:r>
        <w:t>the supporting document</w:t>
      </w:r>
      <w:r w:rsidR="001D0730" w:rsidRPr="001D0730">
        <w:t xml:space="preserve"> of aforementioned publication).</w:t>
      </w:r>
      <w:r w:rsidR="00F24A17">
        <w:t xml:space="preserve"> This unitary LUC activity was further integrated to the inventory of each crop involved in the marginal feed suppliers mixes previously identified, by considering their own marginal yields</w:t>
      </w:r>
      <w:r w:rsidR="001D0730">
        <w:t xml:space="preserve"> (</w:t>
      </w:r>
      <w:r w:rsidR="001D0730" w:rsidRPr="009E08AB">
        <w:t>see</w:t>
      </w:r>
      <w:r w:rsidRPr="009E08AB">
        <w:rPr>
          <w:b/>
        </w:rPr>
        <w:t xml:space="preserve"> </w:t>
      </w:r>
      <w:r w:rsidRPr="009E08AB">
        <w:rPr>
          <w:b/>
        </w:rPr>
        <w:fldChar w:fldCharType="begin"/>
      </w:r>
      <w:r w:rsidRPr="009E08AB">
        <w:rPr>
          <w:b/>
        </w:rPr>
        <w:instrText xml:space="preserve"> REF _Ref151652626 \h  \* MERGEFORMAT </w:instrText>
      </w:r>
      <w:r w:rsidRPr="009E08AB">
        <w:rPr>
          <w:b/>
        </w:rPr>
      </w:r>
      <w:r w:rsidRPr="009E08AB">
        <w:rPr>
          <w:b/>
        </w:rPr>
        <w:fldChar w:fldCharType="separate"/>
      </w:r>
      <w:r w:rsidRPr="009E08AB">
        <w:rPr>
          <w:b/>
        </w:rPr>
        <w:t>Table SI</w:t>
      </w:r>
      <w:r w:rsidRPr="009E08AB">
        <w:rPr>
          <w:b/>
          <w:noProof/>
        </w:rPr>
        <w:t>9</w:t>
      </w:r>
      <w:r w:rsidRPr="009E08AB">
        <w:rPr>
          <w:b/>
        </w:rPr>
        <w:fldChar w:fldCharType="end"/>
      </w:r>
      <w:r w:rsidR="001D0730" w:rsidRPr="00A315BA">
        <w:t xml:space="preserve">). This is key as </w:t>
      </w:r>
      <w:r w:rsidR="00F24A17">
        <w:t>the agricultural regions</w:t>
      </w:r>
      <w:r w:rsidR="001D0730" w:rsidRPr="00A315BA">
        <w:t xml:space="preserve"> able to respond to a change in </w:t>
      </w:r>
      <w:r w:rsidR="00F24A17">
        <w:t xml:space="preserve">crops </w:t>
      </w:r>
      <w:r w:rsidR="001D0730" w:rsidRPr="00A315BA">
        <w:t>demand generally present lower yield</w:t>
      </w:r>
      <w:r w:rsidR="00F24A17">
        <w:t>s</w:t>
      </w:r>
      <w:r w:rsidR="001D0730" w:rsidRPr="00A315BA">
        <w:t xml:space="preserve"> than world’s average (except for palm oi</w:t>
      </w:r>
      <w:r w:rsidR="001D0730">
        <w:t>l, whose marginal production is concentrated in few countries).</w:t>
      </w:r>
    </w:p>
    <w:p w14:paraId="7A2F358A" w14:textId="4A618AD4" w:rsidR="009955BF" w:rsidRDefault="009955BF" w:rsidP="009955BF">
      <w:pPr>
        <w:jc w:val="both"/>
      </w:pPr>
      <w:r>
        <w:t>Inventories related to</w:t>
      </w:r>
      <w:r w:rsidRPr="006242CC">
        <w:t xml:space="preserve"> roughage feed marginal suppliers w</w:t>
      </w:r>
      <w:r>
        <w:t>ere</w:t>
      </w:r>
      <w:r w:rsidRPr="006242CC">
        <w:t xml:space="preserve"> </w:t>
      </w:r>
      <w:r>
        <w:t xml:space="preserve">established </w:t>
      </w:r>
      <w:r w:rsidRPr="006242CC">
        <w:t>based on the same rationale,</w:t>
      </w:r>
      <w:r>
        <w:t xml:space="preserve"> but as the production was considered local, the production phase was adapted to only account for French-like production conditions (here, the closest proxy is Switzerland “CH”). Moreover, the fertilizing requirements initially integrated within </w:t>
      </w:r>
      <w:proofErr w:type="spellStart"/>
      <w:r>
        <w:t>ecoinvent</w:t>
      </w:r>
      <w:proofErr w:type="spellEnd"/>
      <w:r>
        <w:t xml:space="preserve"> activities were harmonized with the ones calculated for this study, for consistency. This was done by screening </w:t>
      </w:r>
      <w:proofErr w:type="spellStart"/>
      <w:r>
        <w:t>ecoinvent</w:t>
      </w:r>
      <w:proofErr w:type="spellEnd"/>
      <w:r>
        <w:t xml:space="preserve"> activities datasheets to obtain fertilizer application rates and roughage feed yields</w:t>
      </w:r>
      <w:r w:rsidRPr="00A315BA">
        <w:t xml:space="preserve">. </w:t>
      </w:r>
      <w:r w:rsidRPr="009E08AB">
        <w:rPr>
          <w:b/>
        </w:rPr>
        <w:fldChar w:fldCharType="begin"/>
      </w:r>
      <w:r w:rsidRPr="009E08AB">
        <w:rPr>
          <w:b/>
        </w:rPr>
        <w:instrText xml:space="preserve"> REF _Ref151653604 \h </w:instrText>
      </w:r>
      <w:r>
        <w:rPr>
          <w:b/>
        </w:rPr>
        <w:instrText xml:space="preserve"> \* MERGEFORMAT </w:instrText>
      </w:r>
      <w:r w:rsidRPr="009E08AB">
        <w:rPr>
          <w:b/>
        </w:rPr>
      </w:r>
      <w:r w:rsidRPr="009E08AB">
        <w:rPr>
          <w:b/>
        </w:rPr>
        <w:fldChar w:fldCharType="separate"/>
      </w:r>
      <w:r w:rsidRPr="009E08AB">
        <w:rPr>
          <w:b/>
        </w:rPr>
        <w:t>Table SI</w:t>
      </w:r>
      <w:r w:rsidRPr="009E08AB">
        <w:rPr>
          <w:b/>
          <w:noProof/>
        </w:rPr>
        <w:t>10</w:t>
      </w:r>
      <w:r w:rsidRPr="009E08AB">
        <w:rPr>
          <w:b/>
        </w:rPr>
        <w:fldChar w:fldCharType="end"/>
      </w:r>
      <w:r>
        <w:t xml:space="preserve"> </w:t>
      </w:r>
      <w:r w:rsidRPr="00A315BA">
        <w:t xml:space="preserve">summarizes the </w:t>
      </w:r>
      <w:proofErr w:type="spellStart"/>
      <w:r>
        <w:t>ecoinvent</w:t>
      </w:r>
      <w:proofErr w:type="spellEnd"/>
      <w:r>
        <w:t xml:space="preserve"> activities</w:t>
      </w:r>
      <w:r w:rsidRPr="00A315BA">
        <w:t xml:space="preserve"> used to </w:t>
      </w:r>
      <w:r>
        <w:t>estimate the LCA scores of marginal roughage feeds production in France.</w:t>
      </w:r>
    </w:p>
    <w:p w14:paraId="1B17B76B" w14:textId="77777777" w:rsidR="009955BF" w:rsidRDefault="009955BF">
      <w:r>
        <w:br w:type="page"/>
      </w:r>
    </w:p>
    <w:p w14:paraId="72E856BA" w14:textId="4C973523" w:rsidR="00A85671" w:rsidRPr="009E08AB" w:rsidRDefault="00C15AC3" w:rsidP="009E08AB">
      <w:pPr>
        <w:pStyle w:val="Lgende"/>
        <w:jc w:val="left"/>
        <w:rPr>
          <w:highlight w:val="yellow"/>
        </w:rPr>
      </w:pPr>
      <w:bookmarkStart w:id="18" w:name="_Ref151652626"/>
      <w:bookmarkStart w:id="19" w:name="_Toc128061476"/>
      <w:bookmarkStart w:id="20" w:name="_Toc155516845"/>
      <w:r w:rsidRPr="009E08AB">
        <w:lastRenderedPageBreak/>
        <w:t>Table SI</w:t>
      </w:r>
      <w:r w:rsidRPr="009E08AB">
        <w:fldChar w:fldCharType="begin"/>
      </w:r>
      <w:r w:rsidRPr="009E08AB">
        <w:instrText xml:space="preserve"> SEQ Table \* ARABIC </w:instrText>
      </w:r>
      <w:r w:rsidRPr="009E08AB">
        <w:fldChar w:fldCharType="separate"/>
      </w:r>
      <w:r w:rsidR="00C65861">
        <w:rPr>
          <w:noProof/>
        </w:rPr>
        <w:t>9</w:t>
      </w:r>
      <w:r w:rsidRPr="009E08AB">
        <w:fldChar w:fldCharType="end"/>
      </w:r>
      <w:bookmarkEnd w:id="18"/>
      <w:r w:rsidRPr="009E08AB">
        <w:t xml:space="preserve"> </w:t>
      </w:r>
      <w:r w:rsidR="00A85671" w:rsidRPr="009E08AB">
        <w:t xml:space="preserve">– Background </w:t>
      </w:r>
      <w:r w:rsidR="00492142">
        <w:t>activities</w:t>
      </w:r>
      <w:r w:rsidR="00A85671" w:rsidRPr="009E08AB">
        <w:t xml:space="preserve"> to model the </w:t>
      </w:r>
      <w:r w:rsidR="00F24A17">
        <w:t xml:space="preserve">marginal </w:t>
      </w:r>
      <w:r w:rsidR="00A85671" w:rsidRPr="009E08AB">
        <w:t>production of concentrated feed</w:t>
      </w:r>
      <w:bookmarkEnd w:id="19"/>
      <w:r w:rsidR="00F24A17">
        <w:t xml:space="preserve"> services</w:t>
      </w:r>
      <w:bookmarkEnd w:id="20"/>
    </w:p>
    <w:tbl>
      <w:tblPr>
        <w:tblStyle w:val="Tableausimple4"/>
        <w:tblW w:w="0" w:type="auto"/>
        <w:tblLook w:val="04A0" w:firstRow="1" w:lastRow="0" w:firstColumn="1" w:lastColumn="0" w:noHBand="0" w:noVBand="1"/>
      </w:tblPr>
      <w:tblGrid>
        <w:gridCol w:w="1829"/>
        <w:gridCol w:w="1062"/>
        <w:gridCol w:w="766"/>
        <w:gridCol w:w="5415"/>
      </w:tblGrid>
      <w:tr w:rsidR="00A85671" w14:paraId="779DC6EC" w14:textId="77777777" w:rsidTr="009E08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top"/>
          </w:tcPr>
          <w:p w14:paraId="5654033F" w14:textId="0931B589" w:rsidR="00A85671" w:rsidRPr="00A315BA" w:rsidRDefault="00A85671" w:rsidP="009E08AB">
            <w:pPr>
              <w:jc w:val="left"/>
              <w:rPr>
                <w:sz w:val="18"/>
              </w:rPr>
            </w:pPr>
            <w:r w:rsidRPr="00A315BA">
              <w:rPr>
                <w:sz w:val="18"/>
              </w:rPr>
              <w:t xml:space="preserve">Background </w:t>
            </w:r>
            <w:r w:rsidR="00492142">
              <w:rPr>
                <w:sz w:val="18"/>
              </w:rPr>
              <w:t>activities</w:t>
            </w:r>
          </w:p>
        </w:tc>
        <w:tc>
          <w:tcPr>
            <w:tcW w:w="0" w:type="auto"/>
            <w:vAlign w:val="top"/>
          </w:tcPr>
          <w:p w14:paraId="700D7475" w14:textId="77777777" w:rsidR="00A85671" w:rsidRPr="00A315BA" w:rsidRDefault="00A85671" w:rsidP="009E08AB">
            <w:pPr>
              <w:jc w:val="left"/>
              <w:cnfStyle w:val="100000000000" w:firstRow="1" w:lastRow="0" w:firstColumn="0" w:lastColumn="0" w:oddVBand="0" w:evenVBand="0" w:oddHBand="0" w:evenHBand="0" w:firstRowFirstColumn="0" w:firstRowLastColumn="0" w:lastRowFirstColumn="0" w:lastRowLastColumn="0"/>
              <w:rPr>
                <w:sz w:val="18"/>
                <w:lang w:val="es-419"/>
              </w:rPr>
            </w:pPr>
            <w:r w:rsidRPr="00A315BA">
              <w:rPr>
                <w:sz w:val="18"/>
                <w:lang w:val="es-419"/>
              </w:rPr>
              <w:t>Marginal</w:t>
            </w:r>
            <w:proofErr w:type="spellStart"/>
            <w:r w:rsidRPr="00A315BA">
              <w:rPr>
                <w:sz w:val="18"/>
                <w:lang w:val="es-419"/>
              </w:rPr>
              <w:t xml:space="preserve"> yiel</w:t>
            </w:r>
            <w:proofErr w:type="spellEnd"/>
            <w:r w:rsidRPr="00A315BA">
              <w:rPr>
                <w:sz w:val="18"/>
                <w:lang w:val="es-419"/>
              </w:rPr>
              <w:t>d</w:t>
            </w:r>
            <w:r w:rsidRPr="00A315BA">
              <w:rPr>
                <w:sz w:val="18"/>
                <w:vertAlign w:val="superscript"/>
                <w:lang w:val="es-419"/>
              </w:rPr>
              <w:t>*</w:t>
            </w:r>
            <w:r w:rsidRPr="00A315BA">
              <w:rPr>
                <w:sz w:val="18"/>
                <w:lang w:val="es-419"/>
              </w:rPr>
              <w:t xml:space="preserve"> t</w:t>
            </w:r>
            <w:r w:rsidRPr="00A315BA">
              <w:rPr>
                <w:sz w:val="18"/>
                <w:vertAlign w:val="subscript"/>
                <w:lang w:val="es-419"/>
              </w:rPr>
              <w:t>DM</w:t>
            </w:r>
            <w:r w:rsidRPr="00A315BA">
              <w:rPr>
                <w:sz w:val="18"/>
                <w:lang w:val="es-419"/>
              </w:rPr>
              <w:t>.ha</w:t>
            </w:r>
            <w:r w:rsidRPr="00A315BA">
              <w:rPr>
                <w:sz w:val="18"/>
                <w:vertAlign w:val="superscript"/>
                <w:lang w:val="es-419"/>
              </w:rPr>
              <w:t>-</w:t>
            </w:r>
            <w:proofErr w:type="gramStart"/>
            <w:r w:rsidRPr="00A315BA">
              <w:rPr>
                <w:sz w:val="18"/>
                <w:vertAlign w:val="superscript"/>
                <w:lang w:val="es-419"/>
              </w:rPr>
              <w:t>1</w:t>
            </w:r>
            <w:r w:rsidRPr="00A315BA">
              <w:rPr>
                <w:sz w:val="18"/>
                <w:lang w:val="es-419"/>
              </w:rPr>
              <w:t>.y</w:t>
            </w:r>
            <w:proofErr w:type="gramEnd"/>
            <w:r w:rsidRPr="00A315BA">
              <w:rPr>
                <w:sz w:val="18"/>
                <w:vertAlign w:val="superscript"/>
                <w:lang w:val="es-419"/>
              </w:rPr>
              <w:t>-1</w:t>
            </w:r>
          </w:p>
        </w:tc>
        <w:tc>
          <w:tcPr>
            <w:tcW w:w="0" w:type="auto"/>
            <w:vAlign w:val="top"/>
          </w:tcPr>
          <w:p w14:paraId="4F398DE9" w14:textId="77777777" w:rsidR="00A85671" w:rsidRPr="00A315BA" w:rsidRDefault="00A85671" w:rsidP="009E08AB">
            <w:pPr>
              <w:jc w:val="left"/>
              <w:cnfStyle w:val="100000000000" w:firstRow="1" w:lastRow="0" w:firstColumn="0" w:lastColumn="0" w:oddVBand="0" w:evenVBand="0" w:oddHBand="0" w:evenHBand="0" w:firstRowFirstColumn="0" w:firstRowLastColumn="0" w:lastRowFirstColumn="0" w:lastRowLastColumn="0"/>
              <w:rPr>
                <w:sz w:val="18"/>
              </w:rPr>
            </w:pPr>
            <w:r w:rsidRPr="00A315BA">
              <w:rPr>
                <w:sz w:val="18"/>
              </w:rPr>
              <w:t>Market</w:t>
            </w:r>
          </w:p>
        </w:tc>
        <w:tc>
          <w:tcPr>
            <w:tcW w:w="0" w:type="auto"/>
            <w:vAlign w:val="top"/>
          </w:tcPr>
          <w:p w14:paraId="6E060294" w14:textId="77777777" w:rsidR="00A85671" w:rsidRPr="00A315BA" w:rsidRDefault="00A85671" w:rsidP="009E08AB">
            <w:pPr>
              <w:jc w:val="left"/>
              <w:cnfStyle w:val="100000000000" w:firstRow="1" w:lastRow="0" w:firstColumn="0" w:lastColumn="0" w:oddVBand="0" w:evenVBand="0" w:oddHBand="0" w:evenHBand="0" w:firstRowFirstColumn="0" w:firstRowLastColumn="0" w:lastRowFirstColumn="0" w:lastRowLastColumn="0"/>
              <w:rPr>
                <w:i/>
                <w:sz w:val="18"/>
              </w:rPr>
            </w:pPr>
            <w:r w:rsidRPr="00A315BA">
              <w:rPr>
                <w:i/>
                <w:sz w:val="18"/>
              </w:rPr>
              <w:t>Comment</w:t>
            </w:r>
          </w:p>
        </w:tc>
      </w:tr>
      <w:tr w:rsidR="00A85671" w14:paraId="7A20FCB0" w14:textId="77777777" w:rsidTr="009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top"/>
          </w:tcPr>
          <w:p w14:paraId="7AE53FF2" w14:textId="77777777" w:rsidR="00A85671" w:rsidRPr="009E08AB" w:rsidRDefault="00A85671" w:rsidP="009E08AB">
            <w:pPr>
              <w:jc w:val="left"/>
              <w:rPr>
                <w:b w:val="0"/>
                <w:sz w:val="18"/>
              </w:rPr>
            </w:pPr>
            <w:r w:rsidRPr="009E08AB">
              <w:rPr>
                <w:b w:val="0"/>
                <w:sz w:val="18"/>
              </w:rPr>
              <w:t xml:space="preserve">Market for soybean meal, </w:t>
            </w:r>
            <w:proofErr w:type="spellStart"/>
            <w:r w:rsidRPr="009E08AB">
              <w:rPr>
                <w:b w:val="0"/>
                <w:sz w:val="18"/>
              </w:rPr>
              <w:t>RoW</w:t>
            </w:r>
            <w:proofErr w:type="spellEnd"/>
          </w:p>
        </w:tc>
        <w:tc>
          <w:tcPr>
            <w:tcW w:w="0" w:type="auto"/>
            <w:vAlign w:val="top"/>
          </w:tcPr>
          <w:p w14:paraId="47D31CA0" w14:textId="77777777" w:rsidR="00A85671" w:rsidRDefault="00A85671" w:rsidP="009E08AB">
            <w:pPr>
              <w:jc w:val="left"/>
              <w:cnfStyle w:val="000000100000" w:firstRow="0" w:lastRow="0" w:firstColumn="0" w:lastColumn="0" w:oddVBand="0" w:evenVBand="0" w:oddHBand="1" w:evenHBand="0" w:firstRowFirstColumn="0" w:firstRowLastColumn="0" w:lastRowFirstColumn="0" w:lastRowLastColumn="0"/>
              <w:rPr>
                <w:sz w:val="18"/>
              </w:rPr>
            </w:pPr>
            <w:r>
              <w:rPr>
                <w:sz w:val="18"/>
              </w:rPr>
              <w:t>1.86</w:t>
            </w:r>
          </w:p>
        </w:tc>
        <w:tc>
          <w:tcPr>
            <w:tcW w:w="0" w:type="auto"/>
            <w:vMerge w:val="restart"/>
            <w:textDirection w:val="btLr"/>
          </w:tcPr>
          <w:p w14:paraId="08FE0DC1" w14:textId="77777777" w:rsidR="00A85671" w:rsidRPr="009E08AB" w:rsidRDefault="00A85671" w:rsidP="009E08AB">
            <w:pPr>
              <w:ind w:left="113" w:right="113"/>
              <w:cnfStyle w:val="000000100000" w:firstRow="0" w:lastRow="0" w:firstColumn="0" w:lastColumn="0" w:oddVBand="0" w:evenVBand="0" w:oddHBand="1" w:evenHBand="0" w:firstRowFirstColumn="0" w:firstRowLastColumn="0" w:lastRowFirstColumn="0" w:lastRowLastColumn="0"/>
              <w:rPr>
                <w:sz w:val="18"/>
              </w:rPr>
            </w:pPr>
            <w:r w:rsidRPr="009E08AB">
              <w:rPr>
                <w:sz w:val="18"/>
              </w:rPr>
              <w:t>Protein feed</w:t>
            </w:r>
          </w:p>
        </w:tc>
        <w:tc>
          <w:tcPr>
            <w:tcW w:w="0" w:type="auto"/>
            <w:vAlign w:val="top"/>
          </w:tcPr>
          <w:p w14:paraId="1562609C" w14:textId="77777777" w:rsidR="00A85671" w:rsidRPr="00B51D8F" w:rsidRDefault="00A85671" w:rsidP="009E08AB">
            <w:pPr>
              <w:jc w:val="both"/>
              <w:cnfStyle w:val="000000100000" w:firstRow="0" w:lastRow="0" w:firstColumn="0" w:lastColumn="0" w:oddVBand="0" w:evenVBand="0" w:oddHBand="1" w:evenHBand="0" w:firstRowFirstColumn="0" w:firstRowLastColumn="0" w:lastRowFirstColumn="0" w:lastRowLastColumn="0"/>
              <w:rPr>
                <w:i/>
                <w:sz w:val="18"/>
              </w:rPr>
            </w:pPr>
            <w:r>
              <w:rPr>
                <w:i/>
                <w:sz w:val="18"/>
              </w:rPr>
              <w:t>Proxy of marginal soybean meal production inventory, including transportation.</w:t>
            </w:r>
          </w:p>
        </w:tc>
      </w:tr>
      <w:tr w:rsidR="00A85671" w14:paraId="62A5057A" w14:textId="77777777" w:rsidTr="009E08AB">
        <w:tc>
          <w:tcPr>
            <w:cnfStyle w:val="001000000000" w:firstRow="0" w:lastRow="0" w:firstColumn="1" w:lastColumn="0" w:oddVBand="0" w:evenVBand="0" w:oddHBand="0" w:evenHBand="0" w:firstRowFirstColumn="0" w:firstRowLastColumn="0" w:lastRowFirstColumn="0" w:lastRowLastColumn="0"/>
            <w:tcW w:w="0" w:type="auto"/>
            <w:vAlign w:val="top"/>
          </w:tcPr>
          <w:p w14:paraId="5E8AD8BB" w14:textId="4CF5E31E" w:rsidR="00A85671" w:rsidRPr="009E08AB" w:rsidRDefault="00A85671" w:rsidP="009E08AB">
            <w:pPr>
              <w:jc w:val="left"/>
              <w:rPr>
                <w:b w:val="0"/>
                <w:sz w:val="18"/>
              </w:rPr>
            </w:pPr>
            <w:r w:rsidRPr="009E08AB">
              <w:rPr>
                <w:b w:val="0"/>
                <w:sz w:val="18"/>
              </w:rPr>
              <w:t>Own construction built around the process:</w:t>
            </w:r>
          </w:p>
          <w:p w14:paraId="0FA97440" w14:textId="77777777" w:rsidR="00A85671" w:rsidRPr="009E08AB" w:rsidRDefault="00A85671" w:rsidP="009E08AB">
            <w:pPr>
              <w:jc w:val="left"/>
              <w:rPr>
                <w:b w:val="0"/>
                <w:sz w:val="18"/>
              </w:rPr>
            </w:pPr>
          </w:p>
          <w:p w14:paraId="72DD6774" w14:textId="77777777" w:rsidR="00A85671" w:rsidRPr="009E08AB" w:rsidRDefault="00A85671" w:rsidP="009E08AB">
            <w:pPr>
              <w:jc w:val="left"/>
              <w:rPr>
                <w:b w:val="0"/>
                <w:sz w:val="18"/>
              </w:rPr>
            </w:pPr>
            <w:r w:rsidRPr="009E08AB">
              <w:rPr>
                <w:b w:val="0"/>
                <w:sz w:val="18"/>
              </w:rPr>
              <w:t xml:space="preserve">“Rape oil mill operations, </w:t>
            </w:r>
            <w:proofErr w:type="spellStart"/>
            <w:r w:rsidRPr="009E08AB">
              <w:rPr>
                <w:b w:val="0"/>
                <w:sz w:val="18"/>
              </w:rPr>
              <w:t>RoW</w:t>
            </w:r>
            <w:proofErr w:type="spellEnd"/>
            <w:r w:rsidRPr="009E08AB">
              <w:rPr>
                <w:b w:val="0"/>
                <w:sz w:val="18"/>
              </w:rPr>
              <w:t>”</w:t>
            </w:r>
          </w:p>
        </w:tc>
        <w:tc>
          <w:tcPr>
            <w:tcW w:w="0" w:type="auto"/>
            <w:vAlign w:val="top"/>
          </w:tcPr>
          <w:p w14:paraId="32D6D3CA" w14:textId="77777777" w:rsidR="00A85671" w:rsidRPr="004636E1" w:rsidRDefault="00A85671" w:rsidP="009E08AB">
            <w:pPr>
              <w:jc w:val="left"/>
              <w:cnfStyle w:val="000000000000" w:firstRow="0" w:lastRow="0" w:firstColumn="0" w:lastColumn="0" w:oddVBand="0" w:evenVBand="0" w:oddHBand="0" w:evenHBand="0" w:firstRowFirstColumn="0" w:firstRowLastColumn="0" w:lastRowFirstColumn="0" w:lastRowLastColumn="0"/>
              <w:rPr>
                <w:sz w:val="18"/>
              </w:rPr>
            </w:pPr>
            <w:r>
              <w:rPr>
                <w:sz w:val="18"/>
              </w:rPr>
              <w:t>0.87</w:t>
            </w:r>
          </w:p>
        </w:tc>
        <w:tc>
          <w:tcPr>
            <w:tcW w:w="0" w:type="auto"/>
            <w:vMerge/>
            <w:textDirection w:val="btLr"/>
          </w:tcPr>
          <w:p w14:paraId="7687AF97" w14:textId="77777777" w:rsidR="00A85671" w:rsidRPr="009E08AB" w:rsidRDefault="00A85671" w:rsidP="009E08AB">
            <w:pPr>
              <w:ind w:left="113" w:right="113"/>
              <w:cnfStyle w:val="000000000000" w:firstRow="0" w:lastRow="0" w:firstColumn="0" w:lastColumn="0" w:oddVBand="0" w:evenVBand="0" w:oddHBand="0" w:evenHBand="0" w:firstRowFirstColumn="0" w:firstRowLastColumn="0" w:lastRowFirstColumn="0" w:lastRowLastColumn="0"/>
              <w:rPr>
                <w:sz w:val="18"/>
              </w:rPr>
            </w:pPr>
          </w:p>
        </w:tc>
        <w:tc>
          <w:tcPr>
            <w:tcW w:w="0" w:type="auto"/>
            <w:vAlign w:val="top"/>
          </w:tcPr>
          <w:p w14:paraId="4E68316F" w14:textId="77777777" w:rsidR="00A85671" w:rsidRDefault="00A85671" w:rsidP="009E08AB">
            <w:pPr>
              <w:jc w:val="both"/>
              <w:cnfStyle w:val="000000000000" w:firstRow="0" w:lastRow="0" w:firstColumn="0" w:lastColumn="0" w:oddVBand="0" w:evenVBand="0" w:oddHBand="0" w:evenHBand="0" w:firstRowFirstColumn="0" w:firstRowLastColumn="0" w:lastRowFirstColumn="0" w:lastRowLastColumn="0"/>
              <w:rPr>
                <w:i/>
                <w:sz w:val="18"/>
              </w:rPr>
            </w:pPr>
            <w:r>
              <w:rPr>
                <w:i/>
                <w:sz w:val="18"/>
              </w:rPr>
              <w:t xml:space="preserve">Proxy of marginal rapeseed meal production inventory, including transportation.  Existing </w:t>
            </w:r>
            <w:proofErr w:type="spellStart"/>
            <w:r>
              <w:rPr>
                <w:i/>
                <w:sz w:val="18"/>
              </w:rPr>
              <w:t>ecoinvent</w:t>
            </w:r>
            <w:proofErr w:type="spellEnd"/>
            <w:r>
              <w:rPr>
                <w:i/>
                <w:sz w:val="18"/>
              </w:rPr>
              <w:t xml:space="preserve"> process “Market for rape meal, GLO” directly connects rapeseed meal production impacts to soybean meal production impacts through a “generic market for protein feed” process. Therefore, only the transportation was derived from this process, and rest of the production was</w:t>
            </w:r>
          </w:p>
          <w:p w14:paraId="0E3D59A7" w14:textId="77777777" w:rsidR="00A85671" w:rsidRDefault="00A85671" w:rsidP="009E08AB">
            <w:pPr>
              <w:jc w:val="both"/>
              <w:cnfStyle w:val="000000000000" w:firstRow="0" w:lastRow="0" w:firstColumn="0" w:lastColumn="0" w:oddVBand="0" w:evenVBand="0" w:oddHBand="0" w:evenHBand="0" w:firstRowFirstColumn="0" w:firstRowLastColumn="0" w:lastRowFirstColumn="0" w:lastRowLastColumn="0"/>
              <w:rPr>
                <w:i/>
                <w:sz w:val="18"/>
              </w:rPr>
            </w:pPr>
            <w:r>
              <w:rPr>
                <w:i/>
                <w:sz w:val="18"/>
              </w:rPr>
              <w:t xml:space="preserve">modeled by reversing the existing process “rape oil mill operations, </w:t>
            </w:r>
            <w:proofErr w:type="spellStart"/>
            <w:r>
              <w:rPr>
                <w:i/>
                <w:sz w:val="18"/>
              </w:rPr>
              <w:t>RoW</w:t>
            </w:r>
            <w:proofErr w:type="spellEnd"/>
            <w:r>
              <w:rPr>
                <w:i/>
                <w:sz w:val="18"/>
              </w:rPr>
              <w:t>” (initially expressed per kg of rape oil produced). This was done by considering that 1kg of rape meal comes with 0.618 kg rape oil. In this inventory, rape oil supplies the “Market for vegetable oil, refined, GLO”, and the “Market for rape meal, GLO” process was removed (as now being the main output).</w:t>
            </w:r>
          </w:p>
        </w:tc>
      </w:tr>
      <w:tr w:rsidR="00A85671" w14:paraId="0DC0B35D" w14:textId="77777777" w:rsidTr="009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top"/>
          </w:tcPr>
          <w:p w14:paraId="6FD000CB" w14:textId="77777777" w:rsidR="00A85671" w:rsidRPr="009E08AB" w:rsidRDefault="00A85671" w:rsidP="009E08AB">
            <w:pPr>
              <w:jc w:val="left"/>
              <w:rPr>
                <w:b w:val="0"/>
                <w:sz w:val="18"/>
              </w:rPr>
            </w:pPr>
            <w:r w:rsidRPr="009E08AB">
              <w:rPr>
                <w:b w:val="0"/>
                <w:sz w:val="18"/>
              </w:rPr>
              <w:t>Own construction built around the process:</w:t>
            </w:r>
          </w:p>
          <w:p w14:paraId="19BB6608" w14:textId="77777777" w:rsidR="00A85671" w:rsidRPr="009E08AB" w:rsidRDefault="00A85671" w:rsidP="009E08AB">
            <w:pPr>
              <w:jc w:val="left"/>
              <w:rPr>
                <w:b w:val="0"/>
                <w:sz w:val="18"/>
              </w:rPr>
            </w:pPr>
          </w:p>
          <w:p w14:paraId="4546052A" w14:textId="77777777" w:rsidR="00A85671" w:rsidRPr="009E08AB" w:rsidRDefault="00A85671" w:rsidP="009E08AB">
            <w:pPr>
              <w:jc w:val="left"/>
              <w:rPr>
                <w:b w:val="0"/>
                <w:sz w:val="18"/>
              </w:rPr>
            </w:pPr>
            <w:r w:rsidRPr="009E08AB">
              <w:rPr>
                <w:b w:val="0"/>
                <w:sz w:val="18"/>
              </w:rPr>
              <w:t>“Market for sunflower seed, GLO”</w:t>
            </w:r>
          </w:p>
        </w:tc>
        <w:tc>
          <w:tcPr>
            <w:tcW w:w="0" w:type="auto"/>
            <w:vAlign w:val="top"/>
          </w:tcPr>
          <w:p w14:paraId="2A41084E" w14:textId="77777777" w:rsidR="00A85671" w:rsidRPr="004636E1" w:rsidRDefault="00A85671" w:rsidP="009E08AB">
            <w:pPr>
              <w:jc w:val="left"/>
              <w:cnfStyle w:val="000000100000" w:firstRow="0" w:lastRow="0" w:firstColumn="0" w:lastColumn="0" w:oddVBand="0" w:evenVBand="0" w:oddHBand="1" w:evenHBand="0" w:firstRowFirstColumn="0" w:firstRowLastColumn="0" w:lastRowFirstColumn="0" w:lastRowLastColumn="0"/>
              <w:rPr>
                <w:sz w:val="18"/>
              </w:rPr>
            </w:pPr>
            <w:r>
              <w:rPr>
                <w:sz w:val="18"/>
              </w:rPr>
              <w:t>0.91</w:t>
            </w:r>
          </w:p>
        </w:tc>
        <w:tc>
          <w:tcPr>
            <w:tcW w:w="0" w:type="auto"/>
            <w:vMerge/>
            <w:textDirection w:val="btLr"/>
          </w:tcPr>
          <w:p w14:paraId="1BE86F55" w14:textId="77777777" w:rsidR="00A85671" w:rsidRPr="009E08AB" w:rsidRDefault="00A85671" w:rsidP="009E08AB">
            <w:pPr>
              <w:ind w:left="113" w:right="113"/>
              <w:cnfStyle w:val="000000100000" w:firstRow="0" w:lastRow="0" w:firstColumn="0" w:lastColumn="0" w:oddVBand="0" w:evenVBand="0" w:oddHBand="1" w:evenHBand="0" w:firstRowFirstColumn="0" w:firstRowLastColumn="0" w:lastRowFirstColumn="0" w:lastRowLastColumn="0"/>
              <w:rPr>
                <w:sz w:val="18"/>
              </w:rPr>
            </w:pPr>
          </w:p>
        </w:tc>
        <w:tc>
          <w:tcPr>
            <w:tcW w:w="0" w:type="auto"/>
            <w:vAlign w:val="top"/>
          </w:tcPr>
          <w:p w14:paraId="3F03BEEF" w14:textId="77777777" w:rsidR="00A85671" w:rsidRDefault="00A85671" w:rsidP="009E08AB">
            <w:pPr>
              <w:jc w:val="both"/>
              <w:cnfStyle w:val="000000100000" w:firstRow="0" w:lastRow="0" w:firstColumn="0" w:lastColumn="0" w:oddVBand="0" w:evenVBand="0" w:oddHBand="1" w:evenHBand="0" w:firstRowFirstColumn="0" w:firstRowLastColumn="0" w:lastRowFirstColumn="0" w:lastRowLastColumn="0"/>
              <w:rPr>
                <w:i/>
                <w:sz w:val="18"/>
              </w:rPr>
            </w:pPr>
            <w:r>
              <w:rPr>
                <w:i/>
                <w:sz w:val="18"/>
              </w:rPr>
              <w:t xml:space="preserve">Proxy of marginal sunflower meal production inventory, including transportation. No </w:t>
            </w:r>
            <w:proofErr w:type="spellStart"/>
            <w:r>
              <w:rPr>
                <w:i/>
                <w:sz w:val="18"/>
              </w:rPr>
              <w:t>ecoinvent</w:t>
            </w:r>
            <w:proofErr w:type="spellEnd"/>
            <w:r>
              <w:rPr>
                <w:i/>
                <w:sz w:val="18"/>
              </w:rPr>
              <w:t xml:space="preserve"> of sunflower meal production exists. Therefore, the sunflower seed production process was used, and the crushing operations were proxied with the ones of “Soybean meal and crude oil production, mechanical extraction, </w:t>
            </w:r>
            <w:proofErr w:type="spellStart"/>
            <w:r>
              <w:rPr>
                <w:i/>
                <w:sz w:val="18"/>
              </w:rPr>
              <w:t>RoW</w:t>
            </w:r>
            <w:proofErr w:type="spellEnd"/>
            <w:r>
              <w:rPr>
                <w:i/>
                <w:sz w:val="18"/>
              </w:rPr>
              <w:t>”. The co-products ratios were adapted to sunflower by considering that 1kg of sunflower meal come with 0.61 kg sunflower oil. As for rapeseed meal modeling, co-produced oil supplies global vegetable oil markets. Electricity was considered “GLO” and biowaste management “</w:t>
            </w:r>
            <w:proofErr w:type="spellStart"/>
            <w:r>
              <w:rPr>
                <w:i/>
                <w:sz w:val="18"/>
              </w:rPr>
              <w:t>RoW</w:t>
            </w:r>
            <w:proofErr w:type="spellEnd"/>
            <w:r>
              <w:rPr>
                <w:i/>
                <w:sz w:val="18"/>
              </w:rPr>
              <w:t>.”</w:t>
            </w:r>
          </w:p>
        </w:tc>
      </w:tr>
      <w:tr w:rsidR="00A85671" w14:paraId="0669C306" w14:textId="77777777" w:rsidTr="009E08AB">
        <w:tc>
          <w:tcPr>
            <w:cnfStyle w:val="001000000000" w:firstRow="0" w:lastRow="0" w:firstColumn="1" w:lastColumn="0" w:oddVBand="0" w:evenVBand="0" w:oddHBand="0" w:evenHBand="0" w:firstRowFirstColumn="0" w:firstRowLastColumn="0" w:lastRowFirstColumn="0" w:lastRowLastColumn="0"/>
            <w:tcW w:w="0" w:type="auto"/>
            <w:vAlign w:val="top"/>
          </w:tcPr>
          <w:p w14:paraId="34ADB6C6" w14:textId="77777777" w:rsidR="00A85671" w:rsidRPr="009E08AB" w:rsidRDefault="00A85671" w:rsidP="009E08AB">
            <w:pPr>
              <w:jc w:val="left"/>
              <w:rPr>
                <w:b w:val="0"/>
                <w:sz w:val="18"/>
              </w:rPr>
            </w:pPr>
            <w:r w:rsidRPr="009E08AB">
              <w:rPr>
                <w:b w:val="0"/>
                <w:sz w:val="18"/>
              </w:rPr>
              <w:t xml:space="preserve">Market for wheat grain, </w:t>
            </w:r>
            <w:proofErr w:type="spellStart"/>
            <w:r w:rsidRPr="009E08AB">
              <w:rPr>
                <w:b w:val="0"/>
                <w:sz w:val="18"/>
              </w:rPr>
              <w:t>RoW</w:t>
            </w:r>
            <w:proofErr w:type="spellEnd"/>
          </w:p>
        </w:tc>
        <w:tc>
          <w:tcPr>
            <w:tcW w:w="0" w:type="auto"/>
            <w:vAlign w:val="top"/>
          </w:tcPr>
          <w:p w14:paraId="0749A86B" w14:textId="77777777" w:rsidR="00A85671" w:rsidRDefault="00A85671" w:rsidP="009E08AB">
            <w:pPr>
              <w:jc w:val="left"/>
              <w:cnfStyle w:val="000000000000" w:firstRow="0" w:lastRow="0" w:firstColumn="0" w:lastColumn="0" w:oddVBand="0" w:evenVBand="0" w:oddHBand="0" w:evenHBand="0" w:firstRowFirstColumn="0" w:firstRowLastColumn="0" w:lastRowFirstColumn="0" w:lastRowLastColumn="0"/>
              <w:rPr>
                <w:sz w:val="18"/>
              </w:rPr>
            </w:pPr>
            <w:r>
              <w:rPr>
                <w:sz w:val="18"/>
              </w:rPr>
              <w:t>2.85</w:t>
            </w:r>
          </w:p>
        </w:tc>
        <w:tc>
          <w:tcPr>
            <w:tcW w:w="0" w:type="auto"/>
            <w:vMerge w:val="restart"/>
            <w:textDirection w:val="btLr"/>
          </w:tcPr>
          <w:p w14:paraId="2FCEC639" w14:textId="77777777" w:rsidR="00A85671" w:rsidRPr="009E08AB" w:rsidRDefault="00A85671" w:rsidP="009E08AB">
            <w:pPr>
              <w:ind w:left="113" w:right="113"/>
              <w:cnfStyle w:val="000000000000" w:firstRow="0" w:lastRow="0" w:firstColumn="0" w:lastColumn="0" w:oddVBand="0" w:evenVBand="0" w:oddHBand="0" w:evenHBand="0" w:firstRowFirstColumn="0" w:firstRowLastColumn="0" w:lastRowFirstColumn="0" w:lastRowLastColumn="0"/>
              <w:rPr>
                <w:sz w:val="18"/>
              </w:rPr>
            </w:pPr>
            <w:r w:rsidRPr="009E08AB">
              <w:rPr>
                <w:sz w:val="18"/>
              </w:rPr>
              <w:t>Energy feed</w:t>
            </w:r>
          </w:p>
        </w:tc>
        <w:tc>
          <w:tcPr>
            <w:tcW w:w="0" w:type="auto"/>
            <w:vMerge w:val="restart"/>
            <w:vAlign w:val="top"/>
          </w:tcPr>
          <w:p w14:paraId="2A9738C6" w14:textId="77777777" w:rsidR="00A85671" w:rsidRDefault="00A85671" w:rsidP="009E08AB">
            <w:pPr>
              <w:jc w:val="both"/>
              <w:cnfStyle w:val="000000000000" w:firstRow="0" w:lastRow="0" w:firstColumn="0" w:lastColumn="0" w:oddVBand="0" w:evenVBand="0" w:oddHBand="0" w:evenHBand="0" w:firstRowFirstColumn="0" w:firstRowLastColumn="0" w:lastRowFirstColumn="0" w:lastRowLastColumn="0"/>
              <w:rPr>
                <w:i/>
                <w:sz w:val="18"/>
              </w:rPr>
            </w:pPr>
            <w:r>
              <w:rPr>
                <w:i/>
                <w:sz w:val="18"/>
              </w:rPr>
              <w:t>Proxy of marginal energy feed production inventory, including transportation.</w:t>
            </w:r>
          </w:p>
        </w:tc>
      </w:tr>
      <w:tr w:rsidR="00A85671" w14:paraId="5685A2C8" w14:textId="77777777" w:rsidTr="009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top"/>
          </w:tcPr>
          <w:p w14:paraId="226B6E69" w14:textId="77777777" w:rsidR="00A85671" w:rsidRPr="009E08AB" w:rsidRDefault="00A85671" w:rsidP="009E08AB">
            <w:pPr>
              <w:jc w:val="left"/>
              <w:rPr>
                <w:b w:val="0"/>
                <w:sz w:val="18"/>
              </w:rPr>
            </w:pPr>
            <w:r w:rsidRPr="009E08AB">
              <w:rPr>
                <w:b w:val="0"/>
                <w:sz w:val="18"/>
              </w:rPr>
              <w:t xml:space="preserve">Market for barley grain, </w:t>
            </w:r>
            <w:proofErr w:type="spellStart"/>
            <w:r w:rsidRPr="009E08AB">
              <w:rPr>
                <w:b w:val="0"/>
                <w:sz w:val="18"/>
              </w:rPr>
              <w:t>RoW</w:t>
            </w:r>
            <w:proofErr w:type="spellEnd"/>
          </w:p>
        </w:tc>
        <w:tc>
          <w:tcPr>
            <w:tcW w:w="0" w:type="auto"/>
            <w:vAlign w:val="top"/>
          </w:tcPr>
          <w:p w14:paraId="0E777296" w14:textId="77777777" w:rsidR="00A85671" w:rsidRPr="004636E1" w:rsidRDefault="00A85671" w:rsidP="009E08AB">
            <w:pPr>
              <w:jc w:val="left"/>
              <w:cnfStyle w:val="000000100000" w:firstRow="0" w:lastRow="0" w:firstColumn="0" w:lastColumn="0" w:oddVBand="0" w:evenVBand="0" w:oddHBand="1" w:evenHBand="0" w:firstRowFirstColumn="0" w:firstRowLastColumn="0" w:lastRowFirstColumn="0" w:lastRowLastColumn="0"/>
              <w:rPr>
                <w:sz w:val="18"/>
              </w:rPr>
            </w:pPr>
            <w:r>
              <w:rPr>
                <w:sz w:val="18"/>
              </w:rPr>
              <w:t>2.06</w:t>
            </w:r>
          </w:p>
        </w:tc>
        <w:tc>
          <w:tcPr>
            <w:tcW w:w="0" w:type="auto"/>
            <w:vMerge/>
            <w:textDirection w:val="btLr"/>
          </w:tcPr>
          <w:p w14:paraId="1773A010" w14:textId="77777777" w:rsidR="00A85671" w:rsidRPr="009E08AB" w:rsidRDefault="00A85671" w:rsidP="009E08AB">
            <w:pPr>
              <w:ind w:left="113" w:right="113"/>
              <w:cnfStyle w:val="000000100000" w:firstRow="0" w:lastRow="0" w:firstColumn="0" w:lastColumn="0" w:oddVBand="0" w:evenVBand="0" w:oddHBand="1" w:evenHBand="0" w:firstRowFirstColumn="0" w:firstRowLastColumn="0" w:lastRowFirstColumn="0" w:lastRowLastColumn="0"/>
              <w:rPr>
                <w:sz w:val="18"/>
              </w:rPr>
            </w:pPr>
          </w:p>
        </w:tc>
        <w:tc>
          <w:tcPr>
            <w:tcW w:w="0" w:type="auto"/>
            <w:vMerge/>
            <w:vAlign w:val="top"/>
          </w:tcPr>
          <w:p w14:paraId="49D048CC" w14:textId="77777777" w:rsidR="00A85671" w:rsidRDefault="00A85671" w:rsidP="009E08AB">
            <w:pPr>
              <w:jc w:val="both"/>
              <w:cnfStyle w:val="000000100000" w:firstRow="0" w:lastRow="0" w:firstColumn="0" w:lastColumn="0" w:oddVBand="0" w:evenVBand="0" w:oddHBand="1" w:evenHBand="0" w:firstRowFirstColumn="0" w:firstRowLastColumn="0" w:lastRowFirstColumn="0" w:lastRowLastColumn="0"/>
              <w:rPr>
                <w:i/>
                <w:sz w:val="18"/>
              </w:rPr>
            </w:pPr>
          </w:p>
        </w:tc>
      </w:tr>
      <w:tr w:rsidR="00A85671" w14:paraId="50EE2072" w14:textId="77777777" w:rsidTr="009E08AB">
        <w:tc>
          <w:tcPr>
            <w:cnfStyle w:val="001000000000" w:firstRow="0" w:lastRow="0" w:firstColumn="1" w:lastColumn="0" w:oddVBand="0" w:evenVBand="0" w:oddHBand="0" w:evenHBand="0" w:firstRowFirstColumn="0" w:firstRowLastColumn="0" w:lastRowFirstColumn="0" w:lastRowLastColumn="0"/>
            <w:tcW w:w="0" w:type="auto"/>
            <w:vAlign w:val="top"/>
          </w:tcPr>
          <w:p w14:paraId="5FC2C957" w14:textId="77777777" w:rsidR="00A85671" w:rsidRPr="009E08AB" w:rsidRDefault="00A85671" w:rsidP="009E08AB">
            <w:pPr>
              <w:jc w:val="left"/>
              <w:rPr>
                <w:b w:val="0"/>
                <w:sz w:val="18"/>
              </w:rPr>
            </w:pPr>
            <w:r w:rsidRPr="009E08AB">
              <w:rPr>
                <w:b w:val="0"/>
                <w:sz w:val="18"/>
              </w:rPr>
              <w:t xml:space="preserve">Market for maize grain, </w:t>
            </w:r>
            <w:proofErr w:type="spellStart"/>
            <w:r w:rsidRPr="009E08AB">
              <w:rPr>
                <w:b w:val="0"/>
                <w:sz w:val="18"/>
              </w:rPr>
              <w:t>RoW</w:t>
            </w:r>
            <w:proofErr w:type="spellEnd"/>
          </w:p>
        </w:tc>
        <w:tc>
          <w:tcPr>
            <w:tcW w:w="0" w:type="auto"/>
            <w:vAlign w:val="top"/>
          </w:tcPr>
          <w:p w14:paraId="4EB30404" w14:textId="77777777" w:rsidR="00A85671" w:rsidRPr="004636E1" w:rsidRDefault="00A85671" w:rsidP="009E08AB">
            <w:pPr>
              <w:jc w:val="left"/>
              <w:cnfStyle w:val="000000000000" w:firstRow="0" w:lastRow="0" w:firstColumn="0" w:lastColumn="0" w:oddVBand="0" w:evenVBand="0" w:oddHBand="0" w:evenHBand="0" w:firstRowFirstColumn="0" w:firstRowLastColumn="0" w:lastRowFirstColumn="0" w:lastRowLastColumn="0"/>
              <w:rPr>
                <w:sz w:val="18"/>
              </w:rPr>
            </w:pPr>
            <w:r>
              <w:rPr>
                <w:sz w:val="18"/>
              </w:rPr>
              <w:t>4.58</w:t>
            </w:r>
          </w:p>
        </w:tc>
        <w:tc>
          <w:tcPr>
            <w:tcW w:w="0" w:type="auto"/>
            <w:vMerge/>
            <w:textDirection w:val="btLr"/>
          </w:tcPr>
          <w:p w14:paraId="44ADFF7E" w14:textId="77777777" w:rsidR="00A85671" w:rsidRPr="009E08AB" w:rsidRDefault="00A85671" w:rsidP="009E08AB">
            <w:pPr>
              <w:ind w:left="113" w:right="113"/>
              <w:cnfStyle w:val="000000000000" w:firstRow="0" w:lastRow="0" w:firstColumn="0" w:lastColumn="0" w:oddVBand="0" w:evenVBand="0" w:oddHBand="0" w:evenHBand="0" w:firstRowFirstColumn="0" w:firstRowLastColumn="0" w:lastRowFirstColumn="0" w:lastRowLastColumn="0"/>
              <w:rPr>
                <w:sz w:val="18"/>
              </w:rPr>
            </w:pPr>
          </w:p>
        </w:tc>
        <w:tc>
          <w:tcPr>
            <w:tcW w:w="0" w:type="auto"/>
            <w:vMerge/>
            <w:vAlign w:val="top"/>
          </w:tcPr>
          <w:p w14:paraId="622F7025" w14:textId="77777777" w:rsidR="00A85671" w:rsidRDefault="00A85671" w:rsidP="009E08AB">
            <w:pPr>
              <w:jc w:val="both"/>
              <w:cnfStyle w:val="000000000000" w:firstRow="0" w:lastRow="0" w:firstColumn="0" w:lastColumn="0" w:oddVBand="0" w:evenVBand="0" w:oddHBand="0" w:evenHBand="0" w:firstRowFirstColumn="0" w:firstRowLastColumn="0" w:lastRowFirstColumn="0" w:lastRowLastColumn="0"/>
              <w:rPr>
                <w:i/>
                <w:sz w:val="18"/>
              </w:rPr>
            </w:pPr>
          </w:p>
        </w:tc>
      </w:tr>
      <w:tr w:rsidR="009E08AB" w14:paraId="03DB79B9" w14:textId="77777777" w:rsidTr="009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top"/>
          </w:tcPr>
          <w:p w14:paraId="5A5F898F" w14:textId="77777777" w:rsidR="009E08AB" w:rsidRPr="009E08AB" w:rsidRDefault="009E08AB" w:rsidP="009E08AB">
            <w:pPr>
              <w:jc w:val="left"/>
              <w:rPr>
                <w:b w:val="0"/>
                <w:sz w:val="18"/>
              </w:rPr>
            </w:pPr>
            <w:r w:rsidRPr="009E08AB">
              <w:rPr>
                <w:b w:val="0"/>
                <w:sz w:val="18"/>
              </w:rPr>
              <w:t>Market for palm oil, refined, GLO</w:t>
            </w:r>
          </w:p>
        </w:tc>
        <w:tc>
          <w:tcPr>
            <w:tcW w:w="0" w:type="auto"/>
            <w:vAlign w:val="top"/>
          </w:tcPr>
          <w:p w14:paraId="1E2D0C1E" w14:textId="77777777" w:rsidR="009E08AB" w:rsidRPr="004636E1" w:rsidRDefault="009E08AB" w:rsidP="009E08AB">
            <w:pPr>
              <w:jc w:val="left"/>
              <w:cnfStyle w:val="000000100000" w:firstRow="0" w:lastRow="0" w:firstColumn="0" w:lastColumn="0" w:oddVBand="0" w:evenVBand="0" w:oddHBand="1" w:evenHBand="0" w:firstRowFirstColumn="0" w:firstRowLastColumn="0" w:lastRowFirstColumn="0" w:lastRowLastColumn="0"/>
              <w:rPr>
                <w:sz w:val="18"/>
              </w:rPr>
            </w:pPr>
            <w:r>
              <w:rPr>
                <w:sz w:val="18"/>
              </w:rPr>
              <w:t>3.55</w:t>
            </w:r>
          </w:p>
        </w:tc>
        <w:tc>
          <w:tcPr>
            <w:tcW w:w="0" w:type="auto"/>
            <w:vMerge w:val="restart"/>
            <w:textDirection w:val="btLr"/>
          </w:tcPr>
          <w:p w14:paraId="52D6CE50" w14:textId="77777777" w:rsidR="009E08AB" w:rsidRPr="009E08AB" w:rsidRDefault="009E08AB" w:rsidP="009E08AB">
            <w:pPr>
              <w:ind w:left="113" w:right="113"/>
              <w:cnfStyle w:val="000000100000" w:firstRow="0" w:lastRow="0" w:firstColumn="0" w:lastColumn="0" w:oddVBand="0" w:evenVBand="0" w:oddHBand="1" w:evenHBand="0" w:firstRowFirstColumn="0" w:firstRowLastColumn="0" w:lastRowFirstColumn="0" w:lastRowLastColumn="0"/>
              <w:rPr>
                <w:sz w:val="18"/>
              </w:rPr>
            </w:pPr>
            <w:r w:rsidRPr="009E08AB">
              <w:rPr>
                <w:sz w:val="18"/>
              </w:rPr>
              <w:t>Lipid feed</w:t>
            </w:r>
          </w:p>
          <w:p w14:paraId="41369438" w14:textId="15B5B153" w:rsidR="009E08AB" w:rsidRPr="009E08AB" w:rsidRDefault="009E08AB" w:rsidP="009E08AB">
            <w:pPr>
              <w:ind w:left="113" w:right="113"/>
              <w:cnfStyle w:val="000000100000" w:firstRow="0" w:lastRow="0" w:firstColumn="0" w:lastColumn="0" w:oddVBand="0" w:evenVBand="0" w:oddHBand="1" w:evenHBand="0" w:firstRowFirstColumn="0" w:firstRowLastColumn="0" w:lastRowFirstColumn="0" w:lastRowLastColumn="0"/>
              <w:rPr>
                <w:sz w:val="18"/>
              </w:rPr>
            </w:pPr>
            <w:r w:rsidRPr="009E08AB">
              <w:rPr>
                <w:sz w:val="18"/>
              </w:rPr>
              <w:t>Lipid</w:t>
            </w:r>
            <w:r>
              <w:rPr>
                <w:sz w:val="18"/>
              </w:rPr>
              <w:t xml:space="preserve"> </w:t>
            </w:r>
            <w:r w:rsidRPr="009E08AB">
              <w:rPr>
                <w:sz w:val="18"/>
              </w:rPr>
              <w:t>feed</w:t>
            </w:r>
          </w:p>
        </w:tc>
        <w:tc>
          <w:tcPr>
            <w:tcW w:w="0" w:type="auto"/>
            <w:vAlign w:val="top"/>
          </w:tcPr>
          <w:p w14:paraId="65E10075" w14:textId="77777777" w:rsidR="009E08AB" w:rsidRDefault="009E08AB" w:rsidP="009E08AB">
            <w:pPr>
              <w:jc w:val="both"/>
              <w:cnfStyle w:val="000000100000" w:firstRow="0" w:lastRow="0" w:firstColumn="0" w:lastColumn="0" w:oddVBand="0" w:evenVBand="0" w:oddHBand="1" w:evenHBand="0" w:firstRowFirstColumn="0" w:firstRowLastColumn="0" w:lastRowFirstColumn="0" w:lastRowLastColumn="0"/>
              <w:rPr>
                <w:i/>
                <w:sz w:val="18"/>
              </w:rPr>
            </w:pPr>
            <w:r>
              <w:rPr>
                <w:i/>
                <w:sz w:val="18"/>
              </w:rPr>
              <w:t>Proxy of marginal palm oil production inventory, including transportation.</w:t>
            </w:r>
          </w:p>
        </w:tc>
      </w:tr>
      <w:tr w:rsidR="009E08AB" w14:paraId="78202B48" w14:textId="77777777" w:rsidTr="009E08AB">
        <w:tc>
          <w:tcPr>
            <w:cnfStyle w:val="001000000000" w:firstRow="0" w:lastRow="0" w:firstColumn="1" w:lastColumn="0" w:oddVBand="0" w:evenVBand="0" w:oddHBand="0" w:evenHBand="0" w:firstRowFirstColumn="0" w:firstRowLastColumn="0" w:lastRowFirstColumn="0" w:lastRowLastColumn="0"/>
            <w:tcW w:w="0" w:type="auto"/>
            <w:vAlign w:val="top"/>
          </w:tcPr>
          <w:p w14:paraId="15D9734B" w14:textId="77777777" w:rsidR="009E08AB" w:rsidRPr="009E08AB" w:rsidRDefault="009E08AB" w:rsidP="009E08AB">
            <w:pPr>
              <w:jc w:val="left"/>
              <w:rPr>
                <w:b w:val="0"/>
                <w:sz w:val="18"/>
              </w:rPr>
            </w:pPr>
            <w:r w:rsidRPr="009E08AB">
              <w:rPr>
                <w:b w:val="0"/>
                <w:sz w:val="18"/>
              </w:rPr>
              <w:t xml:space="preserve">Market for rape oil, crude, </w:t>
            </w:r>
            <w:proofErr w:type="spellStart"/>
            <w:r w:rsidRPr="009E08AB">
              <w:rPr>
                <w:b w:val="0"/>
                <w:sz w:val="18"/>
              </w:rPr>
              <w:t>RoW</w:t>
            </w:r>
            <w:proofErr w:type="spellEnd"/>
          </w:p>
        </w:tc>
        <w:tc>
          <w:tcPr>
            <w:tcW w:w="0" w:type="auto"/>
            <w:vAlign w:val="top"/>
          </w:tcPr>
          <w:p w14:paraId="5228C9DB" w14:textId="77777777" w:rsidR="009E08AB" w:rsidRDefault="009E08AB" w:rsidP="009E08AB">
            <w:pPr>
              <w:jc w:val="left"/>
              <w:cnfStyle w:val="000000000000" w:firstRow="0" w:lastRow="0" w:firstColumn="0" w:lastColumn="0" w:oddVBand="0" w:evenVBand="0" w:oddHBand="0" w:evenHBand="0" w:firstRowFirstColumn="0" w:firstRowLastColumn="0" w:lastRowFirstColumn="0" w:lastRowLastColumn="0"/>
              <w:rPr>
                <w:sz w:val="18"/>
              </w:rPr>
            </w:pPr>
            <w:r>
              <w:rPr>
                <w:sz w:val="18"/>
              </w:rPr>
              <w:t>0.78</w:t>
            </w:r>
          </w:p>
        </w:tc>
        <w:tc>
          <w:tcPr>
            <w:tcW w:w="0" w:type="auto"/>
            <w:vMerge/>
            <w:textDirection w:val="btLr"/>
          </w:tcPr>
          <w:p w14:paraId="01D4A696" w14:textId="693289A1" w:rsidR="009E08AB" w:rsidRPr="009E08AB" w:rsidRDefault="009E08AB" w:rsidP="009E08AB">
            <w:pPr>
              <w:ind w:left="113" w:right="113"/>
              <w:cnfStyle w:val="000000000000" w:firstRow="0" w:lastRow="0" w:firstColumn="0" w:lastColumn="0" w:oddVBand="0" w:evenVBand="0" w:oddHBand="0" w:evenHBand="0" w:firstRowFirstColumn="0" w:firstRowLastColumn="0" w:lastRowFirstColumn="0" w:lastRowLastColumn="0"/>
              <w:rPr>
                <w:sz w:val="18"/>
              </w:rPr>
            </w:pPr>
          </w:p>
        </w:tc>
        <w:tc>
          <w:tcPr>
            <w:tcW w:w="0" w:type="auto"/>
            <w:vAlign w:val="top"/>
          </w:tcPr>
          <w:p w14:paraId="56077BAB" w14:textId="77777777" w:rsidR="009E08AB" w:rsidRDefault="009E08AB" w:rsidP="009E08AB">
            <w:pPr>
              <w:jc w:val="both"/>
              <w:cnfStyle w:val="000000000000" w:firstRow="0" w:lastRow="0" w:firstColumn="0" w:lastColumn="0" w:oddVBand="0" w:evenVBand="0" w:oddHBand="0" w:evenHBand="0" w:firstRowFirstColumn="0" w:firstRowLastColumn="0" w:lastRowFirstColumn="0" w:lastRowLastColumn="0"/>
              <w:rPr>
                <w:i/>
                <w:sz w:val="18"/>
              </w:rPr>
            </w:pPr>
            <w:r>
              <w:rPr>
                <w:i/>
                <w:sz w:val="18"/>
              </w:rPr>
              <w:t>Proxy of marginal rape oil production inventory, including transportation.</w:t>
            </w:r>
          </w:p>
        </w:tc>
      </w:tr>
      <w:tr w:rsidR="009E08AB" w14:paraId="12326956" w14:textId="77777777" w:rsidTr="009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top"/>
          </w:tcPr>
          <w:p w14:paraId="05296A09" w14:textId="77777777" w:rsidR="009E08AB" w:rsidRPr="009E08AB" w:rsidRDefault="009E08AB" w:rsidP="009E08AB">
            <w:pPr>
              <w:jc w:val="left"/>
              <w:rPr>
                <w:b w:val="0"/>
                <w:sz w:val="18"/>
              </w:rPr>
            </w:pPr>
            <w:r w:rsidRPr="009E08AB">
              <w:rPr>
                <w:b w:val="0"/>
                <w:sz w:val="18"/>
              </w:rPr>
              <w:t xml:space="preserve">Adapted from soybean meal and crude oil production, mechanical extraction, </w:t>
            </w:r>
            <w:proofErr w:type="spellStart"/>
            <w:r w:rsidRPr="009E08AB">
              <w:rPr>
                <w:b w:val="0"/>
                <w:sz w:val="18"/>
              </w:rPr>
              <w:t>RoW</w:t>
            </w:r>
            <w:proofErr w:type="spellEnd"/>
          </w:p>
        </w:tc>
        <w:tc>
          <w:tcPr>
            <w:tcW w:w="0" w:type="auto"/>
            <w:vAlign w:val="top"/>
          </w:tcPr>
          <w:p w14:paraId="20D59EEF" w14:textId="77777777" w:rsidR="009E08AB" w:rsidRPr="004636E1" w:rsidRDefault="009E08AB" w:rsidP="009E08AB">
            <w:pPr>
              <w:jc w:val="left"/>
              <w:cnfStyle w:val="000000100000" w:firstRow="0" w:lastRow="0" w:firstColumn="0" w:lastColumn="0" w:oddVBand="0" w:evenVBand="0" w:oddHBand="1" w:evenHBand="0" w:firstRowFirstColumn="0" w:firstRowLastColumn="0" w:lastRowFirstColumn="0" w:lastRowLastColumn="0"/>
              <w:rPr>
                <w:sz w:val="18"/>
              </w:rPr>
            </w:pPr>
            <w:r>
              <w:rPr>
                <w:sz w:val="18"/>
              </w:rPr>
              <w:t>0.56</w:t>
            </w:r>
          </w:p>
        </w:tc>
        <w:tc>
          <w:tcPr>
            <w:tcW w:w="0" w:type="auto"/>
            <w:vMerge/>
            <w:textDirection w:val="btLr"/>
          </w:tcPr>
          <w:p w14:paraId="3E3EEB20" w14:textId="363A90CA" w:rsidR="009E08AB" w:rsidRPr="009E08AB" w:rsidRDefault="009E08AB" w:rsidP="009E08AB">
            <w:pPr>
              <w:ind w:left="113" w:right="113"/>
              <w:cnfStyle w:val="000000100000" w:firstRow="0" w:lastRow="0" w:firstColumn="0" w:lastColumn="0" w:oddVBand="0" w:evenVBand="0" w:oddHBand="1" w:evenHBand="0" w:firstRowFirstColumn="0" w:firstRowLastColumn="0" w:lastRowFirstColumn="0" w:lastRowLastColumn="0"/>
              <w:rPr>
                <w:sz w:val="18"/>
              </w:rPr>
            </w:pPr>
          </w:p>
        </w:tc>
        <w:tc>
          <w:tcPr>
            <w:tcW w:w="0" w:type="auto"/>
            <w:vAlign w:val="top"/>
          </w:tcPr>
          <w:p w14:paraId="0ECEFC3A" w14:textId="77777777" w:rsidR="009E08AB" w:rsidRDefault="009E08AB" w:rsidP="009E08AB">
            <w:pPr>
              <w:jc w:val="both"/>
              <w:cnfStyle w:val="000000100000" w:firstRow="0" w:lastRow="0" w:firstColumn="0" w:lastColumn="0" w:oddVBand="0" w:evenVBand="0" w:oddHBand="1" w:evenHBand="0" w:firstRowFirstColumn="0" w:firstRowLastColumn="0" w:lastRowFirstColumn="0" w:lastRowLastColumn="0"/>
              <w:rPr>
                <w:i/>
                <w:sz w:val="18"/>
              </w:rPr>
            </w:pPr>
            <w:r>
              <w:rPr>
                <w:i/>
                <w:sz w:val="18"/>
              </w:rPr>
              <w:t>Proxy of marginal soy oil production inventory, including transportation.</w:t>
            </w:r>
          </w:p>
          <w:p w14:paraId="35AEE921" w14:textId="77777777" w:rsidR="009E08AB" w:rsidRDefault="009E08AB" w:rsidP="009E08AB">
            <w:pPr>
              <w:jc w:val="both"/>
              <w:cnfStyle w:val="000000100000" w:firstRow="0" w:lastRow="0" w:firstColumn="0" w:lastColumn="0" w:oddVBand="0" w:evenVBand="0" w:oddHBand="1" w:evenHBand="0" w:firstRowFirstColumn="0" w:firstRowLastColumn="0" w:lastRowFirstColumn="0" w:lastRowLastColumn="0"/>
              <w:rPr>
                <w:i/>
                <w:sz w:val="18"/>
              </w:rPr>
            </w:pPr>
            <w:r>
              <w:rPr>
                <w:i/>
                <w:sz w:val="18"/>
              </w:rPr>
              <w:t xml:space="preserve">Existing </w:t>
            </w:r>
            <w:proofErr w:type="spellStart"/>
            <w:r>
              <w:rPr>
                <w:i/>
                <w:sz w:val="18"/>
              </w:rPr>
              <w:t>ecoinvent</w:t>
            </w:r>
            <w:proofErr w:type="spellEnd"/>
            <w:r>
              <w:rPr>
                <w:i/>
                <w:sz w:val="18"/>
              </w:rPr>
              <w:t xml:space="preserve"> process “Market for soybean oil, GLO” directly connects soybean oil production impacts to palm oil production impacts through a “Market for vegetable oil, refined, GLO” process. Therefore, only the transportation was derived from this process, and rest of the production was modeled by reversing the existing process “soybean meal and crude oil production, mechanical extraction, </w:t>
            </w:r>
            <w:proofErr w:type="spellStart"/>
            <w:r>
              <w:rPr>
                <w:i/>
                <w:sz w:val="18"/>
              </w:rPr>
              <w:t>RoW</w:t>
            </w:r>
            <w:proofErr w:type="spellEnd"/>
            <w:r>
              <w:rPr>
                <w:i/>
                <w:sz w:val="18"/>
              </w:rPr>
              <w:t>” (initially expressed per kg of soybean meal produced). This was done by considering that 1kg of soybean meal comes with 0.187 kg soybean oil. In this inventory, soybean meal supplies the “generic market for protein feed, GLO”, and the “Market for soybean oil, GLO” process was removed (as now being the main output).</w:t>
            </w:r>
          </w:p>
        </w:tc>
      </w:tr>
      <w:tr w:rsidR="009E08AB" w14:paraId="3DC7ABB5" w14:textId="77777777" w:rsidTr="009E08AB">
        <w:trPr>
          <w:cantSplit/>
          <w:trHeight w:val="1134"/>
        </w:trPr>
        <w:tc>
          <w:tcPr>
            <w:cnfStyle w:val="001000000000" w:firstRow="0" w:lastRow="0" w:firstColumn="1" w:lastColumn="0" w:oddVBand="0" w:evenVBand="0" w:oddHBand="0" w:evenHBand="0" w:firstRowFirstColumn="0" w:firstRowLastColumn="0" w:lastRowFirstColumn="0" w:lastRowLastColumn="0"/>
            <w:tcW w:w="0" w:type="auto"/>
            <w:vAlign w:val="top"/>
          </w:tcPr>
          <w:p w14:paraId="4BC75376" w14:textId="77777777" w:rsidR="009E08AB" w:rsidRPr="009E08AB" w:rsidRDefault="009E08AB" w:rsidP="009E08AB">
            <w:pPr>
              <w:jc w:val="left"/>
              <w:rPr>
                <w:b w:val="0"/>
                <w:sz w:val="18"/>
              </w:rPr>
            </w:pPr>
            <w:r w:rsidRPr="009E08AB">
              <w:rPr>
                <w:b w:val="0"/>
                <w:sz w:val="18"/>
              </w:rPr>
              <w:t>Own construction built around the process:</w:t>
            </w:r>
          </w:p>
          <w:p w14:paraId="38D9C0B7" w14:textId="77777777" w:rsidR="009E08AB" w:rsidRPr="009E08AB" w:rsidRDefault="009E08AB" w:rsidP="009E08AB">
            <w:pPr>
              <w:jc w:val="left"/>
              <w:rPr>
                <w:b w:val="0"/>
                <w:sz w:val="18"/>
              </w:rPr>
            </w:pPr>
          </w:p>
          <w:p w14:paraId="7ECCE804" w14:textId="14C30712" w:rsidR="009E08AB" w:rsidRPr="009E08AB" w:rsidRDefault="009E08AB" w:rsidP="009E08AB">
            <w:pPr>
              <w:jc w:val="left"/>
              <w:rPr>
                <w:b w:val="0"/>
                <w:sz w:val="18"/>
              </w:rPr>
            </w:pPr>
            <w:r w:rsidRPr="009E08AB">
              <w:rPr>
                <w:b w:val="0"/>
                <w:sz w:val="18"/>
              </w:rPr>
              <w:t>“Market for sunflower seed, GLO”</w:t>
            </w:r>
          </w:p>
        </w:tc>
        <w:tc>
          <w:tcPr>
            <w:tcW w:w="0" w:type="auto"/>
            <w:vAlign w:val="top"/>
          </w:tcPr>
          <w:p w14:paraId="15EDD512" w14:textId="18F3082C" w:rsidR="009E08AB" w:rsidRPr="009E08AB" w:rsidRDefault="009E08AB" w:rsidP="009E08AB">
            <w:pPr>
              <w:jc w:val="left"/>
              <w:cnfStyle w:val="000000000000" w:firstRow="0" w:lastRow="0" w:firstColumn="0" w:lastColumn="0" w:oddVBand="0" w:evenVBand="0" w:oddHBand="0" w:evenHBand="0" w:firstRowFirstColumn="0" w:firstRowLastColumn="0" w:lastRowFirstColumn="0" w:lastRowLastColumn="0"/>
              <w:rPr>
                <w:sz w:val="18"/>
              </w:rPr>
            </w:pPr>
            <w:r w:rsidRPr="009E08AB">
              <w:rPr>
                <w:sz w:val="18"/>
              </w:rPr>
              <w:t>0.61</w:t>
            </w:r>
          </w:p>
        </w:tc>
        <w:tc>
          <w:tcPr>
            <w:tcW w:w="0" w:type="auto"/>
            <w:vMerge/>
            <w:textDirection w:val="btLr"/>
          </w:tcPr>
          <w:p w14:paraId="6013D181" w14:textId="6A48538E" w:rsidR="009E08AB" w:rsidRPr="009E08AB" w:rsidRDefault="009E08AB" w:rsidP="009E08AB">
            <w:pPr>
              <w:ind w:left="113" w:right="113"/>
              <w:cnfStyle w:val="000000000000" w:firstRow="0" w:lastRow="0" w:firstColumn="0" w:lastColumn="0" w:oddVBand="0" w:evenVBand="0" w:oddHBand="0" w:evenHBand="0" w:firstRowFirstColumn="0" w:firstRowLastColumn="0" w:lastRowFirstColumn="0" w:lastRowLastColumn="0"/>
              <w:rPr>
                <w:sz w:val="18"/>
              </w:rPr>
            </w:pPr>
          </w:p>
        </w:tc>
        <w:tc>
          <w:tcPr>
            <w:tcW w:w="0" w:type="auto"/>
            <w:vAlign w:val="top"/>
          </w:tcPr>
          <w:p w14:paraId="73592404" w14:textId="709FDF55" w:rsidR="009E08AB" w:rsidRPr="009E08AB" w:rsidRDefault="009E08AB" w:rsidP="009E08AB">
            <w:pPr>
              <w:jc w:val="both"/>
              <w:cnfStyle w:val="000000000000" w:firstRow="0" w:lastRow="0" w:firstColumn="0" w:lastColumn="0" w:oddVBand="0" w:evenVBand="0" w:oddHBand="0" w:evenHBand="0" w:firstRowFirstColumn="0" w:firstRowLastColumn="0" w:lastRowFirstColumn="0" w:lastRowLastColumn="0"/>
              <w:rPr>
                <w:i/>
                <w:sz w:val="18"/>
              </w:rPr>
            </w:pPr>
            <w:r w:rsidRPr="009E08AB">
              <w:rPr>
                <w:i/>
                <w:sz w:val="18"/>
              </w:rPr>
              <w:t>Proxy of marginal sunflower oil production inventory, including transportation. Constructed exacted as for the inventory of sunflower meal production, but reversed (output expressed in terms of oil produced instead of meal produced, and directing the meal produced towards generic market for protein feed, GLO; see corresponding line).</w:t>
            </w:r>
          </w:p>
        </w:tc>
      </w:tr>
    </w:tbl>
    <w:p w14:paraId="718A5960" w14:textId="05409E68" w:rsidR="009955BF" w:rsidRDefault="00A85671" w:rsidP="009E08AB">
      <w:pPr>
        <w:jc w:val="both"/>
        <w:rPr>
          <w:sz w:val="18"/>
        </w:rPr>
      </w:pPr>
      <w:r>
        <w:rPr>
          <w:sz w:val="18"/>
        </w:rPr>
        <w:t xml:space="preserve">All </w:t>
      </w:r>
      <w:r w:rsidR="00492142">
        <w:rPr>
          <w:sz w:val="18"/>
        </w:rPr>
        <w:t>activities</w:t>
      </w:r>
      <w:r>
        <w:rPr>
          <w:sz w:val="18"/>
        </w:rPr>
        <w:t xml:space="preserve"> are from the </w:t>
      </w:r>
      <w:proofErr w:type="spellStart"/>
      <w:r>
        <w:rPr>
          <w:sz w:val="18"/>
        </w:rPr>
        <w:t>ecoinvent</w:t>
      </w:r>
      <w:proofErr w:type="spellEnd"/>
      <w:r>
        <w:rPr>
          <w:sz w:val="18"/>
        </w:rPr>
        <w:t xml:space="preserve"> 3.8 consequential database. Details in </w:t>
      </w:r>
      <w:r w:rsidR="009E08AB">
        <w:rPr>
          <w:sz w:val="18"/>
        </w:rPr>
        <w:t>supplementary information</w:t>
      </w:r>
      <w:r>
        <w:rPr>
          <w:sz w:val="18"/>
        </w:rPr>
        <w:t xml:space="preserve"> of Javourez et al., 2022</w:t>
      </w:r>
      <w:r>
        <w:rPr>
          <w:sz w:val="18"/>
        </w:rPr>
        <w:fldChar w:fldCharType="begin"/>
      </w:r>
      <w:r w:rsidR="00690075">
        <w:rPr>
          <w:sz w:val="18"/>
        </w:rPr>
        <w:instrText xml:space="preserve"> ADDIN ZOTERO_ITEM CSL_CITATION {"citationID":"GEo6XJeW","properties":{"formattedCitation":"\\super 2\\nosupersub{}","plainCitation":"2","noteIndex":0},"citationItems":[{"id":13553,"uris":["http://zotero.org/users/6423791/items/EU8KLJZY"],"itemData":{"id":13553,"type":"article-journal","abstract":"Transforming residual biomass into edible ingredients is increasingly\npromoted to alleviate the environmental impacts of food systems. Yet,\nthese approaches mostly rely on emerging technologies and constrained\nresources, and their environmental benefits remain unclear. By combining\nprocess-based consequential life cycle analysis, uncertainty assessment\nand biomass resource estimation, we quantified the impacts of deploying\nwaste-to-nutrition pathways, here applied to the upgrading of agrifood\nco-products by solid-state fermentation (SSF). The benefits of reducing the\ndemand for soybean meal by enhancing the protein concentration of feed\nthrough SSF do not compensate for the environmental burdens induced\nby the process on climate change, water depletion and land use. Besides\nunlocking feed markets to low-feed-quality streams, SSF outperforms\nenergy valorization for most environmental impacts but is less competitive\nto mitigate climate change. Yet, SSF yields overall environmental benefits\nwhen unlocking food markets rather than supplying feed and energy\nservices. Systematic methodological harmonization is required to assess the\npotential of novel ingredients, as outcomes vary according to the displaced\nfood and feed baskets, and related land use changes.","container-title":"Nature Food","DOI":"10.1038/s43016-022-00621-9","journalAbbreviation":"Nat Food","language":"en","page":"911-920","title":"Upgrading agrifood co-products via solid fermentation yields environmental benefits under specific conditions only","volume":"3","author":[{"family":"Javourez","given":"Ugo"},{"family":"Rosero Delgado","given":"Ernesto Alonso"},{"family":"Hamelin","given":"Lorie"}],"issued":{"date-parts":[["2022",10,31]]}}}],"schema":"https://github.com/citation-style-language/schema/raw/master/csl-citation.json"} </w:instrText>
      </w:r>
      <w:r>
        <w:rPr>
          <w:sz w:val="18"/>
        </w:rPr>
        <w:fldChar w:fldCharType="separate"/>
      </w:r>
      <w:r w:rsidR="00690075" w:rsidRPr="00690075">
        <w:rPr>
          <w:rFonts w:ascii="Calibri" w:hAnsi="Calibri" w:cs="Calibri"/>
          <w:sz w:val="18"/>
          <w:szCs w:val="24"/>
          <w:vertAlign w:val="superscript"/>
        </w:rPr>
        <w:t>2</w:t>
      </w:r>
      <w:r>
        <w:rPr>
          <w:sz w:val="18"/>
        </w:rPr>
        <w:fldChar w:fldCharType="end"/>
      </w:r>
      <w:r w:rsidRPr="00A7080C">
        <w:rPr>
          <w:sz w:val="18"/>
        </w:rPr>
        <w:t xml:space="preserve">. </w:t>
      </w:r>
      <w:r>
        <w:rPr>
          <w:sz w:val="18"/>
        </w:rPr>
        <w:t>LUC</w:t>
      </w:r>
      <w:r w:rsidR="009E08AB">
        <w:rPr>
          <w:sz w:val="18"/>
        </w:rPr>
        <w:t>-</w:t>
      </w:r>
      <w:r>
        <w:rPr>
          <w:sz w:val="18"/>
        </w:rPr>
        <w:t xml:space="preserve">related impacts were removed from all food-related background </w:t>
      </w:r>
      <w:r w:rsidR="00492142">
        <w:rPr>
          <w:sz w:val="18"/>
        </w:rPr>
        <w:t>activities</w:t>
      </w:r>
      <w:r w:rsidRPr="00A315BA">
        <w:rPr>
          <w:sz w:val="18"/>
        </w:rPr>
        <w:t>. “GLO</w:t>
      </w:r>
      <w:r>
        <w:rPr>
          <w:sz w:val="18"/>
        </w:rPr>
        <w:t>” or “</w:t>
      </w:r>
      <w:proofErr w:type="spellStart"/>
      <w:r>
        <w:rPr>
          <w:sz w:val="18"/>
        </w:rPr>
        <w:t>RoW</w:t>
      </w:r>
      <w:proofErr w:type="spellEnd"/>
      <w:r>
        <w:rPr>
          <w:sz w:val="18"/>
        </w:rPr>
        <w:t xml:space="preserve">” background </w:t>
      </w:r>
      <w:r w:rsidR="009E08AB">
        <w:rPr>
          <w:sz w:val="18"/>
        </w:rPr>
        <w:t>activities were selected</w:t>
      </w:r>
      <w:r>
        <w:rPr>
          <w:sz w:val="18"/>
        </w:rPr>
        <w:t xml:space="preserve"> as concentrated feed ingredients </w:t>
      </w:r>
      <w:r w:rsidR="009E08AB">
        <w:rPr>
          <w:sz w:val="18"/>
        </w:rPr>
        <w:t>were</w:t>
      </w:r>
      <w:r>
        <w:rPr>
          <w:sz w:val="18"/>
        </w:rPr>
        <w:t xml:space="preserve"> considered part of global markets. </w:t>
      </w:r>
      <w:r w:rsidRPr="00A7080C">
        <w:rPr>
          <w:sz w:val="18"/>
        </w:rPr>
        <w:t xml:space="preserve">*: </w:t>
      </w:r>
      <w:r w:rsidR="00F24A17">
        <w:rPr>
          <w:sz w:val="18"/>
        </w:rPr>
        <w:t>Y</w:t>
      </w:r>
      <w:r w:rsidRPr="00A7080C">
        <w:rPr>
          <w:sz w:val="18"/>
        </w:rPr>
        <w:t>ields already accounting for crop-to-products ratios</w:t>
      </w:r>
      <w:r>
        <w:rPr>
          <w:sz w:val="18"/>
        </w:rPr>
        <w:t>, and already weighted to correspond to marginally-supplying regions</w:t>
      </w:r>
      <w:r w:rsidRPr="00A7080C">
        <w:rPr>
          <w:sz w:val="18"/>
        </w:rPr>
        <w:t>.</w:t>
      </w:r>
    </w:p>
    <w:p w14:paraId="1B09BDDF" w14:textId="77777777" w:rsidR="009955BF" w:rsidRDefault="009955BF">
      <w:pPr>
        <w:rPr>
          <w:sz w:val="18"/>
        </w:rPr>
      </w:pPr>
      <w:r>
        <w:rPr>
          <w:sz w:val="18"/>
        </w:rPr>
        <w:br w:type="page"/>
      </w:r>
    </w:p>
    <w:p w14:paraId="2AFEEC72" w14:textId="699BA5BD" w:rsidR="00A85671" w:rsidRPr="009E08AB" w:rsidRDefault="00C15AC3" w:rsidP="009E08AB">
      <w:pPr>
        <w:pStyle w:val="Lgende"/>
        <w:jc w:val="left"/>
        <w:rPr>
          <w:highlight w:val="yellow"/>
        </w:rPr>
      </w:pPr>
      <w:bookmarkStart w:id="21" w:name="_Ref151653604"/>
      <w:bookmarkStart w:id="22" w:name="_Toc128061477"/>
      <w:bookmarkStart w:id="23" w:name="_Toc155516846"/>
      <w:r w:rsidRPr="009E08AB">
        <w:lastRenderedPageBreak/>
        <w:t>Table SI</w:t>
      </w:r>
      <w:r w:rsidRPr="009E08AB">
        <w:fldChar w:fldCharType="begin"/>
      </w:r>
      <w:r w:rsidRPr="009E08AB">
        <w:instrText xml:space="preserve"> SEQ Table \* ARABIC </w:instrText>
      </w:r>
      <w:r w:rsidRPr="009E08AB">
        <w:fldChar w:fldCharType="separate"/>
      </w:r>
      <w:r w:rsidR="00C65861">
        <w:rPr>
          <w:noProof/>
        </w:rPr>
        <w:t>10</w:t>
      </w:r>
      <w:r w:rsidRPr="009E08AB">
        <w:fldChar w:fldCharType="end"/>
      </w:r>
      <w:bookmarkEnd w:id="21"/>
      <w:r w:rsidRPr="009E08AB">
        <w:t xml:space="preserve"> </w:t>
      </w:r>
      <w:r w:rsidR="00A85671" w:rsidRPr="009E08AB">
        <w:t xml:space="preserve">– Background </w:t>
      </w:r>
      <w:r w:rsidR="00492142">
        <w:t>activities</w:t>
      </w:r>
      <w:r w:rsidR="00A85671" w:rsidRPr="009E08AB">
        <w:t xml:space="preserve"> to model the </w:t>
      </w:r>
      <w:r w:rsidR="00F24A17">
        <w:t xml:space="preserve">marginal </w:t>
      </w:r>
      <w:r w:rsidR="00A85671" w:rsidRPr="009E08AB">
        <w:t xml:space="preserve">production of roughage </w:t>
      </w:r>
      <w:bookmarkEnd w:id="22"/>
      <w:r w:rsidR="00F24A17">
        <w:t>feed services</w:t>
      </w:r>
      <w:bookmarkEnd w:id="23"/>
    </w:p>
    <w:tbl>
      <w:tblPr>
        <w:tblStyle w:val="Tableausimple4"/>
        <w:tblW w:w="0" w:type="auto"/>
        <w:tblLook w:val="04A0" w:firstRow="1" w:lastRow="0" w:firstColumn="1" w:lastColumn="0" w:noHBand="0" w:noVBand="1"/>
      </w:tblPr>
      <w:tblGrid>
        <w:gridCol w:w="2192"/>
        <w:gridCol w:w="1167"/>
        <w:gridCol w:w="1421"/>
        <w:gridCol w:w="4292"/>
      </w:tblGrid>
      <w:tr w:rsidR="00A85671" w14:paraId="3810E363" w14:textId="77777777" w:rsidTr="009E08AB">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top"/>
          </w:tcPr>
          <w:p w14:paraId="10C19980" w14:textId="08F26F35" w:rsidR="00A85671" w:rsidRPr="00A315BA" w:rsidRDefault="00A85671" w:rsidP="009E08AB">
            <w:pPr>
              <w:jc w:val="left"/>
              <w:rPr>
                <w:sz w:val="18"/>
              </w:rPr>
            </w:pPr>
            <w:r w:rsidRPr="00A315BA">
              <w:rPr>
                <w:sz w:val="18"/>
              </w:rPr>
              <w:t xml:space="preserve">Background </w:t>
            </w:r>
            <w:r w:rsidR="00492142">
              <w:rPr>
                <w:sz w:val="18"/>
              </w:rPr>
              <w:t>activities</w:t>
            </w:r>
          </w:p>
        </w:tc>
        <w:tc>
          <w:tcPr>
            <w:tcW w:w="0" w:type="auto"/>
            <w:vAlign w:val="top"/>
          </w:tcPr>
          <w:p w14:paraId="6E2A6CEF" w14:textId="77777777" w:rsidR="00A85671" w:rsidRPr="00A315BA" w:rsidRDefault="00A85671" w:rsidP="009E08AB">
            <w:pPr>
              <w:jc w:val="left"/>
              <w:cnfStyle w:val="100000000000" w:firstRow="1" w:lastRow="0" w:firstColumn="0" w:lastColumn="0" w:oddVBand="0" w:evenVBand="0" w:oddHBand="0" w:evenHBand="0" w:firstRowFirstColumn="0" w:firstRowLastColumn="0" w:lastRowFirstColumn="0" w:lastRowLastColumn="0"/>
              <w:rPr>
                <w:sz w:val="18"/>
                <w:lang w:val="es-419"/>
              </w:rPr>
            </w:pPr>
            <w:r w:rsidRPr="00A315BA">
              <w:rPr>
                <w:sz w:val="18"/>
                <w:lang w:val="es-419"/>
              </w:rPr>
              <w:t xml:space="preserve">Marginal </w:t>
            </w:r>
            <w:proofErr w:type="spellStart"/>
            <w:r w:rsidRPr="00A315BA">
              <w:rPr>
                <w:sz w:val="18"/>
                <w:lang w:val="es-419"/>
              </w:rPr>
              <w:t>yield</w:t>
            </w:r>
            <w:proofErr w:type="spellEnd"/>
            <w:r w:rsidRPr="00A315BA">
              <w:rPr>
                <w:sz w:val="18"/>
                <w:vertAlign w:val="superscript"/>
                <w:lang w:val="es-419"/>
              </w:rPr>
              <w:t>*</w:t>
            </w:r>
            <w:r w:rsidRPr="00A315BA">
              <w:rPr>
                <w:sz w:val="18"/>
                <w:lang w:val="es-419"/>
              </w:rPr>
              <w:t xml:space="preserve"> (t</w:t>
            </w:r>
            <w:r w:rsidRPr="00A315BA">
              <w:rPr>
                <w:sz w:val="18"/>
                <w:vertAlign w:val="subscript"/>
                <w:lang w:val="es-419"/>
              </w:rPr>
              <w:t>DM</w:t>
            </w:r>
            <w:r w:rsidRPr="00A315BA">
              <w:rPr>
                <w:sz w:val="18"/>
                <w:lang w:val="es-419"/>
              </w:rPr>
              <w:t>.ha</w:t>
            </w:r>
            <w:r w:rsidRPr="00A315BA">
              <w:rPr>
                <w:sz w:val="18"/>
                <w:vertAlign w:val="superscript"/>
                <w:lang w:val="es-419"/>
              </w:rPr>
              <w:t>-</w:t>
            </w:r>
            <w:proofErr w:type="gramStart"/>
            <w:r w:rsidRPr="00A315BA">
              <w:rPr>
                <w:sz w:val="18"/>
                <w:vertAlign w:val="superscript"/>
                <w:lang w:val="es-419"/>
              </w:rPr>
              <w:t>1</w:t>
            </w:r>
            <w:r w:rsidRPr="00A315BA">
              <w:rPr>
                <w:sz w:val="18"/>
                <w:lang w:val="es-419"/>
              </w:rPr>
              <w:t>.y</w:t>
            </w:r>
            <w:proofErr w:type="gramEnd"/>
            <w:r w:rsidRPr="00A315BA">
              <w:rPr>
                <w:sz w:val="18"/>
                <w:vertAlign w:val="superscript"/>
                <w:lang w:val="es-419"/>
              </w:rPr>
              <w:t>-1</w:t>
            </w:r>
            <w:r w:rsidRPr="00A315BA">
              <w:rPr>
                <w:sz w:val="18"/>
                <w:lang w:val="es-419"/>
              </w:rPr>
              <w:t>)</w:t>
            </w:r>
          </w:p>
        </w:tc>
        <w:tc>
          <w:tcPr>
            <w:tcW w:w="0" w:type="auto"/>
            <w:vAlign w:val="top"/>
          </w:tcPr>
          <w:p w14:paraId="6CA1F7D2" w14:textId="77777777" w:rsidR="00A85671" w:rsidRPr="00A315BA" w:rsidRDefault="00A85671" w:rsidP="009E08AB">
            <w:pPr>
              <w:jc w:val="left"/>
              <w:cnfStyle w:val="100000000000" w:firstRow="1" w:lastRow="0" w:firstColumn="0" w:lastColumn="0" w:oddVBand="0" w:evenVBand="0" w:oddHBand="0" w:evenHBand="0" w:firstRowFirstColumn="0" w:firstRowLastColumn="0" w:lastRowFirstColumn="0" w:lastRowLastColumn="0"/>
              <w:rPr>
                <w:sz w:val="18"/>
              </w:rPr>
            </w:pPr>
            <w:r w:rsidRPr="00A315BA">
              <w:rPr>
                <w:sz w:val="18"/>
              </w:rPr>
              <w:t>N-fertilizing service required</w:t>
            </w:r>
            <w:r w:rsidRPr="00A315BA">
              <w:rPr>
                <w:sz w:val="18"/>
                <w:vertAlign w:val="superscript"/>
              </w:rPr>
              <w:t xml:space="preserve">* </w:t>
            </w:r>
            <w:r w:rsidRPr="00A315BA">
              <w:rPr>
                <w:sz w:val="18"/>
              </w:rPr>
              <w:t>(kg</w:t>
            </w:r>
            <w:r w:rsidRPr="00A315BA">
              <w:rPr>
                <w:sz w:val="18"/>
                <w:vertAlign w:val="subscript"/>
              </w:rPr>
              <w:t>N</w:t>
            </w:r>
            <w:r w:rsidRPr="00A315BA">
              <w:rPr>
                <w:sz w:val="18"/>
              </w:rPr>
              <w:t>.kg</w:t>
            </w:r>
            <w:r w:rsidRPr="00A315BA">
              <w:rPr>
                <w:sz w:val="18"/>
                <w:vertAlign w:val="subscript"/>
              </w:rPr>
              <w:t>DM</w:t>
            </w:r>
            <w:r w:rsidRPr="00A315BA">
              <w:rPr>
                <w:sz w:val="18"/>
                <w:vertAlign w:val="superscript"/>
              </w:rPr>
              <w:t>-1</w:t>
            </w:r>
            <w:r w:rsidRPr="00A315BA">
              <w:rPr>
                <w:sz w:val="18"/>
              </w:rPr>
              <w:t>)</w:t>
            </w:r>
          </w:p>
        </w:tc>
        <w:tc>
          <w:tcPr>
            <w:tcW w:w="0" w:type="auto"/>
            <w:vAlign w:val="top"/>
          </w:tcPr>
          <w:p w14:paraId="1CAD1BD1" w14:textId="77777777" w:rsidR="00A85671" w:rsidRPr="00A315BA" w:rsidRDefault="00A85671" w:rsidP="009E08AB">
            <w:pPr>
              <w:jc w:val="left"/>
              <w:cnfStyle w:val="100000000000" w:firstRow="1" w:lastRow="0" w:firstColumn="0" w:lastColumn="0" w:oddVBand="0" w:evenVBand="0" w:oddHBand="0" w:evenHBand="0" w:firstRowFirstColumn="0" w:firstRowLastColumn="0" w:lastRowFirstColumn="0" w:lastRowLastColumn="0"/>
              <w:rPr>
                <w:i/>
                <w:sz w:val="18"/>
              </w:rPr>
            </w:pPr>
            <w:r w:rsidRPr="00A315BA">
              <w:rPr>
                <w:i/>
                <w:sz w:val="18"/>
              </w:rPr>
              <w:t>Comment</w:t>
            </w:r>
          </w:p>
        </w:tc>
      </w:tr>
      <w:tr w:rsidR="00A85671" w14:paraId="2418EB8A" w14:textId="77777777" w:rsidTr="009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top"/>
          </w:tcPr>
          <w:p w14:paraId="7AF02B39" w14:textId="77777777" w:rsidR="00A85671" w:rsidRPr="009E08AB" w:rsidRDefault="00A85671" w:rsidP="009E08AB">
            <w:pPr>
              <w:jc w:val="left"/>
              <w:rPr>
                <w:b w:val="0"/>
                <w:sz w:val="18"/>
              </w:rPr>
            </w:pPr>
            <w:r w:rsidRPr="009E08AB">
              <w:rPr>
                <w:b w:val="0"/>
                <w:sz w:val="18"/>
              </w:rPr>
              <w:t>Market for grass silage, Swiss integrated production, CH</w:t>
            </w:r>
          </w:p>
        </w:tc>
        <w:tc>
          <w:tcPr>
            <w:tcW w:w="0" w:type="auto"/>
            <w:vAlign w:val="top"/>
          </w:tcPr>
          <w:p w14:paraId="6AB716E0" w14:textId="77777777" w:rsidR="00A85671" w:rsidRPr="00432913" w:rsidRDefault="00A85671" w:rsidP="009E08AB">
            <w:pPr>
              <w:jc w:val="left"/>
              <w:cnfStyle w:val="000000100000" w:firstRow="0" w:lastRow="0" w:firstColumn="0" w:lastColumn="0" w:oddVBand="0" w:evenVBand="0" w:oddHBand="1" w:evenHBand="0" w:firstRowFirstColumn="0" w:firstRowLastColumn="0" w:lastRowFirstColumn="0" w:lastRowLastColumn="0"/>
              <w:rPr>
                <w:sz w:val="18"/>
              </w:rPr>
            </w:pPr>
            <w:r>
              <w:rPr>
                <w:sz w:val="18"/>
              </w:rPr>
              <w:t>13.50</w:t>
            </w:r>
          </w:p>
        </w:tc>
        <w:tc>
          <w:tcPr>
            <w:tcW w:w="0" w:type="auto"/>
            <w:vAlign w:val="top"/>
          </w:tcPr>
          <w:p w14:paraId="0CF5823E" w14:textId="77777777" w:rsidR="00A85671" w:rsidRPr="00432913" w:rsidRDefault="00A85671" w:rsidP="009E08AB">
            <w:pPr>
              <w:jc w:val="left"/>
              <w:cnfStyle w:val="000000100000" w:firstRow="0" w:lastRow="0" w:firstColumn="0" w:lastColumn="0" w:oddVBand="0" w:evenVBand="0" w:oddHBand="1" w:evenHBand="0" w:firstRowFirstColumn="0" w:firstRowLastColumn="0" w:lastRowFirstColumn="0" w:lastRowLastColumn="0"/>
              <w:rPr>
                <w:sz w:val="18"/>
              </w:rPr>
            </w:pPr>
            <w:r>
              <w:rPr>
                <w:sz w:val="18"/>
              </w:rPr>
              <w:t>2.5 x 10</w:t>
            </w:r>
            <w:r w:rsidRPr="00432913">
              <w:rPr>
                <w:sz w:val="18"/>
                <w:vertAlign w:val="superscript"/>
              </w:rPr>
              <w:t>-3</w:t>
            </w:r>
          </w:p>
        </w:tc>
        <w:tc>
          <w:tcPr>
            <w:tcW w:w="0" w:type="auto"/>
            <w:vAlign w:val="top"/>
          </w:tcPr>
          <w:p w14:paraId="41924975" w14:textId="77777777" w:rsidR="00A85671" w:rsidRPr="00B51D8F" w:rsidRDefault="00A85671" w:rsidP="009E08AB">
            <w:pPr>
              <w:jc w:val="both"/>
              <w:cnfStyle w:val="000000100000" w:firstRow="0" w:lastRow="0" w:firstColumn="0" w:lastColumn="0" w:oddVBand="0" w:evenVBand="0" w:oddHBand="1" w:evenHBand="0" w:firstRowFirstColumn="0" w:firstRowLastColumn="0" w:lastRowFirstColumn="0" w:lastRowLastColumn="0"/>
              <w:rPr>
                <w:i/>
                <w:sz w:val="18"/>
              </w:rPr>
            </w:pPr>
            <w:r>
              <w:rPr>
                <w:i/>
                <w:sz w:val="18"/>
              </w:rPr>
              <w:t>Proxy of marginal French grass silage production inventory, including transportation.</w:t>
            </w:r>
          </w:p>
        </w:tc>
      </w:tr>
      <w:tr w:rsidR="00A85671" w14:paraId="6CC3E51E" w14:textId="77777777" w:rsidTr="009E08AB">
        <w:tc>
          <w:tcPr>
            <w:cnfStyle w:val="001000000000" w:firstRow="0" w:lastRow="0" w:firstColumn="1" w:lastColumn="0" w:oddVBand="0" w:evenVBand="0" w:oddHBand="0" w:evenHBand="0" w:firstRowFirstColumn="0" w:firstRowLastColumn="0" w:lastRowFirstColumn="0" w:lastRowLastColumn="0"/>
            <w:tcW w:w="0" w:type="auto"/>
            <w:vAlign w:val="top"/>
          </w:tcPr>
          <w:p w14:paraId="6B10E565" w14:textId="77777777" w:rsidR="00A85671" w:rsidRPr="009E08AB" w:rsidRDefault="00A85671" w:rsidP="009E08AB">
            <w:pPr>
              <w:jc w:val="left"/>
              <w:rPr>
                <w:b w:val="0"/>
                <w:sz w:val="18"/>
              </w:rPr>
            </w:pPr>
            <w:r w:rsidRPr="009E08AB">
              <w:rPr>
                <w:b w:val="0"/>
                <w:sz w:val="18"/>
              </w:rPr>
              <w:t>Market for ryegrass silage, GLO</w:t>
            </w:r>
          </w:p>
        </w:tc>
        <w:tc>
          <w:tcPr>
            <w:tcW w:w="0" w:type="auto"/>
            <w:vAlign w:val="top"/>
          </w:tcPr>
          <w:p w14:paraId="023D52D9" w14:textId="77777777" w:rsidR="00A85671" w:rsidRPr="00432913" w:rsidRDefault="00A85671" w:rsidP="009E08AB">
            <w:pPr>
              <w:jc w:val="left"/>
              <w:cnfStyle w:val="000000000000" w:firstRow="0" w:lastRow="0" w:firstColumn="0" w:lastColumn="0" w:oddVBand="0" w:evenVBand="0" w:oddHBand="0" w:evenHBand="0" w:firstRowFirstColumn="0" w:firstRowLastColumn="0" w:lastRowFirstColumn="0" w:lastRowLastColumn="0"/>
              <w:rPr>
                <w:sz w:val="18"/>
              </w:rPr>
            </w:pPr>
            <w:r>
              <w:rPr>
                <w:sz w:val="18"/>
              </w:rPr>
              <w:t>5.75</w:t>
            </w:r>
          </w:p>
        </w:tc>
        <w:tc>
          <w:tcPr>
            <w:tcW w:w="0" w:type="auto"/>
            <w:vAlign w:val="top"/>
          </w:tcPr>
          <w:p w14:paraId="05A00BC1" w14:textId="77777777" w:rsidR="00A85671" w:rsidRPr="00432913" w:rsidRDefault="00A85671" w:rsidP="009E08AB">
            <w:pPr>
              <w:jc w:val="left"/>
              <w:cnfStyle w:val="000000000000" w:firstRow="0" w:lastRow="0" w:firstColumn="0" w:lastColumn="0" w:oddVBand="0" w:evenVBand="0" w:oddHBand="0" w:evenHBand="0" w:firstRowFirstColumn="0" w:firstRowLastColumn="0" w:lastRowFirstColumn="0" w:lastRowLastColumn="0"/>
              <w:rPr>
                <w:sz w:val="18"/>
              </w:rPr>
            </w:pPr>
            <w:r>
              <w:rPr>
                <w:sz w:val="18"/>
              </w:rPr>
              <w:t>1.1 x 10</w:t>
            </w:r>
            <w:r w:rsidRPr="00432913">
              <w:rPr>
                <w:sz w:val="18"/>
                <w:vertAlign w:val="superscript"/>
              </w:rPr>
              <w:t>-</w:t>
            </w:r>
            <w:r>
              <w:rPr>
                <w:sz w:val="18"/>
                <w:vertAlign w:val="superscript"/>
              </w:rPr>
              <w:t>2</w:t>
            </w:r>
          </w:p>
        </w:tc>
        <w:tc>
          <w:tcPr>
            <w:tcW w:w="0" w:type="auto"/>
            <w:vAlign w:val="top"/>
          </w:tcPr>
          <w:p w14:paraId="67EF9214" w14:textId="77777777" w:rsidR="00A85671" w:rsidRDefault="00A85671" w:rsidP="009E08AB">
            <w:pPr>
              <w:jc w:val="both"/>
              <w:cnfStyle w:val="000000000000" w:firstRow="0" w:lastRow="0" w:firstColumn="0" w:lastColumn="0" w:oddVBand="0" w:evenVBand="0" w:oddHBand="0" w:evenHBand="0" w:firstRowFirstColumn="0" w:firstRowLastColumn="0" w:lastRowFirstColumn="0" w:lastRowLastColumn="0"/>
              <w:rPr>
                <w:i/>
                <w:sz w:val="18"/>
              </w:rPr>
            </w:pPr>
            <w:r>
              <w:rPr>
                <w:i/>
                <w:sz w:val="18"/>
              </w:rPr>
              <w:t>Proxy of marginal French ryegrass silage production inventory, including transportation. “GLO” market was selected because only including “CH” production processes; same distribution was considered as in original data.</w:t>
            </w:r>
          </w:p>
        </w:tc>
      </w:tr>
      <w:tr w:rsidR="00A85671" w14:paraId="7B634E8C" w14:textId="77777777" w:rsidTr="009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top"/>
          </w:tcPr>
          <w:p w14:paraId="323994FA" w14:textId="77777777" w:rsidR="00A85671" w:rsidRPr="009E08AB" w:rsidRDefault="00A85671" w:rsidP="009E08AB">
            <w:pPr>
              <w:jc w:val="left"/>
              <w:rPr>
                <w:b w:val="0"/>
                <w:sz w:val="18"/>
              </w:rPr>
            </w:pPr>
            <w:r w:rsidRPr="009E08AB">
              <w:rPr>
                <w:b w:val="0"/>
                <w:sz w:val="18"/>
              </w:rPr>
              <w:t>Market for alfalfa-grass silage, GLO</w:t>
            </w:r>
          </w:p>
        </w:tc>
        <w:tc>
          <w:tcPr>
            <w:tcW w:w="0" w:type="auto"/>
            <w:vAlign w:val="top"/>
          </w:tcPr>
          <w:p w14:paraId="66151602" w14:textId="77777777" w:rsidR="00A85671" w:rsidRDefault="00A85671" w:rsidP="009E08AB">
            <w:pPr>
              <w:jc w:val="left"/>
              <w:cnfStyle w:val="000000100000" w:firstRow="0" w:lastRow="0" w:firstColumn="0" w:lastColumn="0" w:oddVBand="0" w:evenVBand="0" w:oddHBand="1" w:evenHBand="0" w:firstRowFirstColumn="0" w:firstRowLastColumn="0" w:lastRowFirstColumn="0" w:lastRowLastColumn="0"/>
              <w:rPr>
                <w:sz w:val="18"/>
              </w:rPr>
            </w:pPr>
            <w:r>
              <w:rPr>
                <w:sz w:val="18"/>
              </w:rPr>
              <w:t>5.78</w:t>
            </w:r>
          </w:p>
        </w:tc>
        <w:tc>
          <w:tcPr>
            <w:tcW w:w="0" w:type="auto"/>
            <w:vAlign w:val="top"/>
          </w:tcPr>
          <w:p w14:paraId="51FA26BD" w14:textId="77777777" w:rsidR="00A85671" w:rsidRDefault="00A85671" w:rsidP="009E08AB">
            <w:pPr>
              <w:jc w:val="left"/>
              <w:cnfStyle w:val="000000100000" w:firstRow="0" w:lastRow="0" w:firstColumn="0" w:lastColumn="0" w:oddVBand="0" w:evenVBand="0" w:oddHBand="1" w:evenHBand="0" w:firstRowFirstColumn="0" w:firstRowLastColumn="0" w:lastRowFirstColumn="0" w:lastRowLastColumn="0"/>
              <w:rPr>
                <w:sz w:val="18"/>
              </w:rPr>
            </w:pPr>
            <w:r>
              <w:rPr>
                <w:sz w:val="18"/>
              </w:rPr>
              <w:t>1.15 x 10</w:t>
            </w:r>
            <w:r w:rsidRPr="00432913">
              <w:rPr>
                <w:sz w:val="18"/>
                <w:vertAlign w:val="superscript"/>
              </w:rPr>
              <w:t>-</w:t>
            </w:r>
            <w:r>
              <w:rPr>
                <w:sz w:val="18"/>
                <w:vertAlign w:val="superscript"/>
              </w:rPr>
              <w:t>2</w:t>
            </w:r>
          </w:p>
        </w:tc>
        <w:tc>
          <w:tcPr>
            <w:tcW w:w="0" w:type="auto"/>
            <w:vAlign w:val="top"/>
          </w:tcPr>
          <w:p w14:paraId="04ACFC9A" w14:textId="77777777" w:rsidR="00A85671" w:rsidRDefault="00A85671" w:rsidP="009E08AB">
            <w:pPr>
              <w:jc w:val="both"/>
              <w:cnfStyle w:val="000000100000" w:firstRow="0" w:lastRow="0" w:firstColumn="0" w:lastColumn="0" w:oddVBand="0" w:evenVBand="0" w:oddHBand="1" w:evenHBand="0" w:firstRowFirstColumn="0" w:firstRowLastColumn="0" w:lastRowFirstColumn="0" w:lastRowLastColumn="0"/>
              <w:rPr>
                <w:i/>
                <w:sz w:val="18"/>
              </w:rPr>
            </w:pPr>
            <w:r>
              <w:rPr>
                <w:i/>
                <w:sz w:val="18"/>
              </w:rPr>
              <w:t>Proxy of marginal French alfalfa-grass silage production inventory, including transportation. “GLO” markets was selected to account for non-intensive production.</w:t>
            </w:r>
          </w:p>
        </w:tc>
      </w:tr>
      <w:tr w:rsidR="00A85671" w14:paraId="4A50D346" w14:textId="77777777" w:rsidTr="009E08AB">
        <w:tc>
          <w:tcPr>
            <w:cnfStyle w:val="001000000000" w:firstRow="0" w:lastRow="0" w:firstColumn="1" w:lastColumn="0" w:oddVBand="0" w:evenVBand="0" w:oddHBand="0" w:evenHBand="0" w:firstRowFirstColumn="0" w:firstRowLastColumn="0" w:lastRowFirstColumn="0" w:lastRowLastColumn="0"/>
            <w:tcW w:w="0" w:type="auto"/>
            <w:vAlign w:val="top"/>
          </w:tcPr>
          <w:p w14:paraId="2BC95050" w14:textId="77777777" w:rsidR="00A85671" w:rsidRPr="009E08AB" w:rsidRDefault="00A85671" w:rsidP="009E08AB">
            <w:pPr>
              <w:jc w:val="left"/>
              <w:rPr>
                <w:b w:val="0"/>
                <w:sz w:val="18"/>
              </w:rPr>
            </w:pPr>
            <w:r w:rsidRPr="009E08AB">
              <w:rPr>
                <w:b w:val="0"/>
                <w:sz w:val="18"/>
              </w:rPr>
              <w:t xml:space="preserve">Market for </w:t>
            </w:r>
            <w:proofErr w:type="spellStart"/>
            <w:r w:rsidRPr="009E08AB">
              <w:rPr>
                <w:b w:val="0"/>
                <w:sz w:val="18"/>
              </w:rPr>
              <w:t>ryegrass-Egyptian&amp;Persian</w:t>
            </w:r>
            <w:proofErr w:type="spellEnd"/>
            <w:r w:rsidRPr="009E08AB">
              <w:rPr>
                <w:b w:val="0"/>
                <w:sz w:val="18"/>
              </w:rPr>
              <w:t xml:space="preserve"> clover-mixture silage, GLO</w:t>
            </w:r>
          </w:p>
        </w:tc>
        <w:tc>
          <w:tcPr>
            <w:tcW w:w="0" w:type="auto"/>
            <w:vAlign w:val="top"/>
          </w:tcPr>
          <w:p w14:paraId="651AE5DA" w14:textId="77777777" w:rsidR="00A85671" w:rsidRDefault="00A85671" w:rsidP="009E08AB">
            <w:pPr>
              <w:jc w:val="left"/>
              <w:cnfStyle w:val="000000000000" w:firstRow="0" w:lastRow="0" w:firstColumn="0" w:lastColumn="0" w:oddVBand="0" w:evenVBand="0" w:oddHBand="0" w:evenHBand="0" w:firstRowFirstColumn="0" w:firstRowLastColumn="0" w:lastRowFirstColumn="0" w:lastRowLastColumn="0"/>
              <w:rPr>
                <w:sz w:val="18"/>
              </w:rPr>
            </w:pPr>
            <w:r>
              <w:rPr>
                <w:sz w:val="18"/>
              </w:rPr>
              <w:t>2.99</w:t>
            </w:r>
          </w:p>
        </w:tc>
        <w:tc>
          <w:tcPr>
            <w:tcW w:w="0" w:type="auto"/>
            <w:vAlign w:val="top"/>
          </w:tcPr>
          <w:p w14:paraId="53F0BF66" w14:textId="77777777" w:rsidR="00A85671" w:rsidRDefault="00A85671" w:rsidP="009E08AB">
            <w:pPr>
              <w:jc w:val="left"/>
              <w:cnfStyle w:val="000000000000" w:firstRow="0" w:lastRow="0" w:firstColumn="0" w:lastColumn="0" w:oddVBand="0" w:evenVBand="0" w:oddHBand="0" w:evenHBand="0" w:firstRowFirstColumn="0" w:firstRowLastColumn="0" w:lastRowFirstColumn="0" w:lastRowLastColumn="0"/>
              <w:rPr>
                <w:sz w:val="18"/>
              </w:rPr>
            </w:pPr>
            <w:r>
              <w:rPr>
                <w:sz w:val="18"/>
              </w:rPr>
              <w:t>1.15 x 10</w:t>
            </w:r>
            <w:r w:rsidRPr="00432913">
              <w:rPr>
                <w:sz w:val="18"/>
                <w:vertAlign w:val="superscript"/>
              </w:rPr>
              <w:t>-</w:t>
            </w:r>
            <w:r>
              <w:rPr>
                <w:sz w:val="18"/>
                <w:vertAlign w:val="superscript"/>
              </w:rPr>
              <w:t>2</w:t>
            </w:r>
          </w:p>
        </w:tc>
        <w:tc>
          <w:tcPr>
            <w:tcW w:w="0" w:type="auto"/>
            <w:vMerge w:val="restart"/>
            <w:vAlign w:val="top"/>
          </w:tcPr>
          <w:p w14:paraId="55EB98C6" w14:textId="77777777" w:rsidR="00A85671" w:rsidRDefault="00A85671" w:rsidP="009E08AB">
            <w:pPr>
              <w:jc w:val="both"/>
              <w:cnfStyle w:val="000000000000" w:firstRow="0" w:lastRow="0" w:firstColumn="0" w:lastColumn="0" w:oddVBand="0" w:evenVBand="0" w:oddHBand="0" w:evenHBand="0" w:firstRowFirstColumn="0" w:firstRowLastColumn="0" w:lastRowFirstColumn="0" w:lastRowLastColumn="0"/>
              <w:rPr>
                <w:i/>
                <w:sz w:val="18"/>
              </w:rPr>
            </w:pPr>
            <w:r>
              <w:rPr>
                <w:i/>
                <w:sz w:val="18"/>
              </w:rPr>
              <w:t>Proxy of marginal ryegrass mixture silage production inventory, including transportation. “GLO” market was selected because only including “CH” production processes; same distribution was considered as in original data.</w:t>
            </w:r>
          </w:p>
        </w:tc>
      </w:tr>
      <w:tr w:rsidR="00A85671" w14:paraId="21035289" w14:textId="77777777" w:rsidTr="009E08AB">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top"/>
          </w:tcPr>
          <w:p w14:paraId="19C5FB20" w14:textId="77777777" w:rsidR="00A85671" w:rsidRPr="009E08AB" w:rsidRDefault="00A85671" w:rsidP="009E08AB">
            <w:pPr>
              <w:jc w:val="left"/>
              <w:rPr>
                <w:b w:val="0"/>
                <w:sz w:val="18"/>
              </w:rPr>
            </w:pPr>
            <w:r w:rsidRPr="009E08AB">
              <w:rPr>
                <w:b w:val="0"/>
                <w:sz w:val="18"/>
              </w:rPr>
              <w:t xml:space="preserve">Market for </w:t>
            </w:r>
            <w:proofErr w:type="spellStart"/>
            <w:r w:rsidRPr="009E08AB">
              <w:rPr>
                <w:b w:val="0"/>
                <w:sz w:val="18"/>
              </w:rPr>
              <w:t>ryegrass-red&amp;Egyptian</w:t>
            </w:r>
            <w:proofErr w:type="spellEnd"/>
            <w:r w:rsidRPr="009E08AB">
              <w:rPr>
                <w:b w:val="0"/>
                <w:sz w:val="18"/>
              </w:rPr>
              <w:t xml:space="preserve"> clover-mixture silage, GLO</w:t>
            </w:r>
          </w:p>
        </w:tc>
        <w:tc>
          <w:tcPr>
            <w:tcW w:w="0" w:type="auto"/>
            <w:vAlign w:val="top"/>
          </w:tcPr>
          <w:p w14:paraId="5B3FB42B" w14:textId="77777777" w:rsidR="00A85671" w:rsidRPr="00432913" w:rsidRDefault="00A85671" w:rsidP="009E08AB">
            <w:pPr>
              <w:jc w:val="left"/>
              <w:cnfStyle w:val="000000100000" w:firstRow="0" w:lastRow="0" w:firstColumn="0" w:lastColumn="0" w:oddVBand="0" w:evenVBand="0" w:oddHBand="1" w:evenHBand="0" w:firstRowFirstColumn="0" w:firstRowLastColumn="0" w:lastRowFirstColumn="0" w:lastRowLastColumn="0"/>
              <w:rPr>
                <w:sz w:val="18"/>
              </w:rPr>
            </w:pPr>
            <w:r>
              <w:rPr>
                <w:sz w:val="18"/>
              </w:rPr>
              <w:t>5.29</w:t>
            </w:r>
          </w:p>
        </w:tc>
        <w:tc>
          <w:tcPr>
            <w:tcW w:w="0" w:type="auto"/>
            <w:vAlign w:val="top"/>
          </w:tcPr>
          <w:p w14:paraId="35EFC2A5" w14:textId="77777777" w:rsidR="00A85671" w:rsidRPr="00432913" w:rsidRDefault="00A85671" w:rsidP="009E08AB">
            <w:pPr>
              <w:jc w:val="left"/>
              <w:cnfStyle w:val="000000100000" w:firstRow="0" w:lastRow="0" w:firstColumn="0" w:lastColumn="0" w:oddVBand="0" w:evenVBand="0" w:oddHBand="1" w:evenHBand="0" w:firstRowFirstColumn="0" w:firstRowLastColumn="0" w:lastRowFirstColumn="0" w:lastRowLastColumn="0"/>
              <w:rPr>
                <w:sz w:val="18"/>
              </w:rPr>
            </w:pPr>
            <w:r>
              <w:rPr>
                <w:sz w:val="18"/>
              </w:rPr>
              <w:t>1.27 x 10</w:t>
            </w:r>
            <w:r w:rsidRPr="00432913">
              <w:rPr>
                <w:sz w:val="18"/>
                <w:vertAlign w:val="superscript"/>
              </w:rPr>
              <w:t>-</w:t>
            </w:r>
            <w:r>
              <w:rPr>
                <w:sz w:val="18"/>
                <w:vertAlign w:val="superscript"/>
              </w:rPr>
              <w:t>2</w:t>
            </w:r>
          </w:p>
        </w:tc>
        <w:tc>
          <w:tcPr>
            <w:tcW w:w="0" w:type="auto"/>
            <w:vMerge/>
            <w:vAlign w:val="top"/>
          </w:tcPr>
          <w:p w14:paraId="4A0AF26E" w14:textId="77777777" w:rsidR="00A85671" w:rsidRDefault="00A85671" w:rsidP="009E08AB">
            <w:pPr>
              <w:jc w:val="left"/>
              <w:cnfStyle w:val="000000100000" w:firstRow="0" w:lastRow="0" w:firstColumn="0" w:lastColumn="0" w:oddVBand="0" w:evenVBand="0" w:oddHBand="1" w:evenHBand="0" w:firstRowFirstColumn="0" w:firstRowLastColumn="0" w:lastRowFirstColumn="0" w:lastRowLastColumn="0"/>
              <w:rPr>
                <w:i/>
                <w:sz w:val="18"/>
              </w:rPr>
            </w:pPr>
          </w:p>
        </w:tc>
      </w:tr>
    </w:tbl>
    <w:p w14:paraId="17820CD1" w14:textId="7119F077" w:rsidR="00A85671" w:rsidRPr="005E16AE" w:rsidRDefault="00A85671" w:rsidP="009E08AB">
      <w:pPr>
        <w:jc w:val="both"/>
        <w:rPr>
          <w:sz w:val="18"/>
        </w:rPr>
      </w:pPr>
      <w:r>
        <w:rPr>
          <w:sz w:val="18"/>
        </w:rPr>
        <w:t xml:space="preserve">All </w:t>
      </w:r>
      <w:r w:rsidR="00492142">
        <w:rPr>
          <w:sz w:val="18"/>
        </w:rPr>
        <w:t>activities</w:t>
      </w:r>
      <w:r>
        <w:rPr>
          <w:sz w:val="18"/>
        </w:rPr>
        <w:t xml:space="preserve"> are from the </w:t>
      </w:r>
      <w:proofErr w:type="spellStart"/>
      <w:r>
        <w:rPr>
          <w:sz w:val="18"/>
        </w:rPr>
        <w:t>ecoinvent</w:t>
      </w:r>
      <w:proofErr w:type="spellEnd"/>
      <w:r>
        <w:rPr>
          <w:sz w:val="18"/>
        </w:rPr>
        <w:t xml:space="preserve"> 3.8 consequential database. LUC</w:t>
      </w:r>
      <w:r w:rsidR="009E08AB">
        <w:rPr>
          <w:sz w:val="18"/>
        </w:rPr>
        <w:t>-</w:t>
      </w:r>
      <w:r>
        <w:rPr>
          <w:sz w:val="18"/>
        </w:rPr>
        <w:t xml:space="preserve">related impacts were removed from all food-related background </w:t>
      </w:r>
      <w:r w:rsidR="009E08AB">
        <w:rPr>
          <w:sz w:val="18"/>
        </w:rPr>
        <w:t>activities</w:t>
      </w:r>
      <w:r>
        <w:rPr>
          <w:sz w:val="18"/>
        </w:rPr>
        <w:t>. Fertilizer</w:t>
      </w:r>
      <w:r w:rsidR="009E08AB">
        <w:rPr>
          <w:sz w:val="18"/>
        </w:rPr>
        <w:t>-</w:t>
      </w:r>
      <w:r>
        <w:rPr>
          <w:sz w:val="18"/>
        </w:rPr>
        <w:t xml:space="preserve">related impacts were removed from all background </w:t>
      </w:r>
      <w:r w:rsidR="009E08AB">
        <w:rPr>
          <w:sz w:val="18"/>
        </w:rPr>
        <w:t>activities</w:t>
      </w:r>
      <w:r>
        <w:rPr>
          <w:sz w:val="18"/>
        </w:rPr>
        <w:t xml:space="preserve"> related to roughage feed</w:t>
      </w:r>
      <w:r w:rsidR="009E08AB">
        <w:rPr>
          <w:sz w:val="18"/>
        </w:rPr>
        <w:t>,</w:t>
      </w:r>
      <w:r>
        <w:rPr>
          <w:sz w:val="18"/>
        </w:rPr>
        <w:t xml:space="preserve"> to account for marginal N-fertilizing services as estimated in this study. </w:t>
      </w:r>
      <w:r w:rsidRPr="00A7080C">
        <w:rPr>
          <w:sz w:val="18"/>
        </w:rPr>
        <w:t xml:space="preserve">*: </w:t>
      </w:r>
      <w:r w:rsidR="00F24A17">
        <w:rPr>
          <w:sz w:val="18"/>
        </w:rPr>
        <w:t>Y</w:t>
      </w:r>
      <w:r w:rsidRPr="00A7080C">
        <w:rPr>
          <w:sz w:val="18"/>
        </w:rPr>
        <w:t>ields</w:t>
      </w:r>
      <w:r>
        <w:rPr>
          <w:sz w:val="18"/>
        </w:rPr>
        <w:t xml:space="preserve"> and fertilizing requirements</w:t>
      </w:r>
      <w:r w:rsidRPr="00A7080C">
        <w:rPr>
          <w:sz w:val="18"/>
        </w:rPr>
        <w:t xml:space="preserve"> already </w:t>
      </w:r>
      <w:r>
        <w:rPr>
          <w:sz w:val="18"/>
        </w:rPr>
        <w:t xml:space="preserve">weighted to correspond to marginally-supplying </w:t>
      </w:r>
      <w:r w:rsidR="009E08AB">
        <w:rPr>
          <w:sz w:val="18"/>
        </w:rPr>
        <w:t>regions</w:t>
      </w:r>
      <w:r>
        <w:rPr>
          <w:sz w:val="18"/>
        </w:rPr>
        <w:t xml:space="preserve"> (based on </w:t>
      </w:r>
      <w:proofErr w:type="spellStart"/>
      <w:r>
        <w:rPr>
          <w:sz w:val="18"/>
        </w:rPr>
        <w:t>ecoinvent</w:t>
      </w:r>
      <w:proofErr w:type="spellEnd"/>
      <w:r>
        <w:rPr>
          <w:sz w:val="18"/>
        </w:rPr>
        <w:t xml:space="preserve"> distribution within selected “</w:t>
      </w:r>
      <w:r w:rsidR="009E08AB">
        <w:rPr>
          <w:sz w:val="18"/>
        </w:rPr>
        <w:t>m</w:t>
      </w:r>
      <w:r>
        <w:rPr>
          <w:sz w:val="18"/>
        </w:rPr>
        <w:t xml:space="preserve">arket for” </w:t>
      </w:r>
      <w:r w:rsidR="009E08AB">
        <w:rPr>
          <w:sz w:val="18"/>
        </w:rPr>
        <w:t>activities</w:t>
      </w:r>
      <w:r>
        <w:rPr>
          <w:sz w:val="18"/>
        </w:rPr>
        <w:t>)</w:t>
      </w:r>
      <w:r w:rsidRPr="00A7080C">
        <w:rPr>
          <w:sz w:val="18"/>
        </w:rPr>
        <w:t>.</w:t>
      </w:r>
      <w:r>
        <w:rPr>
          <w:sz w:val="18"/>
        </w:rPr>
        <w:t xml:space="preserve"> Average moisture content was assumed at 65%</w:t>
      </w:r>
      <w:r w:rsidRPr="00B22C40">
        <w:rPr>
          <w:sz w:val="18"/>
          <w:vertAlign w:val="subscript"/>
        </w:rPr>
        <w:t>ww</w:t>
      </w:r>
      <w:r>
        <w:rPr>
          <w:sz w:val="18"/>
        </w:rPr>
        <w:t xml:space="preserve"> based on corresponding </w:t>
      </w:r>
      <w:proofErr w:type="spellStart"/>
      <w:r>
        <w:rPr>
          <w:sz w:val="18"/>
        </w:rPr>
        <w:t>ecoinvent</w:t>
      </w:r>
      <w:proofErr w:type="spellEnd"/>
      <w:r>
        <w:rPr>
          <w:sz w:val="18"/>
        </w:rPr>
        <w:t xml:space="preserve"> datasheets.</w:t>
      </w:r>
    </w:p>
    <w:p w14:paraId="082DB5B6" w14:textId="339830B9" w:rsidR="00A85671" w:rsidRPr="009E08AB" w:rsidRDefault="009E08AB" w:rsidP="009E08AB">
      <w:pPr>
        <w:pStyle w:val="Lgende"/>
        <w:jc w:val="left"/>
        <w:rPr>
          <w:sz w:val="22"/>
          <w:szCs w:val="22"/>
        </w:rPr>
      </w:pPr>
      <w:bookmarkStart w:id="24" w:name="_Ref155442206"/>
      <w:bookmarkStart w:id="25" w:name="_Toc155516847"/>
      <w:r w:rsidRPr="009E08AB">
        <w:rPr>
          <w:szCs w:val="22"/>
        </w:rPr>
        <w:t>Table SI</w:t>
      </w:r>
      <w:r w:rsidRPr="009E08AB">
        <w:rPr>
          <w:szCs w:val="22"/>
        </w:rPr>
        <w:fldChar w:fldCharType="begin"/>
      </w:r>
      <w:r w:rsidRPr="009E08AB">
        <w:rPr>
          <w:szCs w:val="22"/>
        </w:rPr>
        <w:instrText xml:space="preserve"> SEQ Table \* ARABIC </w:instrText>
      </w:r>
      <w:r w:rsidRPr="009E08AB">
        <w:rPr>
          <w:szCs w:val="22"/>
        </w:rPr>
        <w:fldChar w:fldCharType="separate"/>
      </w:r>
      <w:r w:rsidR="00C65861">
        <w:rPr>
          <w:noProof/>
          <w:szCs w:val="22"/>
        </w:rPr>
        <w:t>11</w:t>
      </w:r>
      <w:r w:rsidRPr="009E08AB">
        <w:rPr>
          <w:szCs w:val="22"/>
        </w:rPr>
        <w:fldChar w:fldCharType="end"/>
      </w:r>
      <w:bookmarkEnd w:id="24"/>
      <w:r w:rsidRPr="009E08AB">
        <w:rPr>
          <w:szCs w:val="22"/>
        </w:rPr>
        <w:t xml:space="preserve"> </w:t>
      </w:r>
      <w:r w:rsidR="00A85671" w:rsidRPr="009E08AB">
        <w:rPr>
          <w:szCs w:val="22"/>
        </w:rPr>
        <w:t xml:space="preserve">– </w:t>
      </w:r>
      <w:r w:rsidR="00F24A17">
        <w:rPr>
          <w:szCs w:val="22"/>
        </w:rPr>
        <w:t>LCA scores</w:t>
      </w:r>
      <w:r w:rsidR="00A85671" w:rsidRPr="009E08AB">
        <w:rPr>
          <w:szCs w:val="22"/>
        </w:rPr>
        <w:t xml:space="preserve"> of marginal feed services in </w:t>
      </w:r>
      <w:r w:rsidR="00F24A17">
        <w:rPr>
          <w:szCs w:val="22"/>
        </w:rPr>
        <w:t>three future</w:t>
      </w:r>
      <w:r w:rsidR="00A85671" w:rsidRPr="009E08AB">
        <w:rPr>
          <w:szCs w:val="22"/>
        </w:rPr>
        <w:t xml:space="preserve"> food systems scenarios</w:t>
      </w:r>
      <w:bookmarkEnd w:id="25"/>
    </w:p>
    <w:tbl>
      <w:tblPr>
        <w:tblStyle w:val="Tableausimple2"/>
        <w:tblW w:w="0" w:type="auto"/>
        <w:jc w:val="center"/>
        <w:tblLook w:val="04A0" w:firstRow="1" w:lastRow="0" w:firstColumn="1" w:lastColumn="0" w:noHBand="0" w:noVBand="1"/>
      </w:tblPr>
      <w:tblGrid>
        <w:gridCol w:w="2399"/>
        <w:gridCol w:w="1977"/>
        <w:gridCol w:w="2003"/>
        <w:gridCol w:w="2693"/>
      </w:tblGrid>
      <w:tr w:rsidR="009A5A88" w:rsidRPr="00F7197B" w14:paraId="15E65BDF" w14:textId="77777777" w:rsidTr="009E08AB">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23221D81" w14:textId="77777777" w:rsidR="009A5A88" w:rsidRDefault="009A5A88" w:rsidP="009E08AB">
            <w:pPr>
              <w:pStyle w:val="Contenudetableau"/>
              <w:rPr>
                <w:b w:val="0"/>
                <w:bCs w:val="0"/>
                <w:sz w:val="18"/>
              </w:rPr>
            </w:pPr>
            <w:r>
              <w:rPr>
                <w:sz w:val="18"/>
              </w:rPr>
              <w:t xml:space="preserve">Environmental </w:t>
            </w:r>
            <w:r w:rsidRPr="00793512">
              <w:rPr>
                <w:sz w:val="18"/>
              </w:rPr>
              <w:t>impacts</w:t>
            </w:r>
          </w:p>
          <w:p w14:paraId="755898EA" w14:textId="6ED2965B" w:rsidR="009A5A88" w:rsidRPr="0098795B" w:rsidRDefault="009A5A88" w:rsidP="009E08AB">
            <w:pPr>
              <w:pStyle w:val="Contenudetableau"/>
              <w:rPr>
                <w:rFonts w:ascii="Calibri" w:hAnsi="Calibri"/>
                <w:bCs w:val="0"/>
                <w:color w:val="000000"/>
                <w:sz w:val="18"/>
                <w:szCs w:val="18"/>
              </w:rPr>
            </w:pPr>
            <w:r>
              <w:rPr>
                <w:sz w:val="18"/>
              </w:rPr>
              <w:t>(</w:t>
            </w:r>
            <w:r w:rsidRPr="00793512">
              <w:rPr>
                <w:sz w:val="18"/>
              </w:rPr>
              <w:t>EF 3.0</w:t>
            </w:r>
            <w:r>
              <w:rPr>
                <w:sz w:val="18"/>
              </w:rPr>
              <w:t>)</w:t>
            </w:r>
            <w:r w:rsidRPr="00793512">
              <w:rPr>
                <w:sz w:val="18"/>
              </w:rPr>
              <w:t>,</w:t>
            </w:r>
            <w:r>
              <w:rPr>
                <w:sz w:val="18"/>
              </w:rPr>
              <w:t xml:space="preserve"> </w:t>
            </w:r>
            <w:r w:rsidRPr="00793512">
              <w:rPr>
                <w:sz w:val="18"/>
              </w:rPr>
              <w:t xml:space="preserve">per </w:t>
            </w:r>
            <w:proofErr w:type="spellStart"/>
            <w:r>
              <w:rPr>
                <w:sz w:val="18"/>
              </w:rPr>
              <w:t>kg</w:t>
            </w:r>
            <w:r w:rsidRPr="009A5A88">
              <w:rPr>
                <w:sz w:val="18"/>
                <w:vertAlign w:val="subscript"/>
              </w:rPr>
              <w:t>DM</w:t>
            </w:r>
            <w:proofErr w:type="spellEnd"/>
            <w:r w:rsidRPr="00793512">
              <w:rPr>
                <w:sz w:val="18"/>
              </w:rPr>
              <w:t xml:space="preserve"> supplied</w:t>
            </w:r>
          </w:p>
        </w:tc>
        <w:tc>
          <w:tcPr>
            <w:tcW w:w="1977" w:type="dxa"/>
          </w:tcPr>
          <w:p w14:paraId="62EF4696" w14:textId="0AF5B710" w:rsidR="009A5A88" w:rsidRPr="0098795B" w:rsidRDefault="009A5A88" w:rsidP="009E08AB">
            <w:pPr>
              <w:pStyle w:val="Contenudetableau"/>
              <w:cnfStyle w:val="100000000000" w:firstRow="1" w:lastRow="0" w:firstColumn="0" w:lastColumn="0" w:oddVBand="0" w:evenVBand="0" w:oddHBand="0" w:evenHBand="0" w:firstRowFirstColumn="0" w:firstRowLastColumn="0" w:lastRowFirstColumn="0" w:lastRowLastColumn="0"/>
              <w:rPr>
                <w:rFonts w:ascii="Calibri" w:hAnsi="Calibri"/>
                <w:bCs w:val="0"/>
                <w:color w:val="000000"/>
                <w:sz w:val="18"/>
                <w:szCs w:val="18"/>
              </w:rPr>
            </w:pPr>
            <w:r w:rsidRPr="0098795B">
              <w:rPr>
                <w:color w:val="000000"/>
                <w:sz w:val="18"/>
                <w:szCs w:val="18"/>
              </w:rPr>
              <w:t xml:space="preserve">Toward </w:t>
            </w:r>
            <w:r>
              <w:rPr>
                <w:color w:val="000000"/>
                <w:sz w:val="18"/>
                <w:szCs w:val="18"/>
              </w:rPr>
              <w:t>sustainable food systems</w:t>
            </w:r>
          </w:p>
        </w:tc>
        <w:tc>
          <w:tcPr>
            <w:tcW w:w="2003" w:type="dxa"/>
          </w:tcPr>
          <w:p w14:paraId="1073D2D2" w14:textId="00536B4C" w:rsidR="009A5A88" w:rsidRPr="0098795B" w:rsidRDefault="009A5A88" w:rsidP="009E08AB">
            <w:pPr>
              <w:pStyle w:val="Contenudetableau"/>
              <w:cnfStyle w:val="100000000000" w:firstRow="1" w:lastRow="0" w:firstColumn="0" w:lastColumn="0" w:oddVBand="0" w:evenVBand="0" w:oddHBand="0" w:evenHBand="0" w:firstRowFirstColumn="0" w:firstRowLastColumn="0" w:lastRowFirstColumn="0" w:lastRowLastColumn="0"/>
              <w:rPr>
                <w:bCs w:val="0"/>
                <w:color w:val="000000"/>
                <w:sz w:val="18"/>
                <w:szCs w:val="18"/>
              </w:rPr>
            </w:pPr>
            <w:r>
              <w:rPr>
                <w:color w:val="000000"/>
                <w:sz w:val="18"/>
                <w:szCs w:val="18"/>
              </w:rPr>
              <w:t>Ongoing food systems tr</w:t>
            </w:r>
            <w:r w:rsidR="00F24A17">
              <w:rPr>
                <w:color w:val="000000"/>
                <w:sz w:val="18"/>
                <w:szCs w:val="18"/>
              </w:rPr>
              <w:t>ends</w:t>
            </w:r>
          </w:p>
        </w:tc>
        <w:tc>
          <w:tcPr>
            <w:tcW w:w="2693" w:type="dxa"/>
          </w:tcPr>
          <w:p w14:paraId="221EE28F" w14:textId="16B5F038" w:rsidR="009A5A88" w:rsidRPr="007F4C02" w:rsidRDefault="009A5A88" w:rsidP="009E08AB">
            <w:pPr>
              <w:pStyle w:val="Contenudetableau"/>
              <w:cnfStyle w:val="100000000000" w:firstRow="1" w:lastRow="0" w:firstColumn="0" w:lastColumn="0" w:oddVBand="0" w:evenVBand="0" w:oddHBand="0" w:evenHBand="0" w:firstRowFirstColumn="0" w:firstRowLastColumn="0" w:lastRowFirstColumn="0" w:lastRowLastColumn="0"/>
              <w:rPr>
                <w:bCs w:val="0"/>
                <w:color w:val="000000"/>
                <w:sz w:val="18"/>
                <w:szCs w:val="18"/>
                <w:lang w:val="fr-FR"/>
              </w:rPr>
            </w:pPr>
            <w:proofErr w:type="spellStart"/>
            <w:r>
              <w:rPr>
                <w:color w:val="000000"/>
                <w:sz w:val="18"/>
                <w:szCs w:val="18"/>
                <w:lang w:val="fr-FR"/>
              </w:rPr>
              <w:t>Towards</w:t>
            </w:r>
            <w:proofErr w:type="spellEnd"/>
            <w:r>
              <w:rPr>
                <w:color w:val="000000"/>
                <w:sz w:val="18"/>
                <w:szCs w:val="18"/>
                <w:lang w:val="fr-FR"/>
              </w:rPr>
              <w:t xml:space="preserve"> </w:t>
            </w:r>
            <w:proofErr w:type="spellStart"/>
            <w:r>
              <w:rPr>
                <w:color w:val="000000"/>
                <w:sz w:val="18"/>
                <w:szCs w:val="18"/>
                <w:lang w:val="fr-FR"/>
              </w:rPr>
              <w:t>uncontrolled</w:t>
            </w:r>
            <w:proofErr w:type="spellEnd"/>
            <w:r>
              <w:rPr>
                <w:color w:val="000000"/>
                <w:sz w:val="18"/>
                <w:szCs w:val="18"/>
                <w:lang w:val="fr-FR"/>
              </w:rPr>
              <w:t xml:space="preserve"> land expansion</w:t>
            </w:r>
          </w:p>
        </w:tc>
      </w:tr>
      <w:tr w:rsidR="009A5A88" w:rsidRPr="0098795B" w14:paraId="2C46B929" w14:textId="77777777" w:rsidTr="009E08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0" w:type="auto"/>
            <w:gridSpan w:val="4"/>
            <w:shd w:val="clear" w:color="auto" w:fill="E7E6E6" w:themeFill="background2"/>
          </w:tcPr>
          <w:p w14:paraId="306BA286" w14:textId="4C19F275" w:rsidR="009A5A88" w:rsidRPr="00092573" w:rsidRDefault="009A5A88" w:rsidP="009E08AB">
            <w:pPr>
              <w:pStyle w:val="Contenudetableau"/>
              <w:rPr>
                <w:b w:val="0"/>
                <w:bCs w:val="0"/>
                <w:sz w:val="18"/>
              </w:rPr>
            </w:pPr>
            <w:r>
              <w:rPr>
                <w:sz w:val="18"/>
              </w:rPr>
              <w:t>Protein feed services</w:t>
            </w:r>
          </w:p>
        </w:tc>
      </w:tr>
      <w:tr w:rsidR="009A5A88" w:rsidRPr="0098795B" w14:paraId="6BA7B050" w14:textId="77777777" w:rsidTr="009E08AB">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303A2280" w14:textId="77777777" w:rsidR="009A5A88" w:rsidRPr="0098795B" w:rsidRDefault="009A5A88" w:rsidP="009E08AB">
            <w:pPr>
              <w:pStyle w:val="Contenudetableau"/>
              <w:rPr>
                <w:sz w:val="18"/>
              </w:rPr>
            </w:pPr>
            <w:r w:rsidRPr="00C17A27">
              <w:rPr>
                <w:b w:val="0"/>
                <w:sz w:val="18"/>
              </w:rPr>
              <w:t>Climate change (kgCO</w:t>
            </w:r>
            <w:r w:rsidRPr="00C17A27">
              <w:rPr>
                <w:b w:val="0"/>
                <w:sz w:val="18"/>
                <w:vertAlign w:val="subscript"/>
              </w:rPr>
              <w:t>2</w:t>
            </w:r>
            <w:r w:rsidRPr="00C17A27">
              <w:rPr>
                <w:b w:val="0"/>
                <w:sz w:val="18"/>
              </w:rPr>
              <w:t>-eq)</w:t>
            </w:r>
          </w:p>
        </w:tc>
        <w:tc>
          <w:tcPr>
            <w:tcW w:w="1977" w:type="dxa"/>
          </w:tcPr>
          <w:p w14:paraId="414A62B7" w14:textId="53CD2CC6" w:rsidR="009A5A88" w:rsidRPr="0098795B"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2.03</w:t>
            </w:r>
          </w:p>
        </w:tc>
        <w:tc>
          <w:tcPr>
            <w:tcW w:w="2003" w:type="dxa"/>
          </w:tcPr>
          <w:p w14:paraId="5DB9D4A1" w14:textId="6C6E7665" w:rsidR="009A5A88" w:rsidRPr="0098795B"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4.53</w:t>
            </w:r>
          </w:p>
        </w:tc>
        <w:tc>
          <w:tcPr>
            <w:tcW w:w="2693" w:type="dxa"/>
          </w:tcPr>
          <w:p w14:paraId="3D1F0FA3" w14:textId="13D98E8F" w:rsidR="009A5A88" w:rsidRPr="0098795B" w:rsidRDefault="00FE3A70" w:rsidP="009E08AB">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6.41</w:t>
            </w:r>
          </w:p>
        </w:tc>
      </w:tr>
      <w:tr w:rsidR="009A5A88" w:rsidRPr="0098795B" w14:paraId="73DB8220" w14:textId="77777777" w:rsidTr="009E08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1B23CD93" w14:textId="77777777" w:rsidR="009A5A88" w:rsidRPr="00C17A27" w:rsidRDefault="009A5A88" w:rsidP="009E08AB">
            <w:pPr>
              <w:pStyle w:val="Contenudetableau"/>
              <w:rPr>
                <w:sz w:val="18"/>
              </w:rPr>
            </w:pPr>
            <w:r w:rsidRPr="00C17A27">
              <w:rPr>
                <w:b w:val="0"/>
                <w:sz w:val="18"/>
              </w:rPr>
              <w:t>Marine eutrophic</w:t>
            </w:r>
            <w:r>
              <w:rPr>
                <w:b w:val="0"/>
                <w:sz w:val="18"/>
              </w:rPr>
              <w:t>.</w:t>
            </w:r>
            <w:r w:rsidRPr="00C17A27">
              <w:rPr>
                <w:b w:val="0"/>
                <w:sz w:val="18"/>
              </w:rPr>
              <w:t xml:space="preserve"> (kgN-eq)</w:t>
            </w:r>
          </w:p>
        </w:tc>
        <w:tc>
          <w:tcPr>
            <w:tcW w:w="1977" w:type="dxa"/>
          </w:tcPr>
          <w:p w14:paraId="47923214" w14:textId="77EC9355" w:rsidR="009A5A88" w:rsidRPr="00C17A27"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1.2</w:t>
            </w:r>
            <w:r>
              <w:rPr>
                <w:sz w:val="18"/>
              </w:rPr>
              <w:t xml:space="preserve"> x 10</w:t>
            </w:r>
            <w:r w:rsidRPr="00432913">
              <w:rPr>
                <w:sz w:val="18"/>
                <w:vertAlign w:val="superscript"/>
              </w:rPr>
              <w:t>-</w:t>
            </w:r>
            <w:r>
              <w:rPr>
                <w:sz w:val="18"/>
                <w:vertAlign w:val="superscript"/>
              </w:rPr>
              <w:t>2</w:t>
            </w:r>
          </w:p>
        </w:tc>
        <w:tc>
          <w:tcPr>
            <w:tcW w:w="2003" w:type="dxa"/>
          </w:tcPr>
          <w:p w14:paraId="4E981383" w14:textId="4BA3FB5C" w:rsidR="009A5A88"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3.3 </w:t>
            </w:r>
            <w:r>
              <w:rPr>
                <w:sz w:val="18"/>
              </w:rPr>
              <w:t>x 10</w:t>
            </w:r>
            <w:r w:rsidRPr="00432913">
              <w:rPr>
                <w:sz w:val="18"/>
                <w:vertAlign w:val="superscript"/>
              </w:rPr>
              <w:t>-</w:t>
            </w:r>
            <w:r>
              <w:rPr>
                <w:sz w:val="18"/>
                <w:vertAlign w:val="superscript"/>
              </w:rPr>
              <w:t>2</w:t>
            </w:r>
          </w:p>
        </w:tc>
        <w:tc>
          <w:tcPr>
            <w:tcW w:w="2693" w:type="dxa"/>
          </w:tcPr>
          <w:p w14:paraId="3B317829" w14:textId="3811459A" w:rsidR="009A5A88" w:rsidRDefault="00FE3A70"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3.9 </w:t>
            </w:r>
            <w:r>
              <w:rPr>
                <w:sz w:val="18"/>
              </w:rPr>
              <w:t>x 10</w:t>
            </w:r>
            <w:r w:rsidRPr="00432913">
              <w:rPr>
                <w:sz w:val="18"/>
                <w:vertAlign w:val="superscript"/>
              </w:rPr>
              <w:t>-</w:t>
            </w:r>
            <w:r>
              <w:rPr>
                <w:sz w:val="18"/>
                <w:vertAlign w:val="superscript"/>
              </w:rPr>
              <w:t>2</w:t>
            </w:r>
          </w:p>
        </w:tc>
      </w:tr>
      <w:tr w:rsidR="009A5A88" w:rsidRPr="0098795B" w14:paraId="4F9301FC" w14:textId="77777777" w:rsidTr="009E08AB">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471BFF89" w14:textId="77777777" w:rsidR="009A5A88" w:rsidRPr="00C17A27" w:rsidRDefault="009A5A88" w:rsidP="009E08AB">
            <w:pPr>
              <w:pStyle w:val="Contenudetableau"/>
              <w:rPr>
                <w:sz w:val="18"/>
              </w:rPr>
            </w:pPr>
            <w:r w:rsidRPr="00C17A27">
              <w:rPr>
                <w:b w:val="0"/>
                <w:sz w:val="18"/>
              </w:rPr>
              <w:t>Land use (points)</w:t>
            </w:r>
          </w:p>
        </w:tc>
        <w:tc>
          <w:tcPr>
            <w:tcW w:w="1977" w:type="dxa"/>
          </w:tcPr>
          <w:p w14:paraId="1826F2A1" w14:textId="438AF80D" w:rsidR="009A5A88" w:rsidRPr="00C17A27"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188</w:t>
            </w:r>
          </w:p>
        </w:tc>
        <w:tc>
          <w:tcPr>
            <w:tcW w:w="2003" w:type="dxa"/>
          </w:tcPr>
          <w:p w14:paraId="2936C562" w14:textId="265D5722" w:rsidR="009A5A88" w:rsidRPr="00C17A27"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331</w:t>
            </w:r>
          </w:p>
        </w:tc>
        <w:tc>
          <w:tcPr>
            <w:tcW w:w="2693" w:type="dxa"/>
          </w:tcPr>
          <w:p w14:paraId="353F119A" w14:textId="1CD18729" w:rsidR="009A5A88" w:rsidRDefault="00FE3A70"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334</w:t>
            </w:r>
          </w:p>
        </w:tc>
      </w:tr>
      <w:tr w:rsidR="009A5A88" w:rsidRPr="0098795B" w14:paraId="319CDB0E" w14:textId="77777777" w:rsidTr="009E08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55BFED7F" w14:textId="77777777" w:rsidR="009A5A88" w:rsidRPr="00C17A27" w:rsidRDefault="009A5A88" w:rsidP="009E08AB">
            <w:pPr>
              <w:pStyle w:val="Contenudetableau"/>
              <w:rPr>
                <w:sz w:val="18"/>
              </w:rPr>
            </w:pPr>
            <w:r w:rsidRPr="00C17A27">
              <w:rPr>
                <w:b w:val="0"/>
                <w:color w:val="000000"/>
                <w:sz w:val="18"/>
                <w:szCs w:val="18"/>
              </w:rPr>
              <w:t>Water use (m</w:t>
            </w:r>
            <w:r w:rsidRPr="00C17A27">
              <w:rPr>
                <w:b w:val="0"/>
                <w:color w:val="000000"/>
                <w:sz w:val="18"/>
                <w:szCs w:val="18"/>
                <w:vertAlign w:val="superscript"/>
              </w:rPr>
              <w:t>3</w:t>
            </w:r>
            <w:r w:rsidRPr="00C17A27">
              <w:rPr>
                <w:b w:val="0"/>
                <w:color w:val="000000"/>
                <w:sz w:val="18"/>
                <w:szCs w:val="18"/>
              </w:rPr>
              <w:t>-eq)</w:t>
            </w:r>
          </w:p>
        </w:tc>
        <w:tc>
          <w:tcPr>
            <w:tcW w:w="1977" w:type="dxa"/>
          </w:tcPr>
          <w:p w14:paraId="3F070FE2" w14:textId="6F4AF18A" w:rsidR="009A5A88"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-0.08</w:t>
            </w:r>
          </w:p>
        </w:tc>
        <w:tc>
          <w:tcPr>
            <w:tcW w:w="2003" w:type="dxa"/>
          </w:tcPr>
          <w:p w14:paraId="0CF9166A" w14:textId="18C8CE72" w:rsidR="009A5A88"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3.9</w:t>
            </w:r>
          </w:p>
        </w:tc>
        <w:tc>
          <w:tcPr>
            <w:tcW w:w="2693" w:type="dxa"/>
          </w:tcPr>
          <w:p w14:paraId="4ADD94A8" w14:textId="748FE693" w:rsidR="009A5A88" w:rsidRDefault="00FE3A70"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4.2</w:t>
            </w:r>
          </w:p>
        </w:tc>
      </w:tr>
      <w:tr w:rsidR="009A5A88" w:rsidRPr="0098795B" w14:paraId="4E80D159" w14:textId="77777777" w:rsidTr="009E08AB">
        <w:trPr>
          <w:jc w:val="center"/>
        </w:trPr>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E7E6E6" w:themeFill="background2"/>
          </w:tcPr>
          <w:p w14:paraId="698C82BF" w14:textId="2E1EBE05" w:rsidR="009A5A88" w:rsidRDefault="009A5A88" w:rsidP="009E08AB">
            <w:pPr>
              <w:pStyle w:val="Contenudetableau"/>
              <w:rPr>
                <w:rFonts w:ascii="Calibri" w:hAnsi="Calibri"/>
                <w:color w:val="000000"/>
                <w:sz w:val="18"/>
                <w:szCs w:val="18"/>
              </w:rPr>
            </w:pPr>
            <w:r>
              <w:rPr>
                <w:sz w:val="18"/>
              </w:rPr>
              <w:t>Energy feed services</w:t>
            </w:r>
          </w:p>
        </w:tc>
      </w:tr>
      <w:tr w:rsidR="009A5A88" w:rsidRPr="0098795B" w14:paraId="4A21A115" w14:textId="77777777" w:rsidTr="009E08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3EEC15C1" w14:textId="77777777" w:rsidR="009A5A88" w:rsidRPr="00C17A27" w:rsidRDefault="009A5A88" w:rsidP="009E08AB">
            <w:pPr>
              <w:pStyle w:val="Contenudetableau"/>
              <w:rPr>
                <w:color w:val="000000"/>
                <w:sz w:val="18"/>
                <w:szCs w:val="18"/>
              </w:rPr>
            </w:pPr>
            <w:r w:rsidRPr="00C17A27">
              <w:rPr>
                <w:b w:val="0"/>
                <w:sz w:val="18"/>
              </w:rPr>
              <w:t>Climate change (kgCO</w:t>
            </w:r>
            <w:r w:rsidRPr="00C17A27">
              <w:rPr>
                <w:b w:val="0"/>
                <w:sz w:val="18"/>
                <w:vertAlign w:val="subscript"/>
              </w:rPr>
              <w:t>2</w:t>
            </w:r>
            <w:r w:rsidRPr="00C17A27">
              <w:rPr>
                <w:b w:val="0"/>
                <w:sz w:val="18"/>
              </w:rPr>
              <w:t>-eq)</w:t>
            </w:r>
          </w:p>
        </w:tc>
        <w:tc>
          <w:tcPr>
            <w:tcW w:w="1977" w:type="dxa"/>
          </w:tcPr>
          <w:p w14:paraId="020B5F77" w14:textId="40A82BBA" w:rsidR="009A5A88"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1.16</w:t>
            </w:r>
          </w:p>
        </w:tc>
        <w:tc>
          <w:tcPr>
            <w:tcW w:w="2003" w:type="dxa"/>
          </w:tcPr>
          <w:p w14:paraId="0959FD40" w14:textId="7CD9D301" w:rsidR="009A5A88"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color w:val="000000"/>
                <w:sz w:val="18"/>
              </w:rPr>
              <w:t>1.91</w:t>
            </w:r>
          </w:p>
        </w:tc>
        <w:tc>
          <w:tcPr>
            <w:tcW w:w="2693" w:type="dxa"/>
          </w:tcPr>
          <w:p w14:paraId="5C552963" w14:textId="69B40CF3" w:rsidR="009A5A88" w:rsidRDefault="00FE3A70"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2.52</w:t>
            </w:r>
          </w:p>
        </w:tc>
      </w:tr>
      <w:tr w:rsidR="009A5A88" w:rsidRPr="0098795B" w14:paraId="2FB7C352" w14:textId="77777777" w:rsidTr="009E08AB">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072D834A" w14:textId="77777777" w:rsidR="009A5A88" w:rsidRPr="00C17A27" w:rsidRDefault="009A5A88" w:rsidP="009E08AB">
            <w:pPr>
              <w:pStyle w:val="Contenudetableau"/>
              <w:rPr>
                <w:color w:val="000000"/>
                <w:sz w:val="18"/>
                <w:szCs w:val="18"/>
              </w:rPr>
            </w:pPr>
            <w:r w:rsidRPr="00C17A27">
              <w:rPr>
                <w:b w:val="0"/>
                <w:sz w:val="18"/>
              </w:rPr>
              <w:t>Marine eutrophic</w:t>
            </w:r>
            <w:r>
              <w:rPr>
                <w:b w:val="0"/>
                <w:sz w:val="18"/>
              </w:rPr>
              <w:t>.</w:t>
            </w:r>
            <w:r w:rsidRPr="00C17A27">
              <w:rPr>
                <w:b w:val="0"/>
                <w:sz w:val="18"/>
              </w:rPr>
              <w:t xml:space="preserve"> (</w:t>
            </w:r>
            <w:proofErr w:type="spellStart"/>
            <w:r w:rsidRPr="00C17A27">
              <w:rPr>
                <w:b w:val="0"/>
                <w:sz w:val="18"/>
              </w:rPr>
              <w:t>kgN</w:t>
            </w:r>
            <w:proofErr w:type="spellEnd"/>
            <w:r w:rsidRPr="00C17A27">
              <w:rPr>
                <w:b w:val="0"/>
                <w:sz w:val="18"/>
              </w:rPr>
              <w:t>-eq)</w:t>
            </w:r>
          </w:p>
        </w:tc>
        <w:tc>
          <w:tcPr>
            <w:tcW w:w="1977" w:type="dxa"/>
          </w:tcPr>
          <w:p w14:paraId="78126D7E" w14:textId="292D7D0B" w:rsidR="009A5A88"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sz w:val="18"/>
              </w:rPr>
              <w:t>5.2 x 10</w:t>
            </w:r>
            <w:r w:rsidRPr="00432913">
              <w:rPr>
                <w:sz w:val="18"/>
                <w:vertAlign w:val="superscript"/>
              </w:rPr>
              <w:t>-</w:t>
            </w:r>
            <w:r>
              <w:rPr>
                <w:sz w:val="18"/>
                <w:vertAlign w:val="superscript"/>
              </w:rPr>
              <w:t>3</w:t>
            </w:r>
          </w:p>
        </w:tc>
        <w:tc>
          <w:tcPr>
            <w:tcW w:w="2003" w:type="dxa"/>
          </w:tcPr>
          <w:p w14:paraId="75FF8324" w14:textId="0AE9C413" w:rsidR="009A5A88"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9.8 </w:t>
            </w:r>
            <w:r>
              <w:rPr>
                <w:sz w:val="18"/>
              </w:rPr>
              <w:t>x 10</w:t>
            </w:r>
            <w:r w:rsidRPr="00432913">
              <w:rPr>
                <w:sz w:val="18"/>
                <w:vertAlign w:val="superscript"/>
              </w:rPr>
              <w:t>-</w:t>
            </w:r>
            <w:r w:rsidR="00FE3A70">
              <w:rPr>
                <w:sz w:val="18"/>
                <w:vertAlign w:val="superscript"/>
              </w:rPr>
              <w:t>3</w:t>
            </w:r>
          </w:p>
        </w:tc>
        <w:tc>
          <w:tcPr>
            <w:tcW w:w="2693" w:type="dxa"/>
          </w:tcPr>
          <w:p w14:paraId="6656EC65" w14:textId="340195A9" w:rsidR="009A5A88" w:rsidRDefault="00FE3A70"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1.2 </w:t>
            </w:r>
            <w:r>
              <w:rPr>
                <w:sz w:val="18"/>
              </w:rPr>
              <w:t>x 10</w:t>
            </w:r>
            <w:r w:rsidRPr="00432913">
              <w:rPr>
                <w:sz w:val="18"/>
                <w:vertAlign w:val="superscript"/>
              </w:rPr>
              <w:t>-</w:t>
            </w:r>
            <w:r>
              <w:rPr>
                <w:sz w:val="18"/>
                <w:vertAlign w:val="superscript"/>
              </w:rPr>
              <w:t>2</w:t>
            </w:r>
          </w:p>
        </w:tc>
      </w:tr>
      <w:tr w:rsidR="009A5A88" w:rsidRPr="0098795B" w14:paraId="23EB4D71" w14:textId="77777777" w:rsidTr="009E08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37CCF875" w14:textId="77777777" w:rsidR="009A5A88" w:rsidRPr="00C17A27" w:rsidRDefault="009A5A88" w:rsidP="009E08AB">
            <w:pPr>
              <w:pStyle w:val="Contenudetableau"/>
              <w:rPr>
                <w:color w:val="000000"/>
                <w:sz w:val="18"/>
                <w:szCs w:val="18"/>
              </w:rPr>
            </w:pPr>
            <w:r w:rsidRPr="00C17A27">
              <w:rPr>
                <w:b w:val="0"/>
                <w:sz w:val="18"/>
              </w:rPr>
              <w:t>Land use (points)</w:t>
            </w:r>
          </w:p>
        </w:tc>
        <w:tc>
          <w:tcPr>
            <w:tcW w:w="1977" w:type="dxa"/>
          </w:tcPr>
          <w:p w14:paraId="4D6467E9" w14:textId="491F2F95" w:rsidR="009A5A88"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27</w:t>
            </w:r>
          </w:p>
        </w:tc>
        <w:tc>
          <w:tcPr>
            <w:tcW w:w="2003" w:type="dxa"/>
          </w:tcPr>
          <w:p w14:paraId="1FF33375" w14:textId="005FBCF2" w:rsidR="009A5A88"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66</w:t>
            </w:r>
          </w:p>
        </w:tc>
        <w:tc>
          <w:tcPr>
            <w:tcW w:w="2693" w:type="dxa"/>
          </w:tcPr>
          <w:p w14:paraId="5009D2DD" w14:textId="47D27DF1" w:rsidR="009A5A88" w:rsidRDefault="00FE3A70"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67</w:t>
            </w:r>
          </w:p>
        </w:tc>
      </w:tr>
      <w:tr w:rsidR="009A5A88" w:rsidRPr="0098795B" w14:paraId="28C92381" w14:textId="77777777" w:rsidTr="009E08AB">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1506A3C6" w14:textId="77777777" w:rsidR="009A5A88" w:rsidRPr="00C17A27" w:rsidRDefault="009A5A88" w:rsidP="009E08AB">
            <w:pPr>
              <w:pStyle w:val="Contenudetableau"/>
              <w:rPr>
                <w:color w:val="000000"/>
                <w:sz w:val="18"/>
                <w:szCs w:val="18"/>
              </w:rPr>
            </w:pPr>
            <w:r w:rsidRPr="00C17A27">
              <w:rPr>
                <w:b w:val="0"/>
                <w:color w:val="000000"/>
                <w:sz w:val="18"/>
                <w:szCs w:val="18"/>
              </w:rPr>
              <w:t>Water use (m</w:t>
            </w:r>
            <w:r w:rsidRPr="00C17A27">
              <w:rPr>
                <w:b w:val="0"/>
                <w:color w:val="000000"/>
                <w:sz w:val="18"/>
                <w:szCs w:val="18"/>
                <w:vertAlign w:val="superscript"/>
              </w:rPr>
              <w:t>3</w:t>
            </w:r>
            <w:r w:rsidRPr="00C17A27">
              <w:rPr>
                <w:b w:val="0"/>
                <w:color w:val="000000"/>
                <w:sz w:val="18"/>
                <w:szCs w:val="18"/>
              </w:rPr>
              <w:t>-eq)</w:t>
            </w:r>
          </w:p>
        </w:tc>
        <w:tc>
          <w:tcPr>
            <w:tcW w:w="1977" w:type="dxa"/>
          </w:tcPr>
          <w:p w14:paraId="3AC58D7D" w14:textId="4E87958D" w:rsidR="009A5A88"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4.2</w:t>
            </w:r>
          </w:p>
        </w:tc>
        <w:tc>
          <w:tcPr>
            <w:tcW w:w="2003" w:type="dxa"/>
          </w:tcPr>
          <w:p w14:paraId="47D1D4D8" w14:textId="62E5DEFC" w:rsidR="009A5A88"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6.1</w:t>
            </w:r>
          </w:p>
        </w:tc>
        <w:tc>
          <w:tcPr>
            <w:tcW w:w="2693" w:type="dxa"/>
          </w:tcPr>
          <w:p w14:paraId="57DF338A" w14:textId="32B06E6F" w:rsidR="009A5A88" w:rsidRDefault="00FE3A70"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6.2</w:t>
            </w:r>
          </w:p>
        </w:tc>
      </w:tr>
      <w:tr w:rsidR="009A5A88" w:rsidRPr="0098795B" w14:paraId="5BE3796B" w14:textId="77777777" w:rsidTr="009E08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E7E6E6" w:themeFill="background2"/>
          </w:tcPr>
          <w:p w14:paraId="4763D4B2" w14:textId="0321D428" w:rsidR="009A5A88" w:rsidRDefault="009A5A88" w:rsidP="009E08AB">
            <w:pPr>
              <w:pStyle w:val="Contenudetableau"/>
              <w:rPr>
                <w:rFonts w:ascii="Calibri" w:hAnsi="Calibri"/>
                <w:color w:val="000000"/>
                <w:sz w:val="18"/>
                <w:szCs w:val="18"/>
              </w:rPr>
            </w:pPr>
            <w:r>
              <w:rPr>
                <w:sz w:val="18"/>
              </w:rPr>
              <w:t>Lipids feed services</w:t>
            </w:r>
          </w:p>
        </w:tc>
      </w:tr>
      <w:tr w:rsidR="009A5A88" w:rsidRPr="0098795B" w14:paraId="725453C2" w14:textId="77777777" w:rsidTr="009E08AB">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40B5E606" w14:textId="77777777" w:rsidR="009A5A88" w:rsidRPr="00C17A27" w:rsidRDefault="009A5A88" w:rsidP="009E08AB">
            <w:pPr>
              <w:pStyle w:val="Contenudetableau"/>
              <w:rPr>
                <w:color w:val="000000"/>
                <w:sz w:val="18"/>
                <w:szCs w:val="18"/>
              </w:rPr>
            </w:pPr>
            <w:r w:rsidRPr="00C17A27">
              <w:rPr>
                <w:b w:val="0"/>
                <w:sz w:val="18"/>
              </w:rPr>
              <w:t>Climate change (kgCO</w:t>
            </w:r>
            <w:r w:rsidRPr="00C17A27">
              <w:rPr>
                <w:b w:val="0"/>
                <w:sz w:val="18"/>
                <w:vertAlign w:val="subscript"/>
              </w:rPr>
              <w:t>2</w:t>
            </w:r>
            <w:r w:rsidRPr="00C17A27">
              <w:rPr>
                <w:b w:val="0"/>
                <w:sz w:val="18"/>
              </w:rPr>
              <w:t>-eq)</w:t>
            </w:r>
          </w:p>
        </w:tc>
        <w:tc>
          <w:tcPr>
            <w:tcW w:w="1977" w:type="dxa"/>
          </w:tcPr>
          <w:p w14:paraId="1D463A17" w14:textId="74FB70B5" w:rsidR="009A5A88"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2.82</w:t>
            </w:r>
          </w:p>
        </w:tc>
        <w:tc>
          <w:tcPr>
            <w:tcW w:w="2003" w:type="dxa"/>
          </w:tcPr>
          <w:p w14:paraId="2A2F49E4" w14:textId="3ADAA322" w:rsidR="009A5A88"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color w:val="000000"/>
                <w:sz w:val="18"/>
              </w:rPr>
              <w:t>5.73</w:t>
            </w:r>
          </w:p>
        </w:tc>
        <w:tc>
          <w:tcPr>
            <w:tcW w:w="2693" w:type="dxa"/>
          </w:tcPr>
          <w:p w14:paraId="733278E1" w14:textId="05CC51E3" w:rsidR="009A5A88" w:rsidRDefault="00FE3A70"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7.98</w:t>
            </w:r>
          </w:p>
        </w:tc>
      </w:tr>
      <w:tr w:rsidR="009A5A88" w:rsidRPr="0098795B" w14:paraId="23DA464A" w14:textId="77777777" w:rsidTr="009E08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281E3BC7" w14:textId="77777777" w:rsidR="009A5A88" w:rsidRPr="00C17A27" w:rsidRDefault="009A5A88" w:rsidP="009E08AB">
            <w:pPr>
              <w:pStyle w:val="Contenudetableau"/>
              <w:rPr>
                <w:color w:val="000000"/>
                <w:sz w:val="18"/>
                <w:szCs w:val="18"/>
              </w:rPr>
            </w:pPr>
            <w:r w:rsidRPr="00C17A27">
              <w:rPr>
                <w:b w:val="0"/>
                <w:sz w:val="18"/>
              </w:rPr>
              <w:t>Marine eutrophic</w:t>
            </w:r>
            <w:r>
              <w:rPr>
                <w:b w:val="0"/>
                <w:sz w:val="18"/>
              </w:rPr>
              <w:t>.</w:t>
            </w:r>
            <w:r w:rsidRPr="00C17A27">
              <w:rPr>
                <w:b w:val="0"/>
                <w:sz w:val="18"/>
              </w:rPr>
              <w:t xml:space="preserve"> (</w:t>
            </w:r>
            <w:proofErr w:type="spellStart"/>
            <w:r w:rsidRPr="00C17A27">
              <w:rPr>
                <w:b w:val="0"/>
                <w:sz w:val="18"/>
              </w:rPr>
              <w:t>kgN</w:t>
            </w:r>
            <w:proofErr w:type="spellEnd"/>
            <w:r w:rsidRPr="00C17A27">
              <w:rPr>
                <w:b w:val="0"/>
                <w:sz w:val="18"/>
              </w:rPr>
              <w:t>-eq)</w:t>
            </w:r>
          </w:p>
        </w:tc>
        <w:tc>
          <w:tcPr>
            <w:tcW w:w="1977" w:type="dxa"/>
          </w:tcPr>
          <w:p w14:paraId="2AE81657" w14:textId="34A56727" w:rsidR="009A5A88"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2.1</w:t>
            </w:r>
            <w:r>
              <w:rPr>
                <w:sz w:val="18"/>
              </w:rPr>
              <w:t xml:space="preserve"> x 10</w:t>
            </w:r>
            <w:r w:rsidRPr="00432913">
              <w:rPr>
                <w:sz w:val="18"/>
                <w:vertAlign w:val="superscript"/>
              </w:rPr>
              <w:t>-</w:t>
            </w:r>
            <w:r>
              <w:rPr>
                <w:sz w:val="18"/>
                <w:vertAlign w:val="superscript"/>
              </w:rPr>
              <w:t>2</w:t>
            </w:r>
          </w:p>
        </w:tc>
        <w:tc>
          <w:tcPr>
            <w:tcW w:w="2003" w:type="dxa"/>
          </w:tcPr>
          <w:p w14:paraId="24ADC14D" w14:textId="6A0857C2" w:rsidR="009A5A88"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4.9 </w:t>
            </w:r>
            <w:r>
              <w:rPr>
                <w:sz w:val="18"/>
              </w:rPr>
              <w:t>x 10</w:t>
            </w:r>
            <w:r w:rsidRPr="00432913">
              <w:rPr>
                <w:sz w:val="18"/>
                <w:vertAlign w:val="superscript"/>
              </w:rPr>
              <w:t>-</w:t>
            </w:r>
            <w:r>
              <w:rPr>
                <w:sz w:val="18"/>
                <w:vertAlign w:val="superscript"/>
              </w:rPr>
              <w:t>2</w:t>
            </w:r>
          </w:p>
        </w:tc>
        <w:tc>
          <w:tcPr>
            <w:tcW w:w="2693" w:type="dxa"/>
          </w:tcPr>
          <w:p w14:paraId="38DD7B91" w14:textId="72886FCF" w:rsidR="009A5A88" w:rsidRDefault="00FE3A70"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5.6 </w:t>
            </w:r>
            <w:r>
              <w:rPr>
                <w:sz w:val="18"/>
              </w:rPr>
              <w:t>x 10</w:t>
            </w:r>
            <w:r w:rsidRPr="00432913">
              <w:rPr>
                <w:sz w:val="18"/>
                <w:vertAlign w:val="superscript"/>
              </w:rPr>
              <w:t>-</w:t>
            </w:r>
            <w:r>
              <w:rPr>
                <w:sz w:val="18"/>
                <w:vertAlign w:val="superscript"/>
              </w:rPr>
              <w:t>2</w:t>
            </w:r>
          </w:p>
        </w:tc>
      </w:tr>
      <w:tr w:rsidR="009A5A88" w:rsidRPr="0098795B" w14:paraId="368111BF" w14:textId="77777777" w:rsidTr="009E08AB">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07C74BD8" w14:textId="77777777" w:rsidR="009A5A88" w:rsidRPr="00C17A27" w:rsidRDefault="009A5A88" w:rsidP="009E08AB">
            <w:pPr>
              <w:pStyle w:val="Contenudetableau"/>
              <w:rPr>
                <w:color w:val="000000"/>
                <w:sz w:val="18"/>
                <w:szCs w:val="18"/>
              </w:rPr>
            </w:pPr>
            <w:r w:rsidRPr="00C17A27">
              <w:rPr>
                <w:b w:val="0"/>
                <w:sz w:val="18"/>
              </w:rPr>
              <w:t>Land use (points)</w:t>
            </w:r>
          </w:p>
        </w:tc>
        <w:tc>
          <w:tcPr>
            <w:tcW w:w="1977" w:type="dxa"/>
          </w:tcPr>
          <w:p w14:paraId="03B55179" w14:textId="2F6BE08D" w:rsidR="009A5A88"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97</w:t>
            </w:r>
          </w:p>
        </w:tc>
        <w:tc>
          <w:tcPr>
            <w:tcW w:w="2003" w:type="dxa"/>
          </w:tcPr>
          <w:p w14:paraId="5E0344AE" w14:textId="3FFD8833" w:rsidR="009A5A88"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146</w:t>
            </w:r>
          </w:p>
        </w:tc>
        <w:tc>
          <w:tcPr>
            <w:tcW w:w="2693" w:type="dxa"/>
          </w:tcPr>
          <w:p w14:paraId="3E6EAA1E" w14:textId="357244EC" w:rsidR="009A5A88" w:rsidRDefault="00FE3A70"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150</w:t>
            </w:r>
          </w:p>
        </w:tc>
      </w:tr>
      <w:tr w:rsidR="009A5A88" w:rsidRPr="0098795B" w14:paraId="5C0B2534" w14:textId="77777777" w:rsidTr="009E08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1092A5DB" w14:textId="77777777" w:rsidR="009A5A88" w:rsidRPr="00C17A27" w:rsidRDefault="009A5A88" w:rsidP="009E08AB">
            <w:pPr>
              <w:pStyle w:val="Contenudetableau"/>
              <w:rPr>
                <w:color w:val="000000"/>
                <w:sz w:val="18"/>
                <w:szCs w:val="18"/>
              </w:rPr>
            </w:pPr>
            <w:r w:rsidRPr="00C17A27">
              <w:rPr>
                <w:b w:val="0"/>
                <w:color w:val="000000"/>
                <w:sz w:val="18"/>
                <w:szCs w:val="18"/>
              </w:rPr>
              <w:t>Water use (m</w:t>
            </w:r>
            <w:r w:rsidRPr="00C17A27">
              <w:rPr>
                <w:b w:val="0"/>
                <w:color w:val="000000"/>
                <w:sz w:val="18"/>
                <w:szCs w:val="18"/>
                <w:vertAlign w:val="superscript"/>
              </w:rPr>
              <w:t>3</w:t>
            </w:r>
            <w:r w:rsidRPr="00C17A27">
              <w:rPr>
                <w:b w:val="0"/>
                <w:color w:val="000000"/>
                <w:sz w:val="18"/>
                <w:szCs w:val="18"/>
              </w:rPr>
              <w:t>-eq)</w:t>
            </w:r>
          </w:p>
        </w:tc>
        <w:tc>
          <w:tcPr>
            <w:tcW w:w="1977" w:type="dxa"/>
          </w:tcPr>
          <w:p w14:paraId="64F17163" w14:textId="7311FA51" w:rsidR="009A5A88"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4.3</w:t>
            </w:r>
          </w:p>
        </w:tc>
        <w:tc>
          <w:tcPr>
            <w:tcW w:w="2003" w:type="dxa"/>
          </w:tcPr>
          <w:p w14:paraId="1D97D0F6" w14:textId="5CB7C3F1" w:rsidR="009A5A88"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10.4</w:t>
            </w:r>
          </w:p>
        </w:tc>
        <w:tc>
          <w:tcPr>
            <w:tcW w:w="2693" w:type="dxa"/>
          </w:tcPr>
          <w:p w14:paraId="643839B8" w14:textId="29D2AC55" w:rsidR="009A5A88" w:rsidRDefault="00FE3A70"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10.7</w:t>
            </w:r>
          </w:p>
        </w:tc>
      </w:tr>
      <w:tr w:rsidR="009A5A88" w:rsidRPr="0098795B" w14:paraId="1DEEA324" w14:textId="77777777" w:rsidTr="009E08AB">
        <w:trPr>
          <w:jc w:val="center"/>
        </w:trPr>
        <w:tc>
          <w:tcPr>
            <w:cnfStyle w:val="001000000000" w:firstRow="0" w:lastRow="0" w:firstColumn="1" w:lastColumn="0" w:oddVBand="0" w:evenVBand="0" w:oddHBand="0" w:evenHBand="0" w:firstRowFirstColumn="0" w:firstRowLastColumn="0" w:lastRowFirstColumn="0" w:lastRowLastColumn="0"/>
            <w:tcW w:w="9072" w:type="dxa"/>
            <w:gridSpan w:val="4"/>
            <w:shd w:val="clear" w:color="auto" w:fill="E7E6E6" w:themeFill="background2"/>
          </w:tcPr>
          <w:p w14:paraId="329F222B" w14:textId="69EE319C" w:rsidR="009A5A88" w:rsidRDefault="009A5A88" w:rsidP="009E08AB">
            <w:pPr>
              <w:pStyle w:val="Contenudetableau"/>
              <w:rPr>
                <w:rFonts w:ascii="Calibri" w:hAnsi="Calibri"/>
                <w:color w:val="000000"/>
                <w:sz w:val="18"/>
                <w:szCs w:val="18"/>
              </w:rPr>
            </w:pPr>
            <w:r>
              <w:rPr>
                <w:sz w:val="18"/>
              </w:rPr>
              <w:t>Roughage feed services</w:t>
            </w:r>
          </w:p>
        </w:tc>
      </w:tr>
      <w:tr w:rsidR="009A5A88" w:rsidRPr="0098795B" w14:paraId="7CA29104" w14:textId="77777777" w:rsidTr="009E08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66F5558C" w14:textId="77777777" w:rsidR="009A5A88" w:rsidRPr="00C17A27" w:rsidRDefault="009A5A88" w:rsidP="009E08AB">
            <w:pPr>
              <w:pStyle w:val="Contenudetableau"/>
              <w:rPr>
                <w:color w:val="000000"/>
                <w:sz w:val="18"/>
                <w:szCs w:val="18"/>
              </w:rPr>
            </w:pPr>
            <w:r w:rsidRPr="00C17A27">
              <w:rPr>
                <w:b w:val="0"/>
                <w:sz w:val="18"/>
              </w:rPr>
              <w:t>Climate change (kgCO</w:t>
            </w:r>
            <w:r w:rsidRPr="00C17A27">
              <w:rPr>
                <w:b w:val="0"/>
                <w:sz w:val="18"/>
                <w:vertAlign w:val="subscript"/>
              </w:rPr>
              <w:t>2</w:t>
            </w:r>
            <w:r w:rsidRPr="00C17A27">
              <w:rPr>
                <w:b w:val="0"/>
                <w:sz w:val="18"/>
              </w:rPr>
              <w:t>-eq)</w:t>
            </w:r>
          </w:p>
        </w:tc>
        <w:tc>
          <w:tcPr>
            <w:tcW w:w="1977" w:type="dxa"/>
          </w:tcPr>
          <w:p w14:paraId="6CDFC1E9" w14:textId="2A149DA1" w:rsidR="009A5A88"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0.28</w:t>
            </w:r>
          </w:p>
        </w:tc>
        <w:tc>
          <w:tcPr>
            <w:tcW w:w="2003" w:type="dxa"/>
          </w:tcPr>
          <w:p w14:paraId="5F1EF09E" w14:textId="57C5A78E" w:rsidR="009A5A88"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color w:val="000000"/>
                <w:sz w:val="18"/>
              </w:rPr>
              <w:t>1.03</w:t>
            </w:r>
          </w:p>
        </w:tc>
        <w:tc>
          <w:tcPr>
            <w:tcW w:w="2693" w:type="dxa"/>
          </w:tcPr>
          <w:p w14:paraId="4101C9AC" w14:textId="15E8D8A4" w:rsidR="009A5A88" w:rsidRDefault="00FE3A70"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1.42</w:t>
            </w:r>
          </w:p>
        </w:tc>
      </w:tr>
      <w:tr w:rsidR="009A5A88" w:rsidRPr="0098795B" w14:paraId="01CD7EE8" w14:textId="77777777" w:rsidTr="009E08AB">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03A235E0" w14:textId="77777777" w:rsidR="009A5A88" w:rsidRPr="00C17A27" w:rsidRDefault="009A5A88" w:rsidP="009E08AB">
            <w:pPr>
              <w:pStyle w:val="Contenudetableau"/>
              <w:rPr>
                <w:color w:val="000000"/>
                <w:sz w:val="18"/>
                <w:szCs w:val="18"/>
              </w:rPr>
            </w:pPr>
            <w:r w:rsidRPr="00C17A27">
              <w:rPr>
                <w:b w:val="0"/>
                <w:sz w:val="18"/>
              </w:rPr>
              <w:t>Marine eutrophic</w:t>
            </w:r>
            <w:r>
              <w:rPr>
                <w:b w:val="0"/>
                <w:sz w:val="18"/>
              </w:rPr>
              <w:t>.</w:t>
            </w:r>
            <w:r w:rsidRPr="00C17A27">
              <w:rPr>
                <w:b w:val="0"/>
                <w:sz w:val="18"/>
              </w:rPr>
              <w:t xml:space="preserve"> (</w:t>
            </w:r>
            <w:proofErr w:type="spellStart"/>
            <w:r w:rsidRPr="00C17A27">
              <w:rPr>
                <w:b w:val="0"/>
                <w:sz w:val="18"/>
              </w:rPr>
              <w:t>kgN</w:t>
            </w:r>
            <w:proofErr w:type="spellEnd"/>
            <w:r w:rsidRPr="00C17A27">
              <w:rPr>
                <w:b w:val="0"/>
                <w:sz w:val="18"/>
              </w:rPr>
              <w:t>-eq)</w:t>
            </w:r>
          </w:p>
        </w:tc>
        <w:tc>
          <w:tcPr>
            <w:tcW w:w="1977" w:type="dxa"/>
          </w:tcPr>
          <w:p w14:paraId="00F989C0" w14:textId="024D7469" w:rsidR="009A5A88"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sz w:val="18"/>
              </w:rPr>
              <w:t>1.2 x 10</w:t>
            </w:r>
            <w:r w:rsidRPr="00432913">
              <w:rPr>
                <w:sz w:val="18"/>
                <w:vertAlign w:val="superscript"/>
              </w:rPr>
              <w:t>-</w:t>
            </w:r>
            <w:r>
              <w:rPr>
                <w:sz w:val="18"/>
                <w:vertAlign w:val="superscript"/>
              </w:rPr>
              <w:t>3</w:t>
            </w:r>
          </w:p>
        </w:tc>
        <w:tc>
          <w:tcPr>
            <w:tcW w:w="2003" w:type="dxa"/>
          </w:tcPr>
          <w:p w14:paraId="00264725" w14:textId="4ECBCAD9" w:rsidR="009A5A88"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7.9 </w:t>
            </w:r>
            <w:r>
              <w:rPr>
                <w:sz w:val="18"/>
              </w:rPr>
              <w:t>x 10</w:t>
            </w:r>
            <w:r w:rsidRPr="00432913">
              <w:rPr>
                <w:sz w:val="18"/>
                <w:vertAlign w:val="superscript"/>
              </w:rPr>
              <w:t>-</w:t>
            </w:r>
            <w:r>
              <w:rPr>
                <w:sz w:val="18"/>
                <w:vertAlign w:val="superscript"/>
              </w:rPr>
              <w:t>3</w:t>
            </w:r>
          </w:p>
        </w:tc>
        <w:tc>
          <w:tcPr>
            <w:tcW w:w="2693" w:type="dxa"/>
          </w:tcPr>
          <w:p w14:paraId="5784195A" w14:textId="76449F90" w:rsidR="009A5A88" w:rsidRDefault="00FE3A70"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 xml:space="preserve">9.0 </w:t>
            </w:r>
            <w:r>
              <w:rPr>
                <w:sz w:val="18"/>
              </w:rPr>
              <w:t>x 10</w:t>
            </w:r>
            <w:r w:rsidRPr="00432913">
              <w:rPr>
                <w:sz w:val="18"/>
                <w:vertAlign w:val="superscript"/>
              </w:rPr>
              <w:t>-</w:t>
            </w:r>
            <w:r>
              <w:rPr>
                <w:sz w:val="18"/>
                <w:vertAlign w:val="superscript"/>
              </w:rPr>
              <w:t>3</w:t>
            </w:r>
          </w:p>
        </w:tc>
      </w:tr>
      <w:tr w:rsidR="009A5A88" w:rsidRPr="0098795B" w14:paraId="29A0C803" w14:textId="77777777" w:rsidTr="009E08AB">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2399" w:type="dxa"/>
          </w:tcPr>
          <w:p w14:paraId="438A32E4" w14:textId="77777777" w:rsidR="009A5A88" w:rsidRPr="00C17A27" w:rsidRDefault="009A5A88" w:rsidP="009E08AB">
            <w:pPr>
              <w:pStyle w:val="Contenudetableau"/>
              <w:rPr>
                <w:color w:val="000000"/>
                <w:sz w:val="18"/>
                <w:szCs w:val="18"/>
              </w:rPr>
            </w:pPr>
            <w:r w:rsidRPr="00C17A27">
              <w:rPr>
                <w:b w:val="0"/>
                <w:sz w:val="18"/>
              </w:rPr>
              <w:t>Land use (points)</w:t>
            </w:r>
          </w:p>
        </w:tc>
        <w:tc>
          <w:tcPr>
            <w:tcW w:w="1977" w:type="dxa"/>
          </w:tcPr>
          <w:p w14:paraId="27CF3FE8" w14:textId="77B38F0F" w:rsidR="009A5A88"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49</w:t>
            </w:r>
          </w:p>
        </w:tc>
        <w:tc>
          <w:tcPr>
            <w:tcW w:w="2003" w:type="dxa"/>
          </w:tcPr>
          <w:p w14:paraId="54D3610D" w14:textId="60AF259A" w:rsidR="009A5A88" w:rsidRDefault="009A5A88"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72</w:t>
            </w:r>
          </w:p>
        </w:tc>
        <w:tc>
          <w:tcPr>
            <w:tcW w:w="2693" w:type="dxa"/>
          </w:tcPr>
          <w:p w14:paraId="4C3F0B49" w14:textId="3035752C" w:rsidR="009A5A88" w:rsidRDefault="00FE3A70" w:rsidP="009E08AB">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73</w:t>
            </w:r>
          </w:p>
        </w:tc>
      </w:tr>
      <w:tr w:rsidR="009A5A88" w:rsidRPr="0098795B" w14:paraId="1C6D4654" w14:textId="77777777" w:rsidTr="009E08AB">
        <w:trPr>
          <w:jc w:val="center"/>
        </w:trPr>
        <w:tc>
          <w:tcPr>
            <w:cnfStyle w:val="001000000000" w:firstRow="0" w:lastRow="0" w:firstColumn="1" w:lastColumn="0" w:oddVBand="0" w:evenVBand="0" w:oddHBand="0" w:evenHBand="0" w:firstRowFirstColumn="0" w:firstRowLastColumn="0" w:lastRowFirstColumn="0" w:lastRowLastColumn="0"/>
            <w:tcW w:w="2399" w:type="dxa"/>
          </w:tcPr>
          <w:p w14:paraId="1825E26D" w14:textId="77777777" w:rsidR="009A5A88" w:rsidRPr="00C17A27" w:rsidRDefault="009A5A88" w:rsidP="009E08AB">
            <w:pPr>
              <w:pStyle w:val="Contenudetableau"/>
              <w:rPr>
                <w:color w:val="000000"/>
                <w:sz w:val="18"/>
                <w:szCs w:val="18"/>
              </w:rPr>
            </w:pPr>
            <w:r w:rsidRPr="00C17A27">
              <w:rPr>
                <w:b w:val="0"/>
                <w:color w:val="000000"/>
                <w:sz w:val="18"/>
                <w:szCs w:val="18"/>
              </w:rPr>
              <w:t>Water use (m</w:t>
            </w:r>
            <w:r w:rsidRPr="00C17A27">
              <w:rPr>
                <w:b w:val="0"/>
                <w:color w:val="000000"/>
                <w:sz w:val="18"/>
                <w:szCs w:val="18"/>
                <w:vertAlign w:val="superscript"/>
              </w:rPr>
              <w:t>3</w:t>
            </w:r>
            <w:r w:rsidRPr="00C17A27">
              <w:rPr>
                <w:b w:val="0"/>
                <w:color w:val="000000"/>
                <w:sz w:val="18"/>
                <w:szCs w:val="18"/>
              </w:rPr>
              <w:t>-eq)</w:t>
            </w:r>
          </w:p>
        </w:tc>
        <w:tc>
          <w:tcPr>
            <w:tcW w:w="1977" w:type="dxa"/>
          </w:tcPr>
          <w:p w14:paraId="006C2015" w14:textId="1338A636" w:rsidR="009A5A88"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0.07</w:t>
            </w:r>
          </w:p>
        </w:tc>
        <w:tc>
          <w:tcPr>
            <w:tcW w:w="2003" w:type="dxa"/>
          </w:tcPr>
          <w:p w14:paraId="4F1766BF" w14:textId="22A05C6F" w:rsidR="009A5A88" w:rsidRDefault="009A5A88"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0.2</w:t>
            </w:r>
          </w:p>
        </w:tc>
        <w:tc>
          <w:tcPr>
            <w:tcW w:w="2693" w:type="dxa"/>
          </w:tcPr>
          <w:p w14:paraId="4FCD922A" w14:textId="51C8B222" w:rsidR="009A5A88" w:rsidRDefault="00FE3A70" w:rsidP="009E08AB">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0.3</w:t>
            </w:r>
          </w:p>
        </w:tc>
      </w:tr>
    </w:tbl>
    <w:p w14:paraId="7FEDA97B" w14:textId="2DC7DD6B" w:rsidR="001D0730" w:rsidRPr="009A5A88" w:rsidRDefault="009E08AB" w:rsidP="009E08AB">
      <w:pPr>
        <w:jc w:val="both"/>
        <w:rPr>
          <w:sz w:val="18"/>
        </w:rPr>
      </w:pPr>
      <w:r>
        <w:rPr>
          <w:sz w:val="18"/>
        </w:rPr>
        <w:t>Values r</w:t>
      </w:r>
      <w:r w:rsidR="009A5A88" w:rsidRPr="009A5A88">
        <w:rPr>
          <w:sz w:val="18"/>
        </w:rPr>
        <w:t>ounded to two digits</w:t>
      </w:r>
      <w:r w:rsidR="00FE3A70">
        <w:rPr>
          <w:sz w:val="18"/>
        </w:rPr>
        <w:t>.</w:t>
      </w:r>
      <w:r w:rsidR="00537E53">
        <w:rPr>
          <w:sz w:val="18"/>
        </w:rPr>
        <w:t xml:space="preserve"> </w:t>
      </w:r>
      <w:r>
        <w:rPr>
          <w:sz w:val="18"/>
        </w:rPr>
        <w:t>C</w:t>
      </w:r>
      <w:r w:rsidR="00537E53">
        <w:rPr>
          <w:sz w:val="18"/>
        </w:rPr>
        <w:t>alculate</w:t>
      </w:r>
      <w:r>
        <w:rPr>
          <w:sz w:val="18"/>
        </w:rPr>
        <w:t>d</w:t>
      </w:r>
      <w:r w:rsidR="00537E53">
        <w:rPr>
          <w:sz w:val="18"/>
        </w:rPr>
        <w:t xml:space="preserve"> impact</w:t>
      </w:r>
      <w:r>
        <w:rPr>
          <w:sz w:val="18"/>
        </w:rPr>
        <w:t xml:space="preserve"> scores </w:t>
      </w:r>
      <w:r w:rsidR="00537E53">
        <w:rPr>
          <w:sz w:val="18"/>
        </w:rPr>
        <w:t>for the three scenarios</w:t>
      </w:r>
      <w:r>
        <w:rPr>
          <w:sz w:val="18"/>
        </w:rPr>
        <w:t xml:space="preserve"> only</w:t>
      </w:r>
      <w:r w:rsidR="00537E53">
        <w:rPr>
          <w:sz w:val="18"/>
        </w:rPr>
        <w:t xml:space="preserve"> are provided</w:t>
      </w:r>
      <w:r>
        <w:rPr>
          <w:sz w:val="18"/>
        </w:rPr>
        <w:t xml:space="preserve"> here</w:t>
      </w:r>
      <w:r w:rsidR="00537E53">
        <w:rPr>
          <w:sz w:val="18"/>
        </w:rPr>
        <w:t xml:space="preserve">, the results for the six additional </w:t>
      </w:r>
      <w:r w:rsidR="00B173C6">
        <w:rPr>
          <w:sz w:val="18"/>
        </w:rPr>
        <w:t xml:space="preserve">future feed commodities environmental performances </w:t>
      </w:r>
      <w:r w:rsidR="00537E53">
        <w:rPr>
          <w:sz w:val="18"/>
        </w:rPr>
        <w:t xml:space="preserve">configurations (used </w:t>
      </w:r>
      <w:r>
        <w:rPr>
          <w:sz w:val="18"/>
        </w:rPr>
        <w:t>to derive the</w:t>
      </w:r>
      <w:r w:rsidR="00537E53">
        <w:rPr>
          <w:sz w:val="18"/>
        </w:rPr>
        <w:t xml:space="preserve"> </w:t>
      </w:r>
      <w:r w:rsidR="00537E53" w:rsidRPr="0017344E">
        <w:rPr>
          <w:b/>
          <w:sz w:val="18"/>
        </w:rPr>
        <w:t>Figure</w:t>
      </w:r>
      <w:r>
        <w:rPr>
          <w:b/>
          <w:sz w:val="18"/>
        </w:rPr>
        <w:t xml:space="preserve"> 2</w:t>
      </w:r>
      <w:r w:rsidR="00537E53" w:rsidRPr="0017344E">
        <w:rPr>
          <w:b/>
          <w:sz w:val="18"/>
        </w:rPr>
        <w:t xml:space="preserve"> </w:t>
      </w:r>
      <w:r w:rsidR="00537E53">
        <w:rPr>
          <w:sz w:val="18"/>
        </w:rPr>
        <w:t xml:space="preserve">of the main manuscript) are </w:t>
      </w:r>
      <w:r w:rsidR="00537E53" w:rsidRPr="009E08AB">
        <w:rPr>
          <w:sz w:val="18"/>
        </w:rPr>
        <w:t>available in</w:t>
      </w:r>
      <w:r w:rsidRPr="009E08AB">
        <w:rPr>
          <w:sz w:val="18"/>
        </w:rPr>
        <w:t xml:space="preserve"> the </w:t>
      </w:r>
      <w:r w:rsidRPr="009E08AB">
        <w:rPr>
          <w:b/>
          <w:sz w:val="18"/>
        </w:rPr>
        <w:t>data repository</w:t>
      </w:r>
      <w:r w:rsidR="00537E53" w:rsidRPr="009E08AB">
        <w:rPr>
          <w:sz w:val="18"/>
        </w:rPr>
        <w:t>.</w:t>
      </w:r>
    </w:p>
    <w:p w14:paraId="6E63A83F" w14:textId="2832CBAB" w:rsidR="00331568" w:rsidRDefault="00FE3A70" w:rsidP="00331568">
      <w:pPr>
        <w:jc w:val="both"/>
      </w:pPr>
      <w:r>
        <w:t xml:space="preserve">Per construction, land and water use impacts mostly come from </w:t>
      </w:r>
      <w:r w:rsidR="0050583C">
        <w:t xml:space="preserve">crops </w:t>
      </w:r>
      <w:r>
        <w:t xml:space="preserve">production </w:t>
      </w:r>
      <w:r w:rsidR="0050583C">
        <w:t>systems,</w:t>
      </w:r>
      <w:r>
        <w:t xml:space="preserve"> because LUC impacts as modeled here only include direct emissions and intensification-induced fertilizing impacts. Land use impacts of each </w:t>
      </w:r>
      <w:r w:rsidR="0050583C">
        <w:t xml:space="preserve">marginal </w:t>
      </w:r>
      <w:r>
        <w:t xml:space="preserve">feed services </w:t>
      </w:r>
      <w:r w:rsidR="00B173C6">
        <w:t xml:space="preserve">directly correlate </w:t>
      </w:r>
      <w:r>
        <w:t xml:space="preserve">with their marginal yields </w:t>
      </w:r>
      <w:r>
        <w:lastRenderedPageBreak/>
        <w:t>ranking (</w:t>
      </w:r>
      <w:r w:rsidR="009E08AB" w:rsidRPr="009E08AB">
        <w:rPr>
          <w:b/>
        </w:rPr>
        <w:fldChar w:fldCharType="begin"/>
      </w:r>
      <w:r w:rsidR="009E08AB" w:rsidRPr="009E08AB">
        <w:rPr>
          <w:b/>
        </w:rPr>
        <w:instrText xml:space="preserve"> REF _Ref151652626 \h  \* MERGEFORMAT </w:instrText>
      </w:r>
      <w:r w:rsidR="009E08AB" w:rsidRPr="009E08AB">
        <w:rPr>
          <w:b/>
        </w:rPr>
      </w:r>
      <w:r w:rsidR="009E08AB" w:rsidRPr="009E08AB">
        <w:rPr>
          <w:b/>
        </w:rPr>
        <w:fldChar w:fldCharType="separate"/>
      </w:r>
      <w:r w:rsidR="009E08AB" w:rsidRPr="009E08AB">
        <w:rPr>
          <w:b/>
        </w:rPr>
        <w:t>Table SI</w:t>
      </w:r>
      <w:r w:rsidR="009E08AB" w:rsidRPr="009E08AB">
        <w:rPr>
          <w:b/>
          <w:noProof/>
        </w:rPr>
        <w:t>9</w:t>
      </w:r>
      <w:r w:rsidR="009E08AB" w:rsidRPr="009E08AB">
        <w:rPr>
          <w:b/>
        </w:rPr>
        <w:fldChar w:fldCharType="end"/>
      </w:r>
      <w:r>
        <w:t xml:space="preserve">). Water use impacts </w:t>
      </w:r>
      <w:r w:rsidR="0050583C">
        <w:t>mainly</w:t>
      </w:r>
      <w:r>
        <w:t xml:space="preserve"> depend on </w:t>
      </w:r>
      <w:r w:rsidR="0050583C">
        <w:t xml:space="preserve">the </w:t>
      </w:r>
      <w:r>
        <w:t>irrigation requirements</w:t>
      </w:r>
      <w:r w:rsidR="0050583C">
        <w:t xml:space="preserve"> for each commodities group</w:t>
      </w:r>
      <w:r>
        <w:t>.</w:t>
      </w:r>
      <w:r w:rsidR="00B173C6">
        <w:t xml:space="preserve"> The </w:t>
      </w:r>
      <w:r w:rsidR="0050583C">
        <w:t>regions marginally-</w:t>
      </w:r>
      <w:r w:rsidR="00B173C6">
        <w:t>suppl</w:t>
      </w:r>
      <w:r w:rsidR="0050583C">
        <w:t>ying</w:t>
      </w:r>
      <w:r w:rsidR="00B173C6">
        <w:t xml:space="preserve"> maize, wheat, sunflower and rapeseeds (in terms of countries) </w:t>
      </w:r>
      <w:r w:rsidR="0050583C">
        <w:t>rely on</w:t>
      </w:r>
      <w:r w:rsidR="00B173C6">
        <w:t xml:space="preserve"> irrigation while marginal roughage feed</w:t>
      </w:r>
      <w:r w:rsidR="0050583C">
        <w:t xml:space="preserve"> production</w:t>
      </w:r>
      <w:r w:rsidR="00B173C6">
        <w:t xml:space="preserve"> is mostly rainfed</w:t>
      </w:r>
      <w:r w:rsidR="0050583C">
        <w:t>,</w:t>
      </w:r>
      <w:r w:rsidR="00B173C6">
        <w:t xml:space="preserve"> according to the </w:t>
      </w:r>
      <w:proofErr w:type="spellStart"/>
      <w:r w:rsidR="0050583C">
        <w:t>ecoinvent</w:t>
      </w:r>
      <w:proofErr w:type="spellEnd"/>
      <w:r w:rsidR="0050583C">
        <w:t xml:space="preserve"> product system</w:t>
      </w:r>
      <w:r w:rsidR="00B173C6">
        <w:t xml:space="preserve">. </w:t>
      </w:r>
      <w:r>
        <w:t xml:space="preserve">On the other hand, </w:t>
      </w:r>
      <w:r w:rsidR="0050583C">
        <w:t xml:space="preserve">the </w:t>
      </w:r>
      <w:r>
        <w:t xml:space="preserve">climate </w:t>
      </w:r>
      <w:r w:rsidR="0050583C">
        <w:t>scores</w:t>
      </w:r>
      <w:r>
        <w:t xml:space="preserve"> of marginal feed </w:t>
      </w:r>
      <w:r w:rsidR="0050583C">
        <w:t>suppliers</w:t>
      </w:r>
      <w:r>
        <w:t xml:space="preserve"> are mostly driven by LUC impacts, which are also important contributors to total marine eutrophication </w:t>
      </w:r>
      <w:r w:rsidR="0050583C">
        <w:t>scores</w:t>
      </w:r>
      <w:r w:rsidR="009E08AB">
        <w:fldChar w:fldCharType="begin"/>
      </w:r>
      <w:r w:rsidR="00557897">
        <w:instrText xml:space="preserve"> ADDIN ZOTERO_ITEM CSL_CITATION {"citationID":"bXGrrST2","properties":{"formattedCitation":"\\super 2\\nosupersub{}","plainCitation":"2","noteIndex":0},"citationItems":[{"id":13553,"uris":["http://zotero.org/users/6423791/items/EU8KLJZY"],"itemData":{"id":13553,"type":"article-journal","abstract":"Transforming residual biomass into edible ingredients is increasingly\npromoted to alleviate the environmental impacts of food systems. Yet,\nthese approaches mostly rely on emerging technologies and constrained\nresources, and their environmental benefits remain unclear. By combining\nprocess-based consequential life cycle analysis, uncertainty assessment\nand biomass resource estimation, we quantified the impacts of deploying\nwaste-to-nutrition pathways, here applied to the upgrading of agrifood\nco-products by solid-state fermentation (SSF). The benefits of reducing the\ndemand for soybean meal by enhancing the protein concentration of feed\nthrough SSF do not compensate for the environmental burdens induced\nby the process on climate change, water depletion and land use. Besides\nunlocking feed markets to low-feed-quality streams, SSF outperforms\nenergy valorization for most environmental impacts but is less competitive\nto mitigate climate change. Yet, SSF yields overall environmental benefits\nwhen unlocking food markets rather than supplying feed and energy\nservices. Systematic methodological harmonization is required to assess the\npotential of novel ingredients, as outcomes vary according to the displaced\nfood and feed baskets, and related land use changes.","container-title":"Nature Food","DOI":"10.1038/s43016-022-00621-9","journalAbbreviation":"Nat Food","language":"en","page":"911-920","title":"Upgrading agrifood co-products via solid fermentation yields environmental benefits under specific conditions only","volume":"3","author":[{"family":"Javourez","given":"Ugo"},{"family":"Rosero Delgado","given":"Ernesto Alonso"},{"family":"Hamelin","given":"Lorie"}],"issued":{"date-parts":[["2022",10,31]]}}}],"schema":"https://github.com/citation-style-language/schema/raw/master/csl-citation.json"} </w:instrText>
      </w:r>
      <w:r w:rsidR="009E08AB">
        <w:fldChar w:fldCharType="separate"/>
      </w:r>
      <w:r w:rsidR="00557897" w:rsidRPr="00557897">
        <w:rPr>
          <w:rFonts w:ascii="Calibri" w:hAnsi="Calibri" w:cs="Calibri"/>
          <w:szCs w:val="24"/>
          <w:vertAlign w:val="superscript"/>
        </w:rPr>
        <w:t>2</w:t>
      </w:r>
      <w:r w:rsidR="009E08AB">
        <w:fldChar w:fldCharType="end"/>
      </w:r>
      <w:r>
        <w:t>.</w:t>
      </w:r>
      <w:r w:rsidR="00557897">
        <w:t xml:space="preserve"> Yet, </w:t>
      </w:r>
      <w:r w:rsidR="0050583C">
        <w:t xml:space="preserve">marine eutrophication scores </w:t>
      </w:r>
      <w:r w:rsidR="00557897">
        <w:rPr>
          <w:lang w:eastAsia="ko-KR"/>
        </w:rPr>
        <w:t xml:space="preserve">(as modeled here) depend more on </w:t>
      </w:r>
      <w:r w:rsidR="0050583C">
        <w:rPr>
          <w:lang w:eastAsia="ko-KR"/>
        </w:rPr>
        <w:t>which</w:t>
      </w:r>
      <w:r w:rsidR="00557897">
        <w:rPr>
          <w:lang w:eastAsia="ko-KR"/>
        </w:rPr>
        <w:t xml:space="preserve"> specific crops</w:t>
      </w:r>
      <w:r w:rsidR="0050583C">
        <w:rPr>
          <w:lang w:eastAsia="ko-KR"/>
        </w:rPr>
        <w:t xml:space="preserve"> are part of the marginal mix</w:t>
      </w:r>
      <w:r w:rsidR="00557897">
        <w:rPr>
          <w:lang w:eastAsia="ko-KR"/>
        </w:rPr>
        <w:t xml:space="preserve"> (e.g. if these are fertilized or not) than on the LUC factor</w:t>
      </w:r>
      <w:r w:rsidR="0050583C">
        <w:rPr>
          <w:lang w:eastAsia="ko-KR"/>
        </w:rPr>
        <w:t xml:space="preserve"> itself</w:t>
      </w:r>
      <w:r w:rsidR="00557897">
        <w:rPr>
          <w:lang w:eastAsia="ko-KR"/>
        </w:rPr>
        <w:t xml:space="preserve">. </w:t>
      </w:r>
      <w:r w:rsidR="00B173C6">
        <w:t>Over the four assessed impact categories, and on a weight basis, lipid</w:t>
      </w:r>
      <w:r w:rsidR="0050583C">
        <w:t>s</w:t>
      </w:r>
      <w:r w:rsidR="00B173C6">
        <w:t xml:space="preserve"> feed</w:t>
      </w:r>
      <w:r w:rsidR="0050583C">
        <w:t>s</w:t>
      </w:r>
      <w:r w:rsidR="00B173C6">
        <w:t xml:space="preserve"> </w:t>
      </w:r>
      <w:r w:rsidR="0050583C">
        <w:t>are the commodities group</w:t>
      </w:r>
      <w:r w:rsidR="00B173C6">
        <w:t xml:space="preserve"> generating the most environmental burdens, followed by protein feed</w:t>
      </w:r>
      <w:r w:rsidR="0050583C">
        <w:t>s</w:t>
      </w:r>
      <w:r w:rsidR="00B173C6">
        <w:t>, while roughage feed</w:t>
      </w:r>
      <w:r w:rsidR="0050583C">
        <w:t>s</w:t>
      </w:r>
      <w:r w:rsidR="00B173C6">
        <w:t xml:space="preserve"> </w:t>
      </w:r>
      <w:r w:rsidR="0050583C">
        <w:t>are</w:t>
      </w:r>
      <w:r w:rsidR="00B173C6">
        <w:t xml:space="preserve"> less environmentally-intensive.</w:t>
      </w:r>
      <w:r w:rsidR="00557897">
        <w:t xml:space="preserve"> I</w:t>
      </w:r>
      <w:r w:rsidR="00B173C6">
        <w:rPr>
          <w:lang w:eastAsia="ko-KR"/>
        </w:rPr>
        <w:t xml:space="preserve">n terms of GHG emissions, </w:t>
      </w:r>
      <w:r w:rsidR="00557897">
        <w:rPr>
          <w:lang w:eastAsia="ko-KR"/>
        </w:rPr>
        <w:t>o</w:t>
      </w:r>
      <w:r w:rsidR="00B173C6">
        <w:rPr>
          <w:lang w:eastAsia="ko-KR"/>
        </w:rPr>
        <w:t xml:space="preserve">ver the nine </w:t>
      </w:r>
      <w:r w:rsidR="0050583C">
        <w:rPr>
          <w:lang w:eastAsia="ko-KR"/>
        </w:rPr>
        <w:t xml:space="preserve">food systems future </w:t>
      </w:r>
      <w:r w:rsidR="00557897">
        <w:rPr>
          <w:lang w:eastAsia="ko-KR"/>
        </w:rPr>
        <w:t>configurations</w:t>
      </w:r>
      <w:r w:rsidR="0050583C">
        <w:rPr>
          <w:lang w:eastAsia="ko-KR"/>
        </w:rPr>
        <w:t xml:space="preserve"> assessed</w:t>
      </w:r>
      <w:r w:rsidR="00B173C6">
        <w:rPr>
          <w:lang w:eastAsia="ko-KR"/>
        </w:rPr>
        <w:t xml:space="preserve">, </w:t>
      </w:r>
      <w:r w:rsidR="0050583C">
        <w:rPr>
          <w:lang w:eastAsia="ko-KR"/>
        </w:rPr>
        <w:t>the LCA scores of</w:t>
      </w:r>
      <w:r w:rsidR="00B173C6">
        <w:rPr>
          <w:lang w:eastAsia="ko-KR"/>
        </w:rPr>
        <w:t xml:space="preserve"> </w:t>
      </w:r>
      <w:r w:rsidR="00557897">
        <w:rPr>
          <w:lang w:eastAsia="ko-KR"/>
        </w:rPr>
        <w:t xml:space="preserve">marginal </w:t>
      </w:r>
      <w:r w:rsidR="00B173C6">
        <w:rPr>
          <w:lang w:eastAsia="ko-KR"/>
        </w:rPr>
        <w:t>protein feed</w:t>
      </w:r>
      <w:r w:rsidR="0050583C">
        <w:rPr>
          <w:lang w:eastAsia="ko-KR"/>
        </w:rPr>
        <w:t>s</w:t>
      </w:r>
      <w:r w:rsidR="00B173C6">
        <w:rPr>
          <w:lang w:eastAsia="ko-KR"/>
        </w:rPr>
        <w:t xml:space="preserve"> s</w:t>
      </w:r>
      <w:r w:rsidR="00557897">
        <w:rPr>
          <w:lang w:eastAsia="ko-KR"/>
        </w:rPr>
        <w:t>uppliers</w:t>
      </w:r>
      <w:r w:rsidR="00B173C6">
        <w:rPr>
          <w:lang w:eastAsia="ko-KR"/>
        </w:rPr>
        <w:t xml:space="preserve"> range from 2.0 to 8.6 kgCO</w:t>
      </w:r>
      <w:r w:rsidR="00B173C6" w:rsidRPr="00E26EAF">
        <w:rPr>
          <w:vertAlign w:val="subscript"/>
          <w:lang w:eastAsia="ko-KR"/>
        </w:rPr>
        <w:t>2</w:t>
      </w:r>
      <w:r w:rsidR="00B173C6">
        <w:rPr>
          <w:lang w:eastAsia="ko-KR"/>
        </w:rPr>
        <w:t>-</w:t>
      </w:r>
      <w:proofErr w:type="gramStart"/>
      <w:r w:rsidR="00B173C6">
        <w:rPr>
          <w:lang w:eastAsia="ko-KR"/>
        </w:rPr>
        <w:t>eq.kg</w:t>
      </w:r>
      <w:r w:rsidR="00B173C6" w:rsidRPr="00E26EAF">
        <w:rPr>
          <w:vertAlign w:val="subscript"/>
          <w:lang w:eastAsia="ko-KR"/>
        </w:rPr>
        <w:t>DM</w:t>
      </w:r>
      <w:proofErr w:type="gramEnd"/>
      <w:r w:rsidR="00B173C6" w:rsidRPr="00E26EAF">
        <w:rPr>
          <w:vertAlign w:val="superscript"/>
          <w:lang w:eastAsia="ko-KR"/>
        </w:rPr>
        <w:t>-1</w:t>
      </w:r>
      <w:r w:rsidR="00B173C6">
        <w:rPr>
          <w:lang w:eastAsia="ko-KR"/>
        </w:rPr>
        <w:t xml:space="preserve">, </w:t>
      </w:r>
      <w:r w:rsidR="00557897">
        <w:rPr>
          <w:lang w:eastAsia="ko-KR"/>
        </w:rPr>
        <w:t xml:space="preserve">marginal </w:t>
      </w:r>
      <w:r w:rsidR="00B173C6">
        <w:rPr>
          <w:lang w:eastAsia="ko-KR"/>
        </w:rPr>
        <w:t>lipids feed</w:t>
      </w:r>
      <w:r w:rsidR="0050583C">
        <w:rPr>
          <w:lang w:eastAsia="ko-KR"/>
        </w:rPr>
        <w:t>s</w:t>
      </w:r>
      <w:r w:rsidR="00B173C6">
        <w:rPr>
          <w:lang w:eastAsia="ko-KR"/>
        </w:rPr>
        <w:t xml:space="preserve"> </w:t>
      </w:r>
      <w:r w:rsidR="00557897">
        <w:rPr>
          <w:lang w:eastAsia="ko-KR"/>
        </w:rPr>
        <w:t>suppliers</w:t>
      </w:r>
      <w:r w:rsidR="00B173C6">
        <w:rPr>
          <w:lang w:eastAsia="ko-KR"/>
        </w:rPr>
        <w:t xml:space="preserve"> from 2.8 to 10.3</w:t>
      </w:r>
      <w:r w:rsidR="00B173C6" w:rsidRPr="00E26EAF">
        <w:rPr>
          <w:lang w:eastAsia="ko-KR"/>
        </w:rPr>
        <w:t xml:space="preserve"> </w:t>
      </w:r>
      <w:r w:rsidR="00B173C6">
        <w:rPr>
          <w:lang w:eastAsia="ko-KR"/>
        </w:rPr>
        <w:t>kgCO</w:t>
      </w:r>
      <w:r w:rsidR="00B173C6" w:rsidRPr="00E26EAF">
        <w:rPr>
          <w:vertAlign w:val="subscript"/>
          <w:lang w:eastAsia="ko-KR"/>
        </w:rPr>
        <w:t>2</w:t>
      </w:r>
      <w:r w:rsidR="00B173C6">
        <w:rPr>
          <w:lang w:eastAsia="ko-KR"/>
        </w:rPr>
        <w:t>-eq.kg</w:t>
      </w:r>
      <w:r w:rsidR="00B173C6" w:rsidRPr="00E26EAF">
        <w:rPr>
          <w:vertAlign w:val="subscript"/>
          <w:lang w:eastAsia="ko-KR"/>
        </w:rPr>
        <w:t>DM</w:t>
      </w:r>
      <w:r w:rsidR="00B173C6" w:rsidRPr="00E26EAF">
        <w:rPr>
          <w:vertAlign w:val="superscript"/>
          <w:lang w:eastAsia="ko-KR"/>
        </w:rPr>
        <w:t>-1</w:t>
      </w:r>
      <w:r w:rsidR="00B173C6">
        <w:rPr>
          <w:lang w:eastAsia="ko-KR"/>
        </w:rPr>
        <w:t xml:space="preserve"> and </w:t>
      </w:r>
      <w:r w:rsidR="0050583C">
        <w:rPr>
          <w:lang w:eastAsia="ko-KR"/>
        </w:rPr>
        <w:t>carbohydrates</w:t>
      </w:r>
      <w:r w:rsidR="00B173C6">
        <w:rPr>
          <w:lang w:eastAsia="ko-KR"/>
        </w:rPr>
        <w:t xml:space="preserve"> feed</w:t>
      </w:r>
      <w:r w:rsidR="0050583C">
        <w:rPr>
          <w:lang w:eastAsia="ko-KR"/>
        </w:rPr>
        <w:t>s</w:t>
      </w:r>
      <w:r w:rsidR="00B173C6">
        <w:rPr>
          <w:lang w:eastAsia="ko-KR"/>
        </w:rPr>
        <w:t xml:space="preserve"> </w:t>
      </w:r>
      <w:r w:rsidR="00557897">
        <w:rPr>
          <w:lang w:eastAsia="ko-KR"/>
        </w:rPr>
        <w:t>suppliers</w:t>
      </w:r>
      <w:r w:rsidR="00B173C6">
        <w:rPr>
          <w:lang w:eastAsia="ko-KR"/>
        </w:rPr>
        <w:t xml:space="preserve"> from 1.2 to 3.1</w:t>
      </w:r>
      <w:r w:rsidR="00B173C6" w:rsidRPr="00E26EAF">
        <w:rPr>
          <w:lang w:eastAsia="ko-KR"/>
        </w:rPr>
        <w:t xml:space="preserve"> </w:t>
      </w:r>
      <w:r w:rsidR="00B173C6">
        <w:rPr>
          <w:lang w:eastAsia="ko-KR"/>
        </w:rPr>
        <w:t>kgCO</w:t>
      </w:r>
      <w:r w:rsidR="00B173C6" w:rsidRPr="00E26EAF">
        <w:rPr>
          <w:vertAlign w:val="subscript"/>
          <w:lang w:eastAsia="ko-KR"/>
        </w:rPr>
        <w:t>2</w:t>
      </w:r>
      <w:r w:rsidR="00B173C6">
        <w:rPr>
          <w:lang w:eastAsia="ko-KR"/>
        </w:rPr>
        <w:t>-eq.kg</w:t>
      </w:r>
      <w:r w:rsidR="00B173C6" w:rsidRPr="00E26EAF">
        <w:rPr>
          <w:vertAlign w:val="subscript"/>
          <w:lang w:eastAsia="ko-KR"/>
        </w:rPr>
        <w:t>DM</w:t>
      </w:r>
      <w:r w:rsidR="00B173C6" w:rsidRPr="00E26EAF">
        <w:rPr>
          <w:vertAlign w:val="superscript"/>
          <w:lang w:eastAsia="ko-KR"/>
        </w:rPr>
        <w:t>-1</w:t>
      </w:r>
      <w:r w:rsidR="0042160D">
        <w:rPr>
          <w:lang w:eastAsia="ko-KR"/>
        </w:rPr>
        <w:t xml:space="preserve"> (used in </w:t>
      </w:r>
      <w:r w:rsidR="0042160D" w:rsidRPr="0042160D">
        <w:rPr>
          <w:b/>
          <w:lang w:eastAsia="ko-KR"/>
        </w:rPr>
        <w:t xml:space="preserve">Figure </w:t>
      </w:r>
      <w:r w:rsidR="00557897">
        <w:rPr>
          <w:b/>
          <w:lang w:eastAsia="ko-KR"/>
        </w:rPr>
        <w:t>2</w:t>
      </w:r>
      <w:r w:rsidR="0042160D">
        <w:rPr>
          <w:lang w:eastAsia="ko-KR"/>
        </w:rPr>
        <w:t xml:space="preserve"> of the main manuscript)</w:t>
      </w:r>
      <w:r w:rsidR="00B173C6">
        <w:rPr>
          <w:lang w:eastAsia="ko-KR"/>
        </w:rPr>
        <w:t>.</w:t>
      </w:r>
      <w:r w:rsidR="00557897">
        <w:rPr>
          <w:lang w:eastAsia="ko-KR"/>
        </w:rPr>
        <w:t xml:space="preserve"> </w:t>
      </w:r>
      <w:r w:rsidR="00331568">
        <w:t>Last but not least, the nutritional value</w:t>
      </w:r>
      <w:r w:rsidR="0050583C">
        <w:t>s</w:t>
      </w:r>
      <w:r w:rsidR="00331568">
        <w:t xml:space="preserve"> (in terms of Scandinavian Feed Unit; SFU) of the marginal feed suppliers w</w:t>
      </w:r>
      <w:r w:rsidR="0050583C">
        <w:t>ere</w:t>
      </w:r>
      <w:r w:rsidR="00331568">
        <w:t xml:space="preserve"> calculated for each scenario as the weighted average of the</w:t>
      </w:r>
      <w:r w:rsidR="0050583C">
        <w:t xml:space="preserve"> SFU associated with each crop part of the marginal mix. </w:t>
      </w:r>
      <w:r w:rsidR="00331568">
        <w:t xml:space="preserve">The SFU </w:t>
      </w:r>
      <w:r w:rsidR="00557897">
        <w:t>was selected as</w:t>
      </w:r>
      <w:r w:rsidR="00331568">
        <w:t xml:space="preserve"> the basis on which the equivalence in terms of nutritional services</w:t>
      </w:r>
      <w:r w:rsidR="0050583C">
        <w:t xml:space="preserve"> provided</w:t>
      </w:r>
      <w:r w:rsidR="00331568">
        <w:t xml:space="preserve"> between conventional and novel feed ingredients</w:t>
      </w:r>
      <w:r w:rsidR="00557897">
        <w:t xml:space="preserve"> was estimated</w:t>
      </w:r>
      <w:r w:rsidR="00557897">
        <w:fldChar w:fldCharType="begin"/>
      </w:r>
      <w:r w:rsidR="00557897">
        <w:instrText xml:space="preserve"> ADDIN ZOTERO_ITEM CSL_CITATION {"citationID":"OfeRRrB6","properties":{"formattedCitation":"\\super 2\\nosupersub{}","plainCitation":"2","noteIndex":0},"citationItems":[{"id":13553,"uris":["http://zotero.org/users/6423791/items/EU8KLJZY"],"itemData":{"id":13553,"type":"article-journal","abstract":"Transforming residual biomass into edible ingredients is increasingly\npromoted to alleviate the environmental impacts of food systems. Yet,\nthese approaches mostly rely on emerging technologies and constrained\nresources, and their environmental benefits remain unclear. By combining\nprocess-based consequential life cycle analysis, uncertainty assessment\nand biomass resource estimation, we quantified the impacts of deploying\nwaste-to-nutrition pathways, here applied to the upgrading of agrifood\nco-products by solid-state fermentation (SSF). The benefits of reducing the\ndemand for soybean meal by enhancing the protein concentration of feed\nthrough SSF do not compensate for the environmental burdens induced\nby the process on climate change, water depletion and land use. Besides\nunlocking feed markets to low-feed-quality streams, SSF outperforms\nenergy valorization for most environmental impacts but is less competitive\nto mitigate climate change. Yet, SSF yields overall environmental benefits\nwhen unlocking food markets rather than supplying feed and energy\nservices. Systematic methodological harmonization is required to assess the\npotential of novel ingredients, as outcomes vary according to the displaced\nfood and feed baskets, and related land use changes.","container-title":"Nature Food","DOI":"10.1038/s43016-022-00621-9","journalAbbreviation":"Nat Food","language":"en","page":"911-920","title":"Upgrading agrifood co-products via solid fermentation yields environmental benefits under specific conditions only","volume":"3","author":[{"family":"Javourez","given":"Ugo"},{"family":"Rosero Delgado","given":"Ernesto Alonso"},{"family":"Hamelin","given":"Lorie"}],"issued":{"date-parts":[["2022",10,31]]}}}],"schema":"https://github.com/citation-style-language/schema/raw/master/csl-citation.json"} </w:instrText>
      </w:r>
      <w:r w:rsidR="00557897">
        <w:fldChar w:fldCharType="separate"/>
      </w:r>
      <w:r w:rsidR="00557897" w:rsidRPr="00557897">
        <w:rPr>
          <w:rFonts w:ascii="Calibri" w:hAnsi="Calibri" w:cs="Calibri"/>
          <w:szCs w:val="24"/>
          <w:vertAlign w:val="superscript"/>
        </w:rPr>
        <w:t>2</w:t>
      </w:r>
      <w:r w:rsidR="00557897">
        <w:fldChar w:fldCharType="end"/>
      </w:r>
      <w:r w:rsidR="00331568">
        <w:t>.</w:t>
      </w:r>
    </w:p>
    <w:p w14:paraId="6900D5B0" w14:textId="6C604018" w:rsidR="008919F5" w:rsidRPr="00793512" w:rsidRDefault="008919F5" w:rsidP="008919F5">
      <w:pPr>
        <w:pStyle w:val="Titre3"/>
      </w:pPr>
      <w:r>
        <w:t xml:space="preserve">Feed </w:t>
      </w:r>
      <w:r w:rsidRPr="00793512">
        <w:t>markets</w:t>
      </w:r>
      <w:r>
        <w:t xml:space="preserve"> modeling discussions</w:t>
      </w:r>
    </w:p>
    <w:p w14:paraId="0FBEEAEC" w14:textId="55852226" w:rsidR="0042160D" w:rsidRDefault="0042160D" w:rsidP="00557897">
      <w:pPr>
        <w:jc w:val="both"/>
      </w:pPr>
      <w:r>
        <w:t xml:space="preserve">Initially selected in the analysis as a fifth impact category, freshwater eutrophication was discarded afterwards. Indeed, with present modeling, </w:t>
      </w:r>
      <w:r w:rsidR="002B6435">
        <w:t xml:space="preserve">the marginal production of </w:t>
      </w:r>
      <w:r>
        <w:t>protein feed</w:t>
      </w:r>
      <w:r w:rsidR="002B6435">
        <w:t>s</w:t>
      </w:r>
      <w:r>
        <w:t xml:space="preserve"> was found to induce </w:t>
      </w:r>
      <w:r w:rsidR="00700E74">
        <w:t xml:space="preserve">a </w:t>
      </w:r>
      <w:r>
        <w:t>net freshwater eutrophication impacts</w:t>
      </w:r>
      <w:r w:rsidR="00700E74">
        <w:t xml:space="preserve"> mitigation</w:t>
      </w:r>
      <w:r>
        <w:t>. This is directly due to the use of rape</w:t>
      </w:r>
      <w:r w:rsidR="00700E74">
        <w:t>seed</w:t>
      </w:r>
      <w:r>
        <w:t xml:space="preserve"> oil and sunflower oil</w:t>
      </w:r>
      <w:r w:rsidR="00700E74">
        <w:t>,</w:t>
      </w:r>
      <w:r>
        <w:t xml:space="preserve"> co-produced along the protein meals, </w:t>
      </w:r>
      <w:r w:rsidR="00700E74">
        <w:t>to</w:t>
      </w:r>
      <w:r>
        <w:t xml:space="preserve"> substitute palm oil production. </w:t>
      </w:r>
      <w:r w:rsidRPr="00211763">
        <w:t xml:space="preserve">The latter hosts </w:t>
      </w:r>
      <w:r>
        <w:t>high (abnormally; ca. 0.02 kgPO</w:t>
      </w:r>
      <w:r w:rsidRPr="00852CE6">
        <w:rPr>
          <w:vertAlign w:val="subscript"/>
        </w:rPr>
        <w:t>4</w:t>
      </w:r>
      <w:r>
        <w:t>-</w:t>
      </w:r>
      <w:proofErr w:type="gramStart"/>
      <w:r>
        <w:t>eq.kg</w:t>
      </w:r>
      <w:r w:rsidRPr="00852CE6">
        <w:rPr>
          <w:vertAlign w:val="subscript"/>
        </w:rPr>
        <w:t>ww</w:t>
      </w:r>
      <w:proofErr w:type="gramEnd"/>
      <w:r w:rsidRPr="00852CE6">
        <w:rPr>
          <w:vertAlign w:val="superscript"/>
        </w:rPr>
        <w:t>-1</w:t>
      </w:r>
      <w:r>
        <w:t xml:space="preserve">) freshwater eutrophication impacts </w:t>
      </w:r>
      <w:r w:rsidR="00700E74">
        <w:t>according to the consequential</w:t>
      </w:r>
      <w:r>
        <w:t xml:space="preserve"> </w:t>
      </w:r>
      <w:proofErr w:type="spellStart"/>
      <w:r>
        <w:t>ecoinvent</w:t>
      </w:r>
      <w:proofErr w:type="spellEnd"/>
      <w:r>
        <w:t xml:space="preserve"> </w:t>
      </w:r>
      <w:r w:rsidR="00700E74">
        <w:t>product system</w:t>
      </w:r>
      <w:r>
        <w:t xml:space="preserve">, </w:t>
      </w:r>
      <w:r w:rsidR="00700E74">
        <w:t>documented as being</w:t>
      </w:r>
      <w:r>
        <w:t xml:space="preserve"> ass</w:t>
      </w:r>
      <w:r w:rsidRPr="00211763">
        <w:t xml:space="preserve">ociated with </w:t>
      </w:r>
      <w:r>
        <w:t xml:space="preserve">the </w:t>
      </w:r>
      <w:r w:rsidRPr="00211763">
        <w:t>oil refinery wastewater treatment</w:t>
      </w:r>
      <w:r>
        <w:t xml:space="preserve"> processes</w:t>
      </w:r>
      <w:r w:rsidRPr="00211763">
        <w:t>.</w:t>
      </w:r>
      <w:r>
        <w:t xml:space="preserve"> Under </w:t>
      </w:r>
      <w:r w:rsidR="00700E74">
        <w:t>the “</w:t>
      </w:r>
      <w:r>
        <w:t>ongoing food systems</w:t>
      </w:r>
      <w:r w:rsidR="00700E74">
        <w:t xml:space="preserve"> trends”</w:t>
      </w:r>
      <w:r>
        <w:t xml:space="preserve"> </w:t>
      </w:r>
      <w:r w:rsidR="00700E74">
        <w:t>scenario</w:t>
      </w:r>
      <w:r>
        <w:t>, this leads marginal lipids feed</w:t>
      </w:r>
      <w:r w:rsidR="00700E74">
        <w:t>s</w:t>
      </w:r>
      <w:r>
        <w:t xml:space="preserve"> suppliers to generate ca. 16 times as much freshwater eutrophication impacts as </w:t>
      </w:r>
      <w:r w:rsidR="00700E74">
        <w:t>carbohydrates</w:t>
      </w:r>
      <w:r>
        <w:t xml:space="preserve"> feed</w:t>
      </w:r>
      <w:r w:rsidR="00700E74">
        <w:t>s marginal supplies,</w:t>
      </w:r>
      <w:r>
        <w:t xml:space="preserve"> on a weight basis. Accordingly, avoiding the production of palm oil is so benefic that it more than </w:t>
      </w:r>
      <w:r w:rsidR="00700E74">
        <w:t>offsets the</w:t>
      </w:r>
      <w:r>
        <w:t xml:space="preserve"> freshwater eutrophication impacts associated with rapeseed and sunflower oil mill operations. In turn, the more protein-rich novel food</w:t>
      </w:r>
      <w:r w:rsidR="00700E74">
        <w:t>s</w:t>
      </w:r>
      <w:r>
        <w:t xml:space="preserve"> and feed</w:t>
      </w:r>
      <w:r w:rsidR="00700E74">
        <w:t>s</w:t>
      </w:r>
      <w:r>
        <w:t xml:space="preserve"> </w:t>
      </w:r>
      <w:r w:rsidR="00700E74">
        <w:t>are</w:t>
      </w:r>
      <w:r>
        <w:t xml:space="preserve"> produced, the worst for this impact category </w:t>
      </w:r>
      <w:r w:rsidR="00700E74">
        <w:t xml:space="preserve">as these would substitute </w:t>
      </w:r>
      <w:r>
        <w:t xml:space="preserve">rapeseed meal and sunflower meal </w:t>
      </w:r>
      <w:r w:rsidR="00700E74">
        <w:t>production, hence inducing an additional demand on palm oil</w:t>
      </w:r>
      <w:r>
        <w:t xml:space="preserve">. On the other hand, when these commodities are not part of the marginal </w:t>
      </w:r>
      <w:r w:rsidR="00700E74">
        <w:t xml:space="preserve">mix of </w:t>
      </w:r>
      <w:r>
        <w:t>protein feed</w:t>
      </w:r>
      <w:r w:rsidR="00700E74">
        <w:t>s</w:t>
      </w:r>
      <w:r>
        <w:t xml:space="preserve"> </w:t>
      </w:r>
      <w:r w:rsidR="00700E74">
        <w:t>suppliers</w:t>
      </w:r>
      <w:r>
        <w:t xml:space="preserve"> (e.g. in the “towards sustainable food systems” scenario), then LCA </w:t>
      </w:r>
      <w:r w:rsidR="00700E74">
        <w:t>scores</w:t>
      </w:r>
      <w:r>
        <w:t xml:space="preserve"> for freshwater eutrophication </w:t>
      </w:r>
      <w:r w:rsidR="00557897">
        <w:t>correlates with</w:t>
      </w:r>
      <w:r>
        <w:t xml:space="preserve"> marine eutrophication (hence not yielding additional insights). </w:t>
      </w:r>
      <w:r w:rsidR="00557897">
        <w:t>As a consequence,</w:t>
      </w:r>
      <w:r>
        <w:t xml:space="preserve"> the freshwater eutrophication impact category was discarded </w:t>
      </w:r>
      <w:r w:rsidR="00557897">
        <w:t xml:space="preserve">from the </w:t>
      </w:r>
      <w:r>
        <w:t>analysis.</w:t>
      </w:r>
    </w:p>
    <w:p w14:paraId="41F12648" w14:textId="130F9653" w:rsidR="00307795" w:rsidRDefault="00584195" w:rsidP="00FE3A70">
      <w:pPr>
        <w:jc w:val="both"/>
      </w:pPr>
      <w:r>
        <w:t xml:space="preserve">Identifying and assessing the environmental impacts of marginal </w:t>
      </w:r>
      <w:r w:rsidR="00FE3A70">
        <w:t xml:space="preserve">protein and </w:t>
      </w:r>
      <w:r w:rsidR="00307795">
        <w:t>lipids</w:t>
      </w:r>
      <w:r w:rsidR="00FE3A70">
        <w:t xml:space="preserve"> feed</w:t>
      </w:r>
      <w:r>
        <w:t>s</w:t>
      </w:r>
      <w:r w:rsidR="00FE3A70">
        <w:t xml:space="preserve"> </w:t>
      </w:r>
      <w:r>
        <w:t>suppliers</w:t>
      </w:r>
      <w:r w:rsidR="00FE3A70">
        <w:t xml:space="preserve"> highlight another challenge</w:t>
      </w:r>
      <w:r>
        <w:t>:</w:t>
      </w:r>
      <w:r w:rsidR="00FE3A70">
        <w:t xml:space="preserve"> the modeling of complex interrelations and retroactive loops between </w:t>
      </w:r>
      <w:r>
        <w:t>plant</w:t>
      </w:r>
      <w:r w:rsidR="00FE3A70">
        <w:t xml:space="preserve"> protein</w:t>
      </w:r>
      <w:r>
        <w:t>s</w:t>
      </w:r>
      <w:r w:rsidR="00FE3A70">
        <w:t xml:space="preserve"> and oil markets, due to the numerous co-products involved</w:t>
      </w:r>
      <w:r w:rsidR="00FE3A70">
        <w:fldChar w:fldCharType="begin"/>
      </w:r>
      <w:r w:rsidR="00C61A9E">
        <w:instrText xml:space="preserve"> ADDIN ZOTERO_ITEM CSL_CITATION {"citationID":"WakLM4BO","properties":{"formattedCitation":"\\super 11,12\\nosupersub{}","plainCitation":"11,12","noteIndex":0},"citationItems":[{"id":1241,"uris":["http://zotero.org/users/6423791/items/LK23CYL4"],"itemData":{"id":1241,"type":"article-journal","abstract":"The purpose of this study is to evaluate and compare the environmental performance of five different vegetable oils, including the relevant market responses induced by the oils' by-products. The oils under study are palm oil, soybean oil, rapeseed oil, sunflower oil and peanut oil. These oils are to a large extent substitutable and they are among the largest oils in terms of global production. Besides evaluating the environmental performance of each oil individually, the effect of reducing each one of the oils and replacing it with a mix of the others is also evaluated. The life cycle inventory is carried out using a consequential approach, which implies that co-product allocation is avoided by use of substitution, and that marginal market mixes are generally applied. The environmental performance is evaluated by focussing on global warming, land use and water consumption. With respect to global warming, rapeseed oil and sunflower oil are the best performing, followed by soybean oil and palm oil, and with peanut oil as the least good performing. For land use, palm oil and soybean oil are the oils associated with the smallest contribution, followed by rapeseed oil, and with sunflower oil and peanut oil as the oils with the largest net occupation of land. When focussing on water consumption (using the water stress index), sunflower oil had the smallest impact, followed by rapeseed oil, palm oil and soybean oil, and with peanut oil as the oil with the largest contribution.","container-title":"Journal of Cleaner Production","DOI":"10.1016/j.jclepro.2014.10.011","ISSN":"0959-6526","journalAbbreviation":"Journal of Cleaner Production","language":"en","page":"130-138","source":"ScienceDirect","title":"Life cycle assessment of five vegetable oils","volume":"87","author":[{"family":"Schmidt","given":"Jannick H."}],"issued":{"date-parts":[["2015",1,15]]}}},{"id":13271,"uris":["http://zotero.org/users/6423791/items/SAXP7SVW"],"itemData":{"id":13271,"type":"article-journal","abstract":"Soybean meal is an important protein input to the European livestock production, with Argentina being an important supplier. The area cultivated with soybeans is still increasing globally, and so are the number of LCAs where the production of soybean meal forms part of the product chain. In recent years there has been increasing focus on how soybean production affects the environment. The purpose of the study was to estimate the environmental consequences of soybean meal consumption using a consequential LCA approach. The functional unit is ‘one kg of soybean meal produced in Argentina and delivered to Rotterdam Harbor’.","container-title":"The International Journal of Life Cycle Assessment","DOI":"10.1065/lca2007.06.342","ISSN":"1614-7502","issue":"3","journalAbbreviation":"Int J Life Cycle Assess","language":"en","page":"240","source":"Springer Link","title":"LCA of soybean meal","volume":"13","author":[{"family":"Dalgaard","given":"Randi"},{"family":"Schmidt","given":"Jannick"},{"family":"Halberg","given":"Niels"},{"family":"Christensen","given":"Per"},{"family":"Thrane","given":"Mikkel"},{"family":"Pengue","given":"Walter A."}],"issued":{"date-parts":[["2007",6,11]]}}}],"schema":"https://github.com/citation-style-language/schema/raw/master/csl-citation.json"} </w:instrText>
      </w:r>
      <w:r w:rsidR="00FE3A70">
        <w:fldChar w:fldCharType="separate"/>
      </w:r>
      <w:r w:rsidR="00C61A9E" w:rsidRPr="00C61A9E">
        <w:rPr>
          <w:rFonts w:ascii="Calibri" w:hAnsi="Calibri" w:cs="Calibri"/>
          <w:szCs w:val="24"/>
          <w:vertAlign w:val="superscript"/>
        </w:rPr>
        <w:t>11,12</w:t>
      </w:r>
      <w:r w:rsidR="00FE3A70">
        <w:fldChar w:fldCharType="end"/>
      </w:r>
      <w:r w:rsidR="00FE3A70">
        <w:t>. Identif</w:t>
      </w:r>
      <w:r>
        <w:t>ying</w:t>
      </w:r>
      <w:r w:rsidR="00FE3A70">
        <w:t xml:space="preserve"> </w:t>
      </w:r>
      <w:r>
        <w:t>the</w:t>
      </w:r>
      <w:r w:rsidR="00FE3A70">
        <w:t xml:space="preserve"> marginal suppliers </w:t>
      </w:r>
      <w:r>
        <w:t>implies</w:t>
      </w:r>
      <w:r w:rsidR="00FE3A70">
        <w:t xml:space="preserve"> to </w:t>
      </w:r>
      <w:r>
        <w:t>determine</w:t>
      </w:r>
      <w:r w:rsidR="00FE3A70">
        <w:t xml:space="preserve"> the driving products for each markets and commodity production. </w:t>
      </w:r>
      <w:r>
        <w:t>Notabl</w:t>
      </w:r>
      <w:r w:rsidR="00FE3A70">
        <w:t xml:space="preserve">y, the main </w:t>
      </w:r>
      <w:r>
        <w:t>consequential databases</w:t>
      </w:r>
      <w:r w:rsidR="00FE3A70">
        <w:t xml:space="preserve"> and LCA studies are built around the fact that rape</w:t>
      </w:r>
      <w:r>
        <w:t>seed</w:t>
      </w:r>
      <w:r w:rsidR="00FE3A70">
        <w:t xml:space="preserve"> and sunflower are principally grown for </w:t>
      </w:r>
      <w:r>
        <w:t xml:space="preserve">vegetable </w:t>
      </w:r>
      <w:r w:rsidR="00FE3A70">
        <w:t>oil (driving product) and that soybean is principally grown for its protein meal (driving product). This is why the environmental performances of rape</w:t>
      </w:r>
      <w:r>
        <w:t>seed</w:t>
      </w:r>
      <w:r w:rsidR="00FE3A70">
        <w:t xml:space="preserve"> oil, sunflower oil and soybean meal are available in </w:t>
      </w:r>
      <w:r>
        <w:t xml:space="preserve">the </w:t>
      </w:r>
      <w:proofErr w:type="spellStart"/>
      <w:r w:rsidR="00FE3A70">
        <w:t>ecoinvent</w:t>
      </w:r>
      <w:proofErr w:type="spellEnd"/>
      <w:r w:rsidR="00FE3A70">
        <w:t xml:space="preserve"> consequential </w:t>
      </w:r>
      <w:r>
        <w:t>product system</w:t>
      </w:r>
      <w:r w:rsidR="00FE3A70">
        <w:t xml:space="preserve">, while the environmental performances of soybean oil, rape meal and sunflower meal are inexistent because considered as constrained </w:t>
      </w:r>
      <w:r w:rsidR="00FE3A70" w:rsidRPr="00835F21">
        <w:t>resource</w:t>
      </w:r>
      <w:r w:rsidR="00557897">
        <w:t>s</w:t>
      </w:r>
      <w:r w:rsidR="00FE3A70" w:rsidRPr="00835F21">
        <w:t xml:space="preserve"> (</w:t>
      </w:r>
      <w:r w:rsidR="00557897" w:rsidRPr="00557897">
        <w:rPr>
          <w:b/>
        </w:rPr>
        <w:fldChar w:fldCharType="begin"/>
      </w:r>
      <w:r w:rsidR="00557897" w:rsidRPr="00557897">
        <w:rPr>
          <w:b/>
        </w:rPr>
        <w:instrText xml:space="preserve"> REF _Ref151652626 \h </w:instrText>
      </w:r>
      <w:r w:rsidR="00557897">
        <w:rPr>
          <w:b/>
        </w:rPr>
        <w:instrText xml:space="preserve"> \* MERGEFORMAT </w:instrText>
      </w:r>
      <w:r w:rsidR="00557897" w:rsidRPr="00557897">
        <w:rPr>
          <w:b/>
        </w:rPr>
      </w:r>
      <w:r w:rsidR="00557897" w:rsidRPr="00557897">
        <w:rPr>
          <w:b/>
        </w:rPr>
        <w:fldChar w:fldCharType="separate"/>
      </w:r>
      <w:r w:rsidR="00557897" w:rsidRPr="00557897">
        <w:rPr>
          <w:b/>
        </w:rPr>
        <w:t>Table SI</w:t>
      </w:r>
      <w:r w:rsidR="00557897" w:rsidRPr="00557897">
        <w:rPr>
          <w:b/>
          <w:noProof/>
        </w:rPr>
        <w:t>9</w:t>
      </w:r>
      <w:r w:rsidR="00557897" w:rsidRPr="00557897">
        <w:rPr>
          <w:b/>
        </w:rPr>
        <w:fldChar w:fldCharType="end"/>
      </w:r>
      <w:r w:rsidR="00FE3A70" w:rsidRPr="00835F21">
        <w:t xml:space="preserve">). </w:t>
      </w:r>
      <w:r w:rsidR="00557897">
        <w:t>In</w:t>
      </w:r>
      <w:r w:rsidR="00FE3A70">
        <w:t xml:space="preserve"> a consequential LCA modeling framework using system expansion</w:t>
      </w:r>
      <w:r>
        <w:t xml:space="preserve"> with substitution</w:t>
      </w:r>
      <w:r w:rsidR="00FE3A70">
        <w:t xml:space="preserve">, the environmental performances of constrained resources are </w:t>
      </w:r>
      <w:r w:rsidR="00FE3A70">
        <w:lastRenderedPageBreak/>
        <w:t xml:space="preserve">necessarily </w:t>
      </w:r>
      <w:r>
        <w:t>equal to the</w:t>
      </w:r>
      <w:r w:rsidR="00FE3A70">
        <w:t xml:space="preserve"> environmental performances </w:t>
      </w:r>
      <w:r>
        <w:t>achieved by</w:t>
      </w:r>
      <w:r w:rsidR="00FE3A70">
        <w:t xml:space="preserve"> the marginal suppliers of the </w:t>
      </w:r>
      <w:r>
        <w:t xml:space="preserve">services provided by these </w:t>
      </w:r>
      <w:r w:rsidR="00FE3A70">
        <w:t xml:space="preserve">resources (in </w:t>
      </w:r>
      <w:proofErr w:type="spellStart"/>
      <w:r w:rsidR="00FE3A70">
        <w:t>ecoinvent</w:t>
      </w:r>
      <w:proofErr w:type="spellEnd"/>
      <w:r w:rsidR="00FE3A70">
        <w:t xml:space="preserve">; palm oil for vegetable oils and soybean meal for protein meals). Therefore, the impacts of </w:t>
      </w:r>
      <w:r>
        <w:t xml:space="preserve">the marginal suppliers of </w:t>
      </w:r>
      <w:r w:rsidR="00FE3A70">
        <w:t>protein and lipid</w:t>
      </w:r>
      <w:r w:rsidR="00307795">
        <w:t>s</w:t>
      </w:r>
      <w:r w:rsidR="00FE3A70">
        <w:t xml:space="preserve"> feed</w:t>
      </w:r>
      <w:r>
        <w:t>s</w:t>
      </w:r>
      <w:r w:rsidR="00FE3A70">
        <w:t xml:space="preserve"> services mostly </w:t>
      </w:r>
      <w:r>
        <w:t>rely</w:t>
      </w:r>
      <w:r w:rsidR="00FE3A70">
        <w:t xml:space="preserve"> on </w:t>
      </w:r>
      <w:r>
        <w:t xml:space="preserve">which will be the driving </w:t>
      </w:r>
      <w:r w:rsidR="00FE3A70">
        <w:t>product</w:t>
      </w:r>
      <w:r w:rsidR="00557897">
        <w:t xml:space="preserve"> between</w:t>
      </w:r>
      <w:r w:rsidR="00FE3A70">
        <w:t xml:space="preserve"> </w:t>
      </w:r>
      <w:r w:rsidR="00557897">
        <w:t xml:space="preserve">the </w:t>
      </w:r>
      <w:r w:rsidR="00FE3A70">
        <w:t xml:space="preserve">oil </w:t>
      </w:r>
      <w:r w:rsidR="00557897">
        <w:t>and</w:t>
      </w:r>
      <w:r w:rsidR="00FE3A70">
        <w:t xml:space="preserve"> meal fractions </w:t>
      </w:r>
      <w:r w:rsidR="00557897">
        <w:t>of</w:t>
      </w:r>
      <w:r w:rsidR="00FE3A70">
        <w:t xml:space="preserve"> oilseeds </w:t>
      </w:r>
      <w:r>
        <w:t xml:space="preserve">in future markets </w:t>
      </w:r>
      <w:r w:rsidR="00FE3A70">
        <w:t xml:space="preserve">(particularly </w:t>
      </w:r>
      <w:r>
        <w:t xml:space="preserve">for </w:t>
      </w:r>
      <w:r w:rsidR="00FE3A70">
        <w:t>rapeseed and sunflower). In this study,</w:t>
      </w:r>
      <w:r w:rsidR="00557897" w:rsidRPr="00557897">
        <w:t xml:space="preserve"> </w:t>
      </w:r>
      <w:r w:rsidR="00557897">
        <w:t xml:space="preserve">albeit unusual in consequential modeling, both meal and oil fractions of rapeseed and sunflower were assumed as driving products, </w:t>
      </w:r>
      <w:r>
        <w:t>based on the facts that</w:t>
      </w:r>
      <w:r w:rsidR="00557897">
        <w:t xml:space="preserve"> their production </w:t>
      </w:r>
      <w:r w:rsidR="00FE3A70">
        <w:t>is less concentrated than soybean production</w:t>
      </w:r>
      <w:r>
        <w:t xml:space="preserve"> (more producing regions)</w:t>
      </w:r>
      <w:r w:rsidR="00FE3A70">
        <w:t>, and the drivers more context-dependent</w:t>
      </w:r>
      <w:r w:rsidR="00FE3A70">
        <w:fldChar w:fldCharType="begin"/>
      </w:r>
      <w:r w:rsidR="00C61A9E">
        <w:instrText xml:space="preserve"> ADDIN ZOTERO_ITEM CSL_CITATION {"citationID":"4QUO3K5u","properties":{"formattedCitation":"\\super 9\\nosupersub{}","plainCitation":"9","noteIndex":0},"citationItems":[{"id":13772,"uris":["http://zotero.org/users/6423791/items/4WGQ8IFI"],"itemData":{"id":13772,"type":"book","event-place":"Paris","ISBN":"978-92-64-58870-7","language":"en","note":"DOI: 10.1787/f1b0b29c-en","publisher":"OECD Publishing","publisher-place":"Paris","source":"DOI.org (Crossref)","title":"OECD-FAO Agricultural Outlook 2022-2031","URL":"https://www.oecd-ilibrary.org/agriculture-and-food/oecd-fao-agricultural-outlook-2022-2031_f1b0b29c-en","author":[{"literal":"OECD/FAO"}],"accessed":{"date-parts":[["2022",10,14]]},"issued":{"date-parts":[["2022",6,29]]}}}],"schema":"https://github.com/citation-style-language/schema/raw/master/csl-citation.json"} </w:instrText>
      </w:r>
      <w:r w:rsidR="00FE3A70">
        <w:fldChar w:fldCharType="separate"/>
      </w:r>
      <w:r w:rsidR="00C61A9E" w:rsidRPr="00C61A9E">
        <w:rPr>
          <w:rFonts w:ascii="Calibri" w:hAnsi="Calibri" w:cs="Calibri"/>
          <w:szCs w:val="24"/>
          <w:vertAlign w:val="superscript"/>
        </w:rPr>
        <w:t>9</w:t>
      </w:r>
      <w:r w:rsidR="00FE3A70">
        <w:fldChar w:fldCharType="end"/>
      </w:r>
      <w:r w:rsidR="00FE3A70">
        <w:t>.</w:t>
      </w:r>
      <w:r w:rsidR="00307795">
        <w:t xml:space="preserve"> The LCA scores of the marginal protein and lipid feed services as calculated here were nevertheless found aligned with </w:t>
      </w:r>
      <w:r w:rsidR="00FE3A70">
        <w:t>comparable</w:t>
      </w:r>
      <w:r w:rsidR="00307795">
        <w:t xml:space="preserve"> previous estimations (that is, also stemming from a consequential modeling standpoint). </w:t>
      </w:r>
      <w:r w:rsidR="00FE3A70" w:rsidRPr="007C2186">
        <w:t xml:space="preserve">For </w:t>
      </w:r>
      <w:r w:rsidR="00307795">
        <w:t>instance</w:t>
      </w:r>
      <w:r w:rsidR="00FE3A70" w:rsidRPr="007C2186">
        <w:t>,</w:t>
      </w:r>
      <w:r w:rsidR="00FE3A70">
        <w:t xml:space="preserve"> </w:t>
      </w:r>
      <w:r w:rsidR="00307795">
        <w:t xml:space="preserve">in the </w:t>
      </w:r>
      <w:proofErr w:type="spellStart"/>
      <w:r w:rsidR="00307795">
        <w:t>ecoinvent</w:t>
      </w:r>
      <w:proofErr w:type="spellEnd"/>
      <w:r w:rsidR="00307795">
        <w:t xml:space="preserve"> consequential product system (v. 3.8; EF 3.0 LCIA method), the </w:t>
      </w:r>
      <w:r w:rsidR="00FE3A70">
        <w:t>“</w:t>
      </w:r>
      <w:r w:rsidR="00557897">
        <w:t>m</w:t>
      </w:r>
      <w:r w:rsidR="00FE3A70">
        <w:t xml:space="preserve">arket for soybean meal, </w:t>
      </w:r>
      <w:proofErr w:type="spellStart"/>
      <w:r w:rsidR="00FE3A70">
        <w:t>RoW</w:t>
      </w:r>
      <w:proofErr w:type="spellEnd"/>
      <w:r w:rsidR="00FE3A70">
        <w:t xml:space="preserve">” and </w:t>
      </w:r>
      <w:r w:rsidR="00307795">
        <w:t xml:space="preserve">the </w:t>
      </w:r>
      <w:r w:rsidR="00FE3A70">
        <w:t>“</w:t>
      </w:r>
      <w:r w:rsidR="00557897">
        <w:t>m</w:t>
      </w:r>
      <w:r w:rsidR="00FE3A70">
        <w:t xml:space="preserve">arket for palm oil, refined, GLO” </w:t>
      </w:r>
      <w:r w:rsidR="00557897">
        <w:t>activit</w:t>
      </w:r>
      <w:r w:rsidR="00307795">
        <w:t>ies respectively sum</w:t>
      </w:r>
      <w:r w:rsidR="00FE3A70">
        <w:t xml:space="preserve"> </w:t>
      </w:r>
      <w:r w:rsidR="00307795">
        <w:t>4.2 and 4.5 kgCO</w:t>
      </w:r>
      <w:r w:rsidR="00307795" w:rsidRPr="007C2186">
        <w:rPr>
          <w:vertAlign w:val="subscript"/>
        </w:rPr>
        <w:t>2</w:t>
      </w:r>
      <w:r w:rsidR="00307795">
        <w:t xml:space="preserve">-eq per </w:t>
      </w:r>
      <w:proofErr w:type="spellStart"/>
      <w:r w:rsidR="00307795">
        <w:t>kg</w:t>
      </w:r>
      <w:r w:rsidR="00307795" w:rsidRPr="007C2186">
        <w:rPr>
          <w:vertAlign w:val="subscript"/>
        </w:rPr>
        <w:t>ww</w:t>
      </w:r>
      <w:proofErr w:type="spellEnd"/>
      <w:r w:rsidR="00307795">
        <w:rPr>
          <w:vertAlign w:val="subscript"/>
        </w:rPr>
        <w:t xml:space="preserve"> </w:t>
      </w:r>
      <w:r w:rsidR="00307795" w:rsidRPr="00307795">
        <w:t>(GWP100)</w:t>
      </w:r>
      <w:r w:rsidR="00FE3A70">
        <w:fldChar w:fldCharType="begin"/>
      </w:r>
      <w:r w:rsidR="00C61A9E">
        <w:instrText xml:space="preserve"> ADDIN ZOTERO_ITEM CSL_CITATION {"citationID":"Xs3wjfph","properties":{"formattedCitation":"\\super 13\\nosupersub{}","plainCitation":"13","noteIndex":0},"citationItems":[{"id":13212,"uris":["http://zotero.org/users/6423791/items/ANAMP6NH"],"itemData":{"id":13212,"type":"webpage","language":"en-US","title":"ecoinvent databases","URL":"https://ecoinvent.org/","author":[{"literal":"ecoinvent"}],"accessed":{"date-parts":[["2022",5,1]]},"issued":{"date-parts":[["2022"]]}}}],"schema":"https://github.com/citation-style-language/schema/raw/master/csl-citation.json"} </w:instrText>
      </w:r>
      <w:r w:rsidR="00FE3A70">
        <w:fldChar w:fldCharType="separate"/>
      </w:r>
      <w:r w:rsidR="00C61A9E" w:rsidRPr="00C61A9E">
        <w:rPr>
          <w:rFonts w:ascii="Calibri" w:hAnsi="Calibri" w:cs="Calibri"/>
          <w:szCs w:val="24"/>
          <w:vertAlign w:val="superscript"/>
        </w:rPr>
        <w:t>13</w:t>
      </w:r>
      <w:r w:rsidR="00FE3A70">
        <w:fldChar w:fldCharType="end"/>
      </w:r>
      <w:r w:rsidR="00FE3A70">
        <w:t xml:space="preserve">. </w:t>
      </w:r>
      <w:r w:rsidR="00307795">
        <w:t>Moreover, marginal p</w:t>
      </w:r>
      <w:r w:rsidR="00FE3A70">
        <w:t xml:space="preserve">alm oil was also </w:t>
      </w:r>
      <w:r w:rsidR="00557897">
        <w:t>estimated</w:t>
      </w:r>
      <w:r w:rsidR="00FE3A70">
        <w:t xml:space="preserve"> by Schmidt and De Rosa</w:t>
      </w:r>
      <w:r w:rsidR="00307795">
        <w:t xml:space="preserve"> (</w:t>
      </w:r>
      <w:r w:rsidR="00FE3A70">
        <w:t>2020</w:t>
      </w:r>
      <w:r w:rsidR="00307795">
        <w:t>)</w:t>
      </w:r>
      <w:r w:rsidR="00FE3A70">
        <w:fldChar w:fldCharType="begin"/>
      </w:r>
      <w:r w:rsidR="00C61A9E">
        <w:instrText xml:space="preserve"> ADDIN ZOTERO_ITEM CSL_CITATION {"citationID":"rs6Cmyks","properties":{"formattedCitation":"\\super 14\\nosupersub{}","plainCitation":"14","noteIndex":0},"citationItems":[{"id":13976,"uris":["http://zotero.org/users/6423791/items/INQX22L9"],"itemData":{"id":13976,"type":"article-journal","abstract":"Consumers are increasingly demanding products containing palm oil produced without harm to the environment. The industry response to this demand has been the creation of the Roundtable on Sustainable Palm Oil (RSPO) and the development of a certification system to ensure sustainable palm oil production. However, currently there is no scientific evidence of the benefit gained through the RSPO certification schema. This paper quantifies the environmental impacts of RSPO certified and non-certified through a detailed Life Cycle Assessment (LCA) of 1 kg of RBD palm oil to factory gate, produced in Indonesia and Malaysia in 2016, to identify potential benefits and trade-offs of RSPO certification. The ISO 14040/14044 compliant LCA is carried out following both a consequential and an attributional LCA approach. The inventory model presents a high level of detail. Primary inventory data describing the certified production system are obtained from RSPO assessment reports, covering 73% (634 estates) of the certified estate, including 111 smallholders, and 58% (165 oil mills) of the certified mills. Data for the total industrial production are drawn from national statistics and scientific literature. The non-certified flows are derived by subtracting the certified flows from the total industry flows. The consequential results show that RSPO certified oil reduces GHG emission by 35% compared to non-certified i.e. 3.41 (2.61–4.48) kg CO2 eq./kg for certified vs 5.34 (3.34–8.16) kg CO2 eq./kg for non-certified. Based on a thorough data quality assessment and uncertainty analysis, this result is deemed sufficiently robust and thus conclusive. Certified production achieves the largest GHG emissions reduction because of higher yields, i.e. less land use per unit of product, less oil palm cultivated on peat soil and higher share of palm oil mill effluents treated with biogas capture technologies. We also found that nature occupation is reduced by 20% in certified production while respiratory inorganic is slightly higher (3%) in certified production, due to the larger use of fertilisers. For other impact categories, results are associated with a larger uncertainty and therefore shall be considered as indicative. Similar results are found in attributional modelling.","container-title":"Journal of Cleaner Production","DOI":"10.1016/j.jclepro.2020.124045","ISSN":"0959-6526","journalAbbreviation":"J Clean Prod","language":"en","page":"124045","source":"ScienceDirect","title":"Certified palm oil reduces greenhouse gas emissions compared to non-certified","volume":"277","author":[{"family":"Schmidt","given":"Jannick"},{"family":"De Rosa","given":"Michele"}],"issued":{"date-parts":[["2020",12,20]]}}}],"schema":"https://github.com/citation-style-language/schema/raw/master/csl-citation.json"} </w:instrText>
      </w:r>
      <w:r w:rsidR="00FE3A70">
        <w:fldChar w:fldCharType="separate"/>
      </w:r>
      <w:r w:rsidR="00C61A9E" w:rsidRPr="00C61A9E">
        <w:rPr>
          <w:rFonts w:ascii="Calibri" w:hAnsi="Calibri" w:cs="Calibri"/>
          <w:szCs w:val="24"/>
          <w:vertAlign w:val="superscript"/>
        </w:rPr>
        <w:t>14</w:t>
      </w:r>
      <w:r w:rsidR="00FE3A70">
        <w:fldChar w:fldCharType="end"/>
      </w:r>
      <w:r w:rsidR="00FE3A70">
        <w:t xml:space="preserve"> to generate an average of 5.34</w:t>
      </w:r>
      <w:r w:rsidR="00FE3A70" w:rsidRPr="002E38D6">
        <w:t xml:space="preserve"> </w:t>
      </w:r>
      <w:r w:rsidR="00FE3A70">
        <w:t>kgCO</w:t>
      </w:r>
      <w:r w:rsidR="00FE3A70" w:rsidRPr="007C2186">
        <w:rPr>
          <w:vertAlign w:val="subscript"/>
        </w:rPr>
        <w:t>2</w:t>
      </w:r>
      <w:r w:rsidR="00FE3A70">
        <w:t xml:space="preserve">-eq per </w:t>
      </w:r>
      <w:proofErr w:type="spellStart"/>
      <w:r w:rsidR="00FE3A70">
        <w:t>kg</w:t>
      </w:r>
      <w:r w:rsidR="00FE3A70" w:rsidRPr="007C2186">
        <w:rPr>
          <w:vertAlign w:val="subscript"/>
        </w:rPr>
        <w:t>ww</w:t>
      </w:r>
      <w:proofErr w:type="spellEnd"/>
      <w:r w:rsidR="00FE3A70">
        <w:t xml:space="preserve"> (ranging 3.34-8.16). </w:t>
      </w:r>
      <w:r w:rsidR="00307795">
        <w:t>Overall, the e</w:t>
      </w:r>
      <w:r w:rsidR="00557897">
        <w:t xml:space="preserve">ffects </w:t>
      </w:r>
      <w:r w:rsidR="00307795">
        <w:t xml:space="preserve">of different assumptions regarding the modeling and future trends of protein and lipids feed markets were deemed captured through the panel </w:t>
      </w:r>
      <w:r w:rsidR="00307795">
        <w:rPr>
          <w:lang w:eastAsia="ko-KR"/>
        </w:rPr>
        <w:t>the nine future food systems configurations.</w:t>
      </w:r>
    </w:p>
    <w:p w14:paraId="77465CBA" w14:textId="3BC2E5C3" w:rsidR="0042160D" w:rsidRDefault="00557897" w:rsidP="0042160D">
      <w:pPr>
        <w:jc w:val="both"/>
      </w:pPr>
      <w:r>
        <w:t xml:space="preserve">This is important to stress that </w:t>
      </w:r>
      <w:r w:rsidR="0042160D">
        <w:t>the magnitudes of LUC-related environmental impacts</w:t>
      </w:r>
      <w:r>
        <w:t xml:space="preserve"> are exploratory/indicative</w:t>
      </w:r>
      <w:r w:rsidR="00307795">
        <w:t xml:space="preserve"> only</w:t>
      </w:r>
      <w:r>
        <w:t>,</w:t>
      </w:r>
      <w:r w:rsidR="0042160D">
        <w:t xml:space="preserve"> </w:t>
      </w:r>
      <w:r>
        <w:t>because the calculation</w:t>
      </w:r>
      <w:r w:rsidR="0042160D">
        <w:t xml:space="preserve"> </w:t>
      </w:r>
      <w:r>
        <w:t>assumes that past ten years trends are extrapolated</w:t>
      </w:r>
      <w:r w:rsidR="00985E09">
        <w:t xml:space="preserve">. Estimations are not based on any kind of </w:t>
      </w:r>
      <w:r w:rsidR="0042160D">
        <w:t xml:space="preserve">future deforestation </w:t>
      </w:r>
      <w:r>
        <w:t>forecasts</w:t>
      </w:r>
      <w:r w:rsidR="00985E09">
        <w:t>, and this also applies for</w:t>
      </w:r>
      <w:r w:rsidR="0042160D">
        <w:t xml:space="preserve"> </w:t>
      </w:r>
      <w:r w:rsidR="00985E09">
        <w:t xml:space="preserve">future </w:t>
      </w:r>
      <w:r w:rsidR="0042160D">
        <w:t>marginal yields</w:t>
      </w:r>
      <w:r w:rsidR="00985E09">
        <w:t xml:space="preserve">: this implies that the </w:t>
      </w:r>
      <w:r w:rsidR="0042160D">
        <w:t xml:space="preserve">marginally-responding regions </w:t>
      </w:r>
      <w:r w:rsidR="00985E09">
        <w:t>in the future remain the same as for the</w:t>
      </w:r>
      <w:r w:rsidR="0042160D">
        <w:t xml:space="preserve"> past ten years</w:t>
      </w:r>
      <w:r w:rsidR="00985E09">
        <w:t>,</w:t>
      </w:r>
      <w:r w:rsidR="0042160D">
        <w:t xml:space="preserve"> for each crop. This is not seen as limiting the interpretation of the results, given that the sole influence of this factor on the </w:t>
      </w:r>
      <w:r w:rsidR="00985E09">
        <w:t>LCA scores</w:t>
      </w:r>
      <w:r w:rsidR="0042160D">
        <w:t xml:space="preserve"> is to size the magnitude of LUC impacts, wh</w:t>
      </w:r>
      <w:r w:rsidR="00985E09">
        <w:t>ose influence</w:t>
      </w:r>
      <w:r w:rsidR="0042160D">
        <w:t xml:space="preserve"> is already </w:t>
      </w:r>
      <w:r w:rsidR="00985E09">
        <w:t xml:space="preserve">assessed </w:t>
      </w:r>
      <w:r w:rsidR="0042160D">
        <w:t xml:space="preserve">by considering </w:t>
      </w:r>
      <w:r w:rsidR="00985E09">
        <w:t xml:space="preserve">three sets of </w:t>
      </w:r>
      <w:r w:rsidR="0042160D">
        <w:t xml:space="preserve">alternative marginal feed </w:t>
      </w:r>
      <w:r w:rsidR="00985E09">
        <w:t>suppliers</w:t>
      </w:r>
      <w:r w:rsidR="0042160D">
        <w:t xml:space="preserve"> mixes.</w:t>
      </w:r>
      <w:r w:rsidR="00783C90">
        <w:t xml:space="preserve"> </w:t>
      </w:r>
      <w:r w:rsidR="0042160D">
        <w:t xml:space="preserve">Despite intrinsic incomparability due to the different scope (impacts of marginal production vs current average production) and methodology applied (e.g. allocation vs system </w:t>
      </w:r>
      <w:r w:rsidR="0042160D" w:rsidRPr="00835F21">
        <w:t>expansion); LUC</w:t>
      </w:r>
      <w:r w:rsidR="0042160D">
        <w:t>-related impacts are</w:t>
      </w:r>
      <w:r w:rsidR="00783C90">
        <w:t xml:space="preserve"> also</w:t>
      </w:r>
      <w:r w:rsidR="0042160D">
        <w:t xml:space="preserve"> the main factors explaining the difference </w:t>
      </w:r>
      <w:r>
        <w:t xml:space="preserve">between the </w:t>
      </w:r>
      <w:r w:rsidR="00985E09">
        <w:t>LCA scores</w:t>
      </w:r>
      <w:r>
        <w:t xml:space="preserve"> of </w:t>
      </w:r>
      <w:r w:rsidR="0042160D">
        <w:t>food and feed commodities derived in this study and the ones commonly used (</w:t>
      </w:r>
      <w:r w:rsidR="00985E09">
        <w:t xml:space="preserve">for example in </w:t>
      </w:r>
      <w:r w:rsidR="0042160D">
        <w:t>France: ECOALIM</w:t>
      </w:r>
      <w:r w:rsidR="0042160D">
        <w:fldChar w:fldCharType="begin"/>
      </w:r>
      <w:r w:rsidR="00C61A9E">
        <w:instrText xml:space="preserve"> ADDIN ZOTERO_ITEM CSL_CITATION {"citationID":"x2epmErX","properties":{"formattedCitation":"\\super 15\\nosupersub{}","plainCitation":"15","noteIndex":0},"citationItems":[{"id":13979,"uris":["http://zotero.org/users/6423791/items/CYCKUUJL"],"itemData":{"id":13979,"type":"webpage","title":"ECOALIM database","URL":"https://www6.inrae.fr/ecoalim_eng/","author":[{"literal":"INRAE"}],"accessed":{"date-parts":[["2023",1,6]]},"issued":{"date-parts":[["2016"]]}}}],"schema":"https://github.com/citation-style-language/schema/raw/master/csl-citation.json"} </w:instrText>
      </w:r>
      <w:r w:rsidR="0042160D">
        <w:fldChar w:fldCharType="separate"/>
      </w:r>
      <w:r w:rsidR="00C61A9E" w:rsidRPr="00C61A9E">
        <w:rPr>
          <w:rFonts w:ascii="Calibri" w:hAnsi="Calibri" w:cs="Calibri"/>
          <w:szCs w:val="24"/>
          <w:vertAlign w:val="superscript"/>
        </w:rPr>
        <w:t>15</w:t>
      </w:r>
      <w:r w:rsidR="0042160D">
        <w:fldChar w:fldCharType="end"/>
      </w:r>
      <w:r w:rsidR="0042160D">
        <w:t xml:space="preserve"> and ecoinvent</w:t>
      </w:r>
      <w:r w:rsidR="0042160D">
        <w:fldChar w:fldCharType="begin"/>
      </w:r>
      <w:r w:rsidR="00C61A9E">
        <w:instrText xml:space="preserve"> ADDIN ZOTERO_ITEM CSL_CITATION {"citationID":"S9epZLYB","properties":{"formattedCitation":"\\super 13\\nosupersub{}","plainCitation":"13","noteIndex":0},"citationItems":[{"id":13212,"uris":["http://zotero.org/users/6423791/items/ANAMP6NH"],"itemData":{"id":13212,"type":"webpage","language":"en-US","title":"ecoinvent databases","URL":"https://ecoinvent.org/","author":[{"literal":"ecoinvent"}],"accessed":{"date-parts":[["2022",5,1]]},"issued":{"date-parts":[["2022"]]}}}],"schema":"https://github.com/citation-style-language/schema/raw/master/csl-citation.json"} </w:instrText>
      </w:r>
      <w:r w:rsidR="0042160D">
        <w:fldChar w:fldCharType="separate"/>
      </w:r>
      <w:r w:rsidR="00C61A9E" w:rsidRPr="00C61A9E">
        <w:rPr>
          <w:rFonts w:ascii="Calibri" w:hAnsi="Calibri" w:cs="Calibri"/>
          <w:szCs w:val="24"/>
          <w:vertAlign w:val="superscript"/>
        </w:rPr>
        <w:t>13</w:t>
      </w:r>
      <w:r w:rsidR="0042160D">
        <w:fldChar w:fldCharType="end"/>
      </w:r>
      <w:r w:rsidR="0042160D">
        <w:t xml:space="preserve"> databases). </w:t>
      </w:r>
      <w:r w:rsidR="00985E09">
        <w:t xml:space="preserve">This is another occasion to </w:t>
      </w:r>
      <w:r w:rsidR="0042160D">
        <w:t>highlight the importance to reach a common and robust LUC impacts accounting</w:t>
      </w:r>
      <w:r>
        <w:t xml:space="preserve"> strategy</w:t>
      </w:r>
      <w:r w:rsidR="0042160D">
        <w:t xml:space="preserve"> when it comes to assess </w:t>
      </w:r>
      <w:r>
        <w:t xml:space="preserve">the </w:t>
      </w:r>
      <w:r w:rsidR="0042160D">
        <w:t>future performances of food systems</w:t>
      </w:r>
      <w:r w:rsidR="00985E09">
        <w:t>,</w:t>
      </w:r>
      <w:r w:rsidR="0042160D">
        <w:t xml:space="preserve"> in a context of constrained (finite) availability of land. Indeed, there is still no consensus when it comes to integrate indirect LUC impacts in LCA</w:t>
      </w:r>
      <w:r w:rsidR="0042160D">
        <w:fldChar w:fldCharType="begin"/>
      </w:r>
      <w:r w:rsidR="00CD084F">
        <w:instrText xml:space="preserve"> ADDIN ZOTERO_ITEM CSL_CITATION {"citationID":"8zDrxngC","properties":{"formattedCitation":"\\super 16\\nosupersub{}","plainCitation":"16","noteIndex":0},"citationItems":[{"id":13930,"uris":["http://zotero.org/users/6423791/items/P28TEYKD"],"itemData":{"id":13930,"type":"book","publisher":"Publications Office of the European Union","title":"Prospective LCA methodology for novel and emerging technologies for bio-based products : the Planet Bio project","URL":"https://dx.doi.org/10.2760/167543","author":[{"literal":"European Commission"},{"literal":"Joint Research Centre"},{"literal":"Cucurachi, S."},{"literal":"Steubing, B."},{"literal":"Siebler, F."}],"issued":{"date-parts":[["2022"]]}}}],"schema":"https://github.com/citation-style-language/schema/raw/master/csl-citation.json"} </w:instrText>
      </w:r>
      <w:r w:rsidR="0042160D">
        <w:fldChar w:fldCharType="separate"/>
      </w:r>
      <w:r w:rsidR="00C61A9E" w:rsidRPr="00C61A9E">
        <w:rPr>
          <w:rFonts w:ascii="Calibri" w:hAnsi="Calibri" w:cs="Calibri"/>
          <w:szCs w:val="24"/>
          <w:vertAlign w:val="superscript"/>
        </w:rPr>
        <w:t>16</w:t>
      </w:r>
      <w:r w:rsidR="0042160D">
        <w:fldChar w:fldCharType="end"/>
      </w:r>
      <w:r w:rsidR="0042160D">
        <w:t>.</w:t>
      </w:r>
    </w:p>
    <w:p w14:paraId="0E5390A4" w14:textId="0E6FBA58" w:rsidR="004D6F85" w:rsidRPr="00793512" w:rsidRDefault="004D6F85" w:rsidP="004D6F85">
      <w:pPr>
        <w:pStyle w:val="Titre3"/>
      </w:pPr>
      <w:r>
        <w:t xml:space="preserve">Food </w:t>
      </w:r>
      <w:r w:rsidRPr="00793512">
        <w:t>markets</w:t>
      </w:r>
    </w:p>
    <w:p w14:paraId="6533B1B6" w14:textId="2D102B5F" w:rsidR="004D6F85" w:rsidRPr="004D6F85" w:rsidRDefault="00D0724D" w:rsidP="00D0724D">
      <w:pPr>
        <w:jc w:val="both"/>
      </w:pPr>
      <w:r>
        <w:t xml:space="preserve">Here, </w:t>
      </w:r>
      <w:r w:rsidR="004D6F85" w:rsidRPr="004D6F85">
        <w:t xml:space="preserve">the only </w:t>
      </w:r>
      <w:r w:rsidR="009F001D">
        <w:t xml:space="preserve">waste valorization </w:t>
      </w:r>
      <w:r w:rsidR="004D6F85" w:rsidRPr="004D6F85">
        <w:t xml:space="preserve">pathways </w:t>
      </w:r>
      <w:r>
        <w:t>producing</w:t>
      </w:r>
      <w:r w:rsidR="004D6F85" w:rsidRPr="004D6F85">
        <w:t xml:space="preserve"> food </w:t>
      </w:r>
      <w:r>
        <w:t>ingredients</w:t>
      </w:r>
      <w:r w:rsidR="004D6F85" w:rsidRPr="004D6F85">
        <w:t xml:space="preserve"> either </w:t>
      </w:r>
      <w:r>
        <w:t>target</w:t>
      </w:r>
      <w:r w:rsidR="004D6F85" w:rsidRPr="004D6F85">
        <w:t xml:space="preserve"> meat-equivalent or flour-</w:t>
      </w:r>
      <w:r w:rsidR="009F001D">
        <w:t>equivalent</w:t>
      </w:r>
      <w:r w:rsidR="004D6F85" w:rsidRPr="004D6F85">
        <w:t xml:space="preserve"> markets</w:t>
      </w:r>
      <w:r>
        <w:fldChar w:fldCharType="begin"/>
      </w:r>
      <w:r w:rsidR="00CD084F">
        <w:instrText xml:space="preserve"> ADDIN ZOTERO_ITEM CSL_CITATION {"citationID":"cklJECKB","properties":{"formattedCitation":"\\super 1\\nosupersub{}","plainCitation":"1","noteIndex":0},"citationItems":[{"id":14334,"uris":["http://zotero.org/users/6423791/items/VWPZYH5Z"],"itemData":{"id":14334,"type":"article","DOI":"https://doi.org/10.21203/rs.3.rs-3671083/v1","genre":"preprint","publisher":"Research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pathways","author":[{"family":"Javourez","given":"U."},{"family":"Tiruta-Barna","given":"L."},{"family":"Hamelin","given":"L."}],"issued":{"date-parts":[["2023",11,20]]}}}],"schema":"https://github.com/citation-style-language/schema/raw/master/csl-citation.json"} </w:instrText>
      </w:r>
      <w:r>
        <w:fldChar w:fldCharType="separate"/>
      </w:r>
      <w:r w:rsidRPr="00D0724D">
        <w:rPr>
          <w:rFonts w:ascii="Calibri" w:hAnsi="Calibri" w:cs="Calibri"/>
          <w:szCs w:val="24"/>
          <w:vertAlign w:val="superscript"/>
        </w:rPr>
        <w:t>1</w:t>
      </w:r>
      <w:r>
        <w:fldChar w:fldCharType="end"/>
      </w:r>
      <w:r w:rsidR="004D6F85" w:rsidRPr="004D6F85">
        <w:t>. For the latter, the modeling developed in Javourez et al., 2022</w:t>
      </w:r>
      <w:r w:rsidR="004D6F85">
        <w:fldChar w:fldCharType="begin"/>
      </w:r>
      <w:r w:rsidR="00690075">
        <w:instrText xml:space="preserve"> ADDIN ZOTERO_ITEM CSL_CITATION {"citationID":"DnDbVZU7","properties":{"formattedCitation":"\\super 2\\nosupersub{}","plainCitation":"2","noteIndex":0},"citationItems":[{"id":13553,"uris":["http://zotero.org/users/6423791/items/EU8KLJZY"],"itemData":{"id":13553,"type":"article-journal","abstract":"Transforming residual biomass into edible ingredients is increasingly\npromoted to alleviate the environmental impacts of food systems. Yet,\nthese approaches mostly rely on emerging technologies and constrained\nresources, and their environmental benefits remain unclear. By combining\nprocess-based consequential life cycle analysis, uncertainty assessment\nand biomass resource estimation, we quantified the impacts of deploying\nwaste-to-nutrition pathways, here applied to the upgrading of agrifood\nco-products by solid-state fermentation (SSF). The benefits of reducing the\ndemand for soybean meal by enhancing the protein concentration of feed\nthrough SSF do not compensate for the environmental burdens induced\nby the process on climate change, water depletion and land use. Besides\nunlocking feed markets to low-feed-quality streams, SSF outperforms\nenergy valorization for most environmental impacts but is less competitive\nto mitigate climate change. Yet, SSF yields overall environmental benefits\nwhen unlocking food markets rather than supplying feed and energy\nservices. Systematic methodological harmonization is required to assess the\npotential of novel ingredients, as outcomes vary according to the displaced\nfood and feed baskets, and related land use changes.","container-title":"Nature Food","DOI":"10.1038/s43016-022-00621-9","journalAbbreviation":"Nat Food","language":"en","page":"911-920","title":"Upgrading agrifood co-products via solid fermentation yields environmental benefits under specific conditions only","volume":"3","author":[{"family":"Javourez","given":"Ugo"},{"family":"Rosero Delgado","given":"Ernesto Alonso"},{"family":"Hamelin","given":"Lorie"}],"issued":{"date-parts":[["2022",10,31]]}}}],"schema":"https://github.com/citation-style-language/schema/raw/master/csl-citation.json"} </w:instrText>
      </w:r>
      <w:r w:rsidR="004D6F85">
        <w:fldChar w:fldCharType="separate"/>
      </w:r>
      <w:r w:rsidR="00690075" w:rsidRPr="00690075">
        <w:rPr>
          <w:rFonts w:ascii="Calibri" w:hAnsi="Calibri" w:cs="Calibri"/>
          <w:szCs w:val="24"/>
          <w:vertAlign w:val="superscript"/>
        </w:rPr>
        <w:t>2</w:t>
      </w:r>
      <w:r w:rsidR="004D6F85">
        <w:fldChar w:fldCharType="end"/>
      </w:r>
      <w:r w:rsidR="004D6F85" w:rsidRPr="004D6F85">
        <w:t xml:space="preserve"> was reused (i.e. substitution of marginal wheat flour on a weight basis). The case of </w:t>
      </w:r>
      <w:r w:rsidR="009F001D">
        <w:t xml:space="preserve">identifying and modeling the </w:t>
      </w:r>
      <w:r w:rsidR="004D6F85" w:rsidRPr="004D6F85">
        <w:t xml:space="preserve">marginal </w:t>
      </w:r>
      <w:r w:rsidR="009F001D">
        <w:t xml:space="preserve">suppliers and environmental impacts of </w:t>
      </w:r>
      <w:r w:rsidR="004D6F85" w:rsidRPr="004D6F85">
        <w:t>meat-equivalent services is further detailed.</w:t>
      </w:r>
    </w:p>
    <w:p w14:paraId="1A87EBD1" w14:textId="79922303" w:rsidR="004D6F85" w:rsidRDefault="004D6F85" w:rsidP="004D6F85">
      <w:pPr>
        <w:jc w:val="both"/>
      </w:pPr>
      <w:r>
        <w:t xml:space="preserve">Meat-equivalent </w:t>
      </w:r>
      <w:r w:rsidR="009F001D">
        <w:t>services</w:t>
      </w:r>
      <w:r>
        <w:t xml:space="preserve"> </w:t>
      </w:r>
      <w:r w:rsidR="000E120C">
        <w:t>were</w:t>
      </w:r>
      <w:r>
        <w:t xml:space="preserve"> considered </w:t>
      </w:r>
      <w:r w:rsidR="009F001D">
        <w:t xml:space="preserve">supplied </w:t>
      </w:r>
      <w:r>
        <w:t>either</w:t>
      </w:r>
      <w:r w:rsidR="009F001D">
        <w:t xml:space="preserve"> through</w:t>
      </w:r>
      <w:r>
        <w:t xml:space="preserve"> </w:t>
      </w:r>
      <w:r w:rsidR="009F001D">
        <w:t>animal</w:t>
      </w:r>
      <w:r>
        <w:t>-</w:t>
      </w:r>
      <w:r w:rsidR="009F001D">
        <w:t>based meat</w:t>
      </w:r>
      <w:r>
        <w:t xml:space="preserve"> or plant-based</w:t>
      </w:r>
      <w:r w:rsidR="009F001D">
        <w:t xml:space="preserve"> meat analogues</w:t>
      </w:r>
      <w:r>
        <w:t xml:space="preserve">. The marginal </w:t>
      </w:r>
      <w:r w:rsidR="009F001D">
        <w:t>animal-based</w:t>
      </w:r>
      <w:r>
        <w:t xml:space="preserve"> meat suppliers</w:t>
      </w:r>
      <w:r w:rsidR="009F001D">
        <w:t>,</w:t>
      </w:r>
      <w:r>
        <w:t xml:space="preserve"> </w:t>
      </w:r>
      <w:r w:rsidR="000E120C">
        <w:t xml:space="preserve">identified based on </w:t>
      </w:r>
      <w:r>
        <w:t>last ten years</w:t>
      </w:r>
      <w:r w:rsidR="000E120C">
        <w:t xml:space="preserve"> production</w:t>
      </w:r>
      <w:r>
        <w:t xml:space="preserve"> </w:t>
      </w:r>
      <w:r w:rsidR="009F001D">
        <w:t xml:space="preserve">data </w:t>
      </w:r>
      <w:r>
        <w:t>(FAOSTAT</w:t>
      </w:r>
      <w:r>
        <w:fldChar w:fldCharType="begin"/>
      </w:r>
      <w:r w:rsidR="00C61A9E">
        <w:instrText xml:space="preserve"> ADDIN ZOTERO_ITEM CSL_CITATION {"citationID":"CsWUpEDv","properties":{"formattedCitation":"\\super 17\\nosupersub{}","plainCitation":"17","noteIndex":0},"citationItems":[{"id":2213,"uris":["http://zotero.org/users/6423791/items/CDP7ZBVY"],"itemData":{"id":2213,"type":"webpage","title":"FAOSTAT","URL":"http://www.fao.org/faostat/en/","author":[{"literal":"FAO"}],"accessed":{"date-parts":[["2021",10,28]]},"issued":{"date-parts":[["2019"]]}}}],"schema":"https://github.com/citation-style-language/schema/raw/master/csl-citation.json"} </w:instrText>
      </w:r>
      <w:r>
        <w:fldChar w:fldCharType="separate"/>
      </w:r>
      <w:r w:rsidR="00C61A9E" w:rsidRPr="00C61A9E">
        <w:rPr>
          <w:rFonts w:ascii="Calibri" w:hAnsi="Calibri" w:cs="Calibri"/>
          <w:szCs w:val="24"/>
          <w:vertAlign w:val="superscript"/>
        </w:rPr>
        <w:t>17</w:t>
      </w:r>
      <w:r>
        <w:fldChar w:fldCharType="end"/>
      </w:r>
      <w:r>
        <w:t>)</w:t>
      </w:r>
      <w:r w:rsidR="009F001D">
        <w:t>,</w:t>
      </w:r>
      <w:r>
        <w:t xml:space="preserve"> are reported in </w:t>
      </w:r>
      <w:r w:rsidR="000E120C" w:rsidRPr="000E120C">
        <w:rPr>
          <w:b/>
        </w:rPr>
        <w:fldChar w:fldCharType="begin"/>
      </w:r>
      <w:r w:rsidR="000E120C" w:rsidRPr="000E120C">
        <w:rPr>
          <w:b/>
        </w:rPr>
        <w:instrText xml:space="preserve"> REF _Ref151655213 \h </w:instrText>
      </w:r>
      <w:r w:rsidR="000E120C">
        <w:rPr>
          <w:b/>
        </w:rPr>
        <w:instrText xml:space="preserve"> \* MERGEFORMAT </w:instrText>
      </w:r>
      <w:r w:rsidR="000E120C" w:rsidRPr="000E120C">
        <w:rPr>
          <w:b/>
        </w:rPr>
      </w:r>
      <w:r w:rsidR="000E120C" w:rsidRPr="000E120C">
        <w:rPr>
          <w:b/>
        </w:rPr>
        <w:fldChar w:fldCharType="separate"/>
      </w:r>
      <w:r w:rsidR="000E120C" w:rsidRPr="000E120C">
        <w:rPr>
          <w:b/>
        </w:rPr>
        <w:t>Table SI</w:t>
      </w:r>
      <w:r w:rsidR="000E120C" w:rsidRPr="000E120C">
        <w:rPr>
          <w:b/>
          <w:noProof/>
        </w:rPr>
        <w:t>12</w:t>
      </w:r>
      <w:r w:rsidR="000E120C" w:rsidRPr="000E120C">
        <w:rPr>
          <w:b/>
        </w:rPr>
        <w:fldChar w:fldCharType="end"/>
      </w:r>
      <w:r>
        <w:t xml:space="preserve">. </w:t>
      </w:r>
      <w:r w:rsidR="007B2F84">
        <w:t>T</w:t>
      </w:r>
      <w:r w:rsidRPr="005A6FC0">
        <w:t xml:space="preserve">he demand for beef meat slightly </w:t>
      </w:r>
      <w:r w:rsidR="007B2F84" w:rsidRPr="005A6FC0">
        <w:t>increases</w:t>
      </w:r>
      <w:r w:rsidRPr="005A6FC0">
        <w:t xml:space="preserve"> at the world scale, </w:t>
      </w:r>
      <w:r w:rsidR="007B2F84">
        <w:t xml:space="preserve">but </w:t>
      </w:r>
      <w:r w:rsidRPr="005A6FC0">
        <w:t xml:space="preserve">is stagnating or decreasing in Europe. </w:t>
      </w:r>
      <w:r w:rsidR="007B2F84">
        <w:t>Global</w:t>
      </w:r>
      <w:r w:rsidRPr="005A6FC0">
        <w:t xml:space="preserve"> increase</w:t>
      </w:r>
      <w:r w:rsidR="007B2F84">
        <w:t>s</w:t>
      </w:r>
      <w:r w:rsidRPr="005A6FC0">
        <w:t xml:space="preserve"> in meat demand is mainly supported by poultry and swine</w:t>
      </w:r>
      <w:r w:rsidR="007B2F84">
        <w:t xml:space="preserve"> meat</w:t>
      </w:r>
      <w:r>
        <w:t>. The OECD-FAO agricultural outlook</w:t>
      </w:r>
      <w:r>
        <w:fldChar w:fldCharType="begin"/>
      </w:r>
      <w:r w:rsidR="00C61A9E">
        <w:instrText xml:space="preserve"> ADDIN ZOTERO_ITEM CSL_CITATION {"citationID":"ppve0xKL","properties":{"formattedCitation":"\\super 9\\nosupersub{}","plainCitation":"9","noteIndex":0},"citationItems":[{"id":13772,"uris":["http://zotero.org/users/6423791/items/4WGQ8IFI"],"itemData":{"id":13772,"type":"book","event-place":"Paris","ISBN":"978-92-64-58870-7","language":"en","note":"DOI: 10.1787/f1b0b29c-en","publisher":"OECD Publishing","publisher-place":"Paris","source":"DOI.org (Crossref)","title":"OECD-FAO Agricultural Outlook 2022-2031","URL":"https://www.oecd-ilibrary.org/agriculture-and-food/oecd-fao-agricultural-outlook-2022-2031_f1b0b29c-en","author":[{"literal":"OECD/FAO"}],"accessed":{"date-parts":[["2022",10,14]]},"issued":{"date-parts":[["2022",6,29]]}}}],"schema":"https://github.com/citation-style-language/schema/raw/master/csl-citation.json"} </w:instrText>
      </w:r>
      <w:r>
        <w:fldChar w:fldCharType="separate"/>
      </w:r>
      <w:r w:rsidR="00C61A9E" w:rsidRPr="00C61A9E">
        <w:rPr>
          <w:rFonts w:ascii="Calibri" w:hAnsi="Calibri" w:cs="Calibri"/>
          <w:szCs w:val="24"/>
          <w:vertAlign w:val="superscript"/>
        </w:rPr>
        <w:t>9</w:t>
      </w:r>
      <w:r>
        <w:fldChar w:fldCharType="end"/>
      </w:r>
      <w:r>
        <w:t xml:space="preserve"> forecasts that the long-term shift towards poultry meat will continue, and that poultry meat and swine meat will both grow by ca. 16% in next decade, mostly driven by developing countries. International trading is also expected to expand</w:t>
      </w:r>
      <w:r>
        <w:fldChar w:fldCharType="begin"/>
      </w:r>
      <w:r w:rsidR="00C61A9E">
        <w:instrText xml:space="preserve"> ADDIN ZOTERO_ITEM CSL_CITATION {"citationID":"PbhJmwVi","properties":{"formattedCitation":"\\super 9\\nosupersub{}","plainCitation":"9","noteIndex":0},"citationItems":[{"id":13772,"uris":["http://zotero.org/users/6423791/items/4WGQ8IFI"],"itemData":{"id":13772,"type":"book","event-place":"Paris","ISBN":"978-92-64-58870-7","language":"en","note":"DOI: 10.1787/f1b0b29c-en","publisher":"OECD Publishing","publisher-place":"Paris","source":"DOI.org (Crossref)","title":"OECD-FAO Agricultural Outlook 2022-2031","URL":"https://www.oecd-ilibrary.org/agriculture-and-food/oecd-fao-agricultural-outlook-2022-2031_f1b0b29c-en","author":[{"literal":"OECD/FAO"}],"accessed":{"date-parts":[["2022",10,14]]},"issued":{"date-parts":[["2022",6,29]]}}}],"schema":"https://github.com/citation-style-language/schema/raw/master/csl-citation.json"} </w:instrText>
      </w:r>
      <w:r>
        <w:fldChar w:fldCharType="separate"/>
      </w:r>
      <w:r w:rsidR="00C61A9E" w:rsidRPr="00C61A9E">
        <w:rPr>
          <w:rFonts w:ascii="Calibri" w:hAnsi="Calibri" w:cs="Calibri"/>
          <w:szCs w:val="24"/>
          <w:vertAlign w:val="superscript"/>
        </w:rPr>
        <w:t>9</w:t>
      </w:r>
      <w:r>
        <w:fldChar w:fldCharType="end"/>
      </w:r>
      <w:r>
        <w:t>, so “GLO” inventories were selected (</w:t>
      </w:r>
      <w:r w:rsidR="000E120C" w:rsidRPr="000E120C">
        <w:rPr>
          <w:b/>
        </w:rPr>
        <w:fldChar w:fldCharType="begin"/>
      </w:r>
      <w:r w:rsidR="000E120C" w:rsidRPr="000E120C">
        <w:rPr>
          <w:b/>
        </w:rPr>
        <w:instrText xml:space="preserve"> REF _Ref151655275 \h </w:instrText>
      </w:r>
      <w:r w:rsidR="000E120C">
        <w:rPr>
          <w:b/>
        </w:rPr>
        <w:instrText xml:space="preserve"> \* MERGEFORMAT </w:instrText>
      </w:r>
      <w:r w:rsidR="000E120C" w:rsidRPr="000E120C">
        <w:rPr>
          <w:b/>
        </w:rPr>
      </w:r>
      <w:r w:rsidR="000E120C" w:rsidRPr="000E120C">
        <w:rPr>
          <w:b/>
        </w:rPr>
        <w:fldChar w:fldCharType="separate"/>
      </w:r>
      <w:r w:rsidR="000E120C" w:rsidRPr="000E120C">
        <w:rPr>
          <w:b/>
        </w:rPr>
        <w:t>Table SI</w:t>
      </w:r>
      <w:r w:rsidR="000E120C" w:rsidRPr="000E120C">
        <w:rPr>
          <w:b/>
          <w:noProof/>
        </w:rPr>
        <w:t>13</w:t>
      </w:r>
      <w:r w:rsidR="000E120C" w:rsidRPr="000E120C">
        <w:rPr>
          <w:b/>
        </w:rPr>
        <w:fldChar w:fldCharType="end"/>
      </w:r>
      <w:r>
        <w:t xml:space="preserve">). For all scenarios, </w:t>
      </w:r>
      <w:r w:rsidR="007B2F84">
        <w:t>the additional demand for</w:t>
      </w:r>
      <w:r>
        <w:t xml:space="preserve"> </w:t>
      </w:r>
      <w:r w:rsidR="007B2F84">
        <w:t xml:space="preserve">animal-based </w:t>
      </w:r>
      <w:r>
        <w:t xml:space="preserve">meat </w:t>
      </w:r>
      <w:r w:rsidR="007B2F84">
        <w:t>was</w:t>
      </w:r>
      <w:r>
        <w:t xml:space="preserve"> assumed supplied by a mix of poultry and swine (</w:t>
      </w:r>
      <w:r w:rsidR="000E120C" w:rsidRPr="000E120C">
        <w:rPr>
          <w:b/>
        </w:rPr>
        <w:fldChar w:fldCharType="begin"/>
      </w:r>
      <w:r w:rsidR="000E120C" w:rsidRPr="000E120C">
        <w:rPr>
          <w:b/>
        </w:rPr>
        <w:instrText xml:space="preserve"> REF _Ref151655213 \h </w:instrText>
      </w:r>
      <w:r w:rsidR="000E120C">
        <w:rPr>
          <w:b/>
        </w:rPr>
        <w:instrText xml:space="preserve"> \* MERGEFORMAT </w:instrText>
      </w:r>
      <w:r w:rsidR="000E120C" w:rsidRPr="000E120C">
        <w:rPr>
          <w:b/>
        </w:rPr>
      </w:r>
      <w:r w:rsidR="000E120C" w:rsidRPr="000E120C">
        <w:rPr>
          <w:b/>
        </w:rPr>
        <w:fldChar w:fldCharType="separate"/>
      </w:r>
      <w:r w:rsidR="000E120C" w:rsidRPr="000E120C">
        <w:rPr>
          <w:b/>
        </w:rPr>
        <w:t>Table SI</w:t>
      </w:r>
      <w:r w:rsidR="000E120C" w:rsidRPr="000E120C">
        <w:rPr>
          <w:b/>
          <w:noProof/>
        </w:rPr>
        <w:t>12</w:t>
      </w:r>
      <w:r w:rsidR="000E120C" w:rsidRPr="000E120C">
        <w:rPr>
          <w:b/>
        </w:rPr>
        <w:fldChar w:fldCharType="end"/>
      </w:r>
      <w:r>
        <w:t xml:space="preserve">). The other </w:t>
      </w:r>
      <w:r>
        <w:lastRenderedPageBreak/>
        <w:t>livestock</w:t>
      </w:r>
      <w:r w:rsidR="007B2F84">
        <w:t xml:space="preserve"> types</w:t>
      </w:r>
      <w:r>
        <w:t xml:space="preserve"> were excluded from the </w:t>
      </w:r>
      <w:r w:rsidR="007B2F84">
        <w:t xml:space="preserve">mixes of </w:t>
      </w:r>
      <w:r>
        <w:t xml:space="preserve">future marginal </w:t>
      </w:r>
      <w:r w:rsidR="007B2F84">
        <w:t xml:space="preserve">suppliers </w:t>
      </w:r>
      <w:r>
        <w:t xml:space="preserve">for simplification and because minoritarians </w:t>
      </w:r>
      <w:r w:rsidR="007B2F84">
        <w:t>in</w:t>
      </w:r>
      <w:r>
        <w:t xml:space="preserve"> Europe</w:t>
      </w:r>
      <w:r w:rsidR="007B2F84">
        <w:t>an markets</w:t>
      </w:r>
      <w:r>
        <w:t>.</w:t>
      </w:r>
      <w:r w:rsidR="00153CB2">
        <w:t xml:space="preserve"> The </w:t>
      </w:r>
      <w:r w:rsidR="007B2F84">
        <w:t>share</w:t>
      </w:r>
      <w:r w:rsidR="00153CB2">
        <w:t xml:space="preserve"> of poultry and swine </w:t>
      </w:r>
      <w:r w:rsidR="007B2F84">
        <w:t xml:space="preserve">meat </w:t>
      </w:r>
      <w:r w:rsidR="00153CB2">
        <w:t>was assumed fixed</w:t>
      </w:r>
      <w:r w:rsidR="007B2F84">
        <w:t xml:space="preserve"> also for simplifications</w:t>
      </w:r>
      <w:r w:rsidR="00153CB2">
        <w:t xml:space="preserve">, </w:t>
      </w:r>
      <w:r w:rsidR="007B2F84">
        <w:t xml:space="preserve">as </w:t>
      </w:r>
      <w:r w:rsidR="00153CB2">
        <w:t xml:space="preserve">the range of </w:t>
      </w:r>
      <w:r w:rsidR="007B2F84">
        <w:t>their</w:t>
      </w:r>
      <w:r w:rsidR="00153CB2">
        <w:t xml:space="preserve"> environmental impacts </w:t>
      </w:r>
      <w:r w:rsidR="007B2F84">
        <w:t>is</w:t>
      </w:r>
      <w:r w:rsidR="00153CB2">
        <w:t xml:space="preserve"> already screened through the different feed</w:t>
      </w:r>
      <w:r w:rsidR="007B2F84">
        <w:t xml:space="preserve"> mixes</w:t>
      </w:r>
      <w:r w:rsidR="00153CB2">
        <w:t xml:space="preserve"> these are fed with.</w:t>
      </w:r>
      <w:r w:rsidR="006039D1">
        <w:t xml:space="preserve"> Indeed, feed is the main contributor to the environmental burden of monogastric meat production</w:t>
      </w:r>
      <w:r w:rsidR="006039D1">
        <w:fldChar w:fldCharType="begin"/>
      </w:r>
      <w:r w:rsidR="00C61A9E">
        <w:instrText xml:space="preserve"> ADDIN ZOTERO_ITEM CSL_CITATION {"citationID":"CHsh6EPA","properties":{"formattedCitation":"\\super 18\\nosupersub{}","plainCitation":"18","noteIndex":0},"citationItems":[{"id":259,"uris":["http://zotero.org/users/6423791/items/LYVJ2XUL"],"itemData":{"id":259,"type":"article-journal","abstract":"L'alimentation animale peut représenter de 30 à 95 % des impacts environnementaux des produits animaux en sortie de ferme. Des données d’impacts environnementaux des matières premières ont été publiées mais il n’existait pas de données adaptées aux productions françaises. Le projet ECOALIM propose une base de données d’impacts environnementaux des matières premières utilisées en alimentation animale en France (154 matières premières disponibles). Dans le projet, une méthodologie de formulation multiobjectif a été développée pour produire des éco-aliments à impacts réduits et à prix maitrisé. Les impacts des aliments calculés à la tonne d'aliment sont ainsi modifiés de - 6 à - 14 % en production de porcs charcutiers et de + 4 à - 18 % en poulet de chair selon l'impact considéré, par rapport à une formulation à moindre coût classique et en considérant la disponibilité actuelle des MP. Dans le même temps, le prix de l'aliment est augmenté en moyenne d'1% en porc charcutier et de 3 % en poulet de chair. En biphase, avec restriction en porc charcutier, les impacts du kg de poids vif en sortie de ferme sont alors réduits de - 2 % à - 10 %. En poulet de chair, avec une alimentation classique en 3 phases, les impacts du kg de poids vif en sortie de ferme sont quant à eux réduits de - 2 à – 14 % (sauf pour l’occupation des terres qui augmente de 3%). A l’échelle territoriale, la réduction des impacts des aliments n’excède pas - 10 % en raison des compétitions entre filières pour les matières premières à faibles impacts.","container-title":"INRA Productions Animales","DOI":"10.20870/productions-animales.2018.31.2.2285","ISSN":"2273-7766, 2273-774X","issue":"3","journalAbbreviation":"INRA Prod. Anim.","language":"French","page":"289-306","source":"DOI.org (Crossref)","title":"Réduire les impacts environnementaux des aliments pour les animaux d'élevage","volume":"31","author":[{"family":"Wilfart","given":"Aurélie"},{"family":"Dusart","given":"Léonie"},{"family":"Méda","given":"Bertrand"},{"family":"Gac","given":"Armelle"},{"family":"Espagnol","given":"Sandrine"},{"family":"Morin","given":"Laurent"},{"family":"Dronne","given":"Yves"},{"family":"Garcia-Launay","given":"Florence"}],"issued":{"date-parts":[["2019",1,18]]}}}],"schema":"https://github.com/citation-style-language/schema/raw/master/csl-citation.json"} </w:instrText>
      </w:r>
      <w:r w:rsidR="006039D1">
        <w:fldChar w:fldCharType="separate"/>
      </w:r>
      <w:r w:rsidR="00C61A9E" w:rsidRPr="00C61A9E">
        <w:rPr>
          <w:rFonts w:ascii="Calibri" w:hAnsi="Calibri" w:cs="Calibri"/>
          <w:szCs w:val="24"/>
          <w:vertAlign w:val="superscript"/>
        </w:rPr>
        <w:t>18</w:t>
      </w:r>
      <w:r w:rsidR="006039D1">
        <w:fldChar w:fldCharType="end"/>
      </w:r>
      <w:r w:rsidR="006039D1">
        <w:t>.</w:t>
      </w:r>
    </w:p>
    <w:p w14:paraId="6B6E7136" w14:textId="0CAA360A" w:rsidR="004D6F85" w:rsidRDefault="000E120C" w:rsidP="000E120C">
      <w:pPr>
        <w:pStyle w:val="Lgende"/>
        <w:jc w:val="left"/>
        <w:rPr>
          <w:highlight w:val="yellow"/>
        </w:rPr>
      </w:pPr>
      <w:bookmarkStart w:id="26" w:name="_Ref151655213"/>
      <w:bookmarkStart w:id="27" w:name="_Toc128061482"/>
      <w:bookmarkStart w:id="28" w:name="_Toc155516848"/>
      <w:r>
        <w:t>Table SI</w:t>
      </w:r>
      <w:r>
        <w:fldChar w:fldCharType="begin"/>
      </w:r>
      <w:r>
        <w:instrText xml:space="preserve"> SEQ Table \* ARABIC </w:instrText>
      </w:r>
      <w:r>
        <w:fldChar w:fldCharType="separate"/>
      </w:r>
      <w:r w:rsidR="00C65861">
        <w:rPr>
          <w:noProof/>
        </w:rPr>
        <w:t>12</w:t>
      </w:r>
      <w:r>
        <w:fldChar w:fldCharType="end"/>
      </w:r>
      <w:bookmarkEnd w:id="26"/>
      <w:r>
        <w:t xml:space="preserve"> </w:t>
      </w:r>
      <w:r w:rsidR="004D6F85" w:rsidRPr="0065538B">
        <w:t xml:space="preserve">– Marginal </w:t>
      </w:r>
      <w:r w:rsidR="00032184">
        <w:t>animal</w:t>
      </w:r>
      <w:r w:rsidR="004D6F85" w:rsidRPr="0065538B">
        <w:t>-based meat suppliers</w:t>
      </w:r>
      <w:r w:rsidR="00032184">
        <w:t>, benchmark and selected</w:t>
      </w:r>
      <w:r w:rsidR="004D6F85" w:rsidRPr="0065538B">
        <w:t xml:space="preserve"> mix</w:t>
      </w:r>
      <w:bookmarkEnd w:id="27"/>
      <w:bookmarkEnd w:id="28"/>
    </w:p>
    <w:tbl>
      <w:tblPr>
        <w:tblStyle w:val="Tableausimple2"/>
        <w:tblW w:w="0" w:type="auto"/>
        <w:tblLook w:val="04A0" w:firstRow="1" w:lastRow="0" w:firstColumn="1" w:lastColumn="0" w:noHBand="0" w:noVBand="1"/>
      </w:tblPr>
      <w:tblGrid>
        <w:gridCol w:w="1006"/>
        <w:gridCol w:w="1596"/>
        <w:gridCol w:w="1706"/>
        <w:gridCol w:w="1693"/>
        <w:gridCol w:w="1940"/>
        <w:gridCol w:w="1131"/>
      </w:tblGrid>
      <w:tr w:rsidR="004D6F85" w:rsidRPr="00214F8B" w14:paraId="00D19C8F" w14:textId="77777777" w:rsidTr="004921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6A71C27" w14:textId="344D636B" w:rsidR="004D6F85" w:rsidRPr="00492142" w:rsidRDefault="00492142" w:rsidP="00492142">
            <w:pPr>
              <w:pStyle w:val="Contenudetableau"/>
              <w:rPr>
                <w:rFonts w:ascii="Calibri" w:hAnsi="Calibri"/>
                <w:color w:val="000000"/>
                <w:sz w:val="18"/>
                <w:szCs w:val="18"/>
              </w:rPr>
            </w:pPr>
            <w:r w:rsidRPr="00492142">
              <w:rPr>
                <w:rFonts w:ascii="Calibri" w:hAnsi="Calibri"/>
                <w:color w:val="000000"/>
                <w:sz w:val="18"/>
                <w:szCs w:val="18"/>
              </w:rPr>
              <w:t>Marginal mix</w:t>
            </w:r>
          </w:p>
        </w:tc>
        <w:tc>
          <w:tcPr>
            <w:tcW w:w="0" w:type="auto"/>
          </w:tcPr>
          <w:p w14:paraId="03EFFDC8" w14:textId="54E84AE4" w:rsidR="004D6F85" w:rsidRPr="00492142" w:rsidRDefault="004D6F85" w:rsidP="00492142">
            <w:pPr>
              <w:pStyle w:val="Contenudetableau"/>
              <w:cnfStyle w:val="100000000000" w:firstRow="1" w:lastRow="0" w:firstColumn="0" w:lastColumn="0" w:oddVBand="0" w:evenVBand="0" w:oddHBand="0" w:evenHBand="0" w:firstRowFirstColumn="0" w:firstRowLastColumn="0" w:lastRowFirstColumn="0" w:lastRowLastColumn="0"/>
              <w:rPr>
                <w:rFonts w:ascii="Calibri" w:hAnsi="Calibri"/>
                <w:color w:val="000000"/>
                <w:sz w:val="18"/>
                <w:szCs w:val="18"/>
              </w:rPr>
            </w:pPr>
            <w:r w:rsidRPr="00492142">
              <w:rPr>
                <w:rFonts w:ascii="Calibri" w:hAnsi="Calibri"/>
                <w:color w:val="000000"/>
                <w:sz w:val="18"/>
                <w:szCs w:val="18"/>
              </w:rPr>
              <w:t>Last 10 years trend, global (FAOSTAT</w:t>
            </w:r>
            <w:r w:rsidRPr="00492142">
              <w:rPr>
                <w:rFonts w:ascii="Calibri" w:hAnsi="Calibri"/>
                <w:color w:val="000000"/>
                <w:sz w:val="18"/>
                <w:szCs w:val="18"/>
              </w:rPr>
              <w:fldChar w:fldCharType="begin"/>
            </w:r>
            <w:r w:rsidR="00C61A9E" w:rsidRPr="00492142">
              <w:rPr>
                <w:rFonts w:ascii="Calibri" w:hAnsi="Calibri"/>
                <w:color w:val="000000"/>
                <w:sz w:val="18"/>
                <w:szCs w:val="18"/>
              </w:rPr>
              <w:instrText xml:space="preserve"> ADDIN ZOTERO_ITEM CSL_CITATION {"citationID":"sikRcgFQ","properties":{"formattedCitation":"\\super 17\\nosupersub{}","plainCitation":"17","noteIndex":0},"citationItems":[{"id":2213,"uris":["http://zotero.org/users/6423791/items/CDP7ZBVY"],"itemData":{"id":2213,"type":"webpage","title":"FAOSTAT","URL":"http://www.fao.org/faostat/en/","author":[{"literal":"FAO"}],"accessed":{"date-parts":[["2021",10,28]]},"issued":{"date-parts":[["2019"]]}}}],"schema":"https://github.com/citation-style-language/schema/raw/master/csl-citation.json"} </w:instrText>
            </w:r>
            <w:r w:rsidRPr="00492142">
              <w:rPr>
                <w:rFonts w:ascii="Calibri" w:hAnsi="Calibri"/>
                <w:color w:val="000000"/>
                <w:sz w:val="18"/>
                <w:szCs w:val="18"/>
              </w:rPr>
              <w:fldChar w:fldCharType="separate"/>
            </w:r>
            <w:r w:rsidR="00C61A9E" w:rsidRPr="00492142">
              <w:rPr>
                <w:rFonts w:ascii="Calibri" w:hAnsi="Calibri" w:cs="Calibri"/>
                <w:sz w:val="18"/>
                <w:szCs w:val="24"/>
                <w:vertAlign w:val="superscript"/>
              </w:rPr>
              <w:t>17</w:t>
            </w:r>
            <w:r w:rsidRPr="00492142">
              <w:rPr>
                <w:rFonts w:ascii="Calibri" w:hAnsi="Calibri"/>
                <w:color w:val="000000"/>
                <w:sz w:val="18"/>
                <w:szCs w:val="18"/>
              </w:rPr>
              <w:fldChar w:fldCharType="end"/>
            </w:r>
            <w:r w:rsidRPr="00492142">
              <w:rPr>
                <w:rFonts w:ascii="Calibri" w:hAnsi="Calibri"/>
                <w:color w:val="000000"/>
                <w:sz w:val="18"/>
                <w:szCs w:val="18"/>
              </w:rPr>
              <w:t>)</w:t>
            </w:r>
          </w:p>
        </w:tc>
        <w:tc>
          <w:tcPr>
            <w:tcW w:w="0" w:type="auto"/>
          </w:tcPr>
          <w:p w14:paraId="28E78DA4" w14:textId="63002760" w:rsidR="004D6F85" w:rsidRPr="00492142" w:rsidRDefault="004D6F85" w:rsidP="00492142">
            <w:pPr>
              <w:pStyle w:val="Contenudetableau"/>
              <w:cnfStyle w:val="100000000000" w:firstRow="1" w:lastRow="0" w:firstColumn="0" w:lastColumn="0" w:oddVBand="0" w:evenVBand="0" w:oddHBand="0" w:evenHBand="0" w:firstRowFirstColumn="0" w:firstRowLastColumn="0" w:lastRowFirstColumn="0" w:lastRowLastColumn="0"/>
              <w:rPr>
                <w:rFonts w:ascii="Calibri" w:hAnsi="Calibri"/>
                <w:color w:val="000000"/>
                <w:sz w:val="18"/>
                <w:szCs w:val="18"/>
              </w:rPr>
            </w:pPr>
            <w:r w:rsidRPr="00492142">
              <w:rPr>
                <w:rFonts w:ascii="Calibri" w:hAnsi="Calibri"/>
                <w:color w:val="000000"/>
                <w:sz w:val="18"/>
                <w:szCs w:val="18"/>
              </w:rPr>
              <w:t>Last 10 years trend, west Europe (FAOSTAT</w:t>
            </w:r>
            <w:r w:rsidRPr="00492142">
              <w:rPr>
                <w:rFonts w:ascii="Calibri" w:hAnsi="Calibri"/>
                <w:color w:val="000000"/>
                <w:sz w:val="18"/>
                <w:szCs w:val="18"/>
              </w:rPr>
              <w:fldChar w:fldCharType="begin"/>
            </w:r>
            <w:r w:rsidR="00C61A9E" w:rsidRPr="00492142">
              <w:rPr>
                <w:rFonts w:ascii="Calibri" w:hAnsi="Calibri"/>
                <w:color w:val="000000"/>
                <w:sz w:val="18"/>
                <w:szCs w:val="18"/>
              </w:rPr>
              <w:instrText xml:space="preserve"> ADDIN ZOTERO_ITEM CSL_CITATION {"citationID":"7qcD5EKd","properties":{"formattedCitation":"\\super 17\\nosupersub{}","plainCitation":"17","noteIndex":0},"citationItems":[{"id":2213,"uris":["http://zotero.org/users/6423791/items/CDP7ZBVY"],"itemData":{"id":2213,"type":"webpage","title":"FAOSTAT","URL":"http://www.fao.org/faostat/en/","author":[{"literal":"FAO"}],"accessed":{"date-parts":[["2021",10,28]]},"issued":{"date-parts":[["2019"]]}}}],"schema":"https://github.com/citation-style-language/schema/raw/master/csl-citation.json"} </w:instrText>
            </w:r>
            <w:r w:rsidRPr="00492142">
              <w:rPr>
                <w:rFonts w:ascii="Calibri" w:hAnsi="Calibri"/>
                <w:color w:val="000000"/>
                <w:sz w:val="18"/>
                <w:szCs w:val="18"/>
              </w:rPr>
              <w:fldChar w:fldCharType="separate"/>
            </w:r>
            <w:r w:rsidR="00C61A9E" w:rsidRPr="00492142">
              <w:rPr>
                <w:rFonts w:ascii="Calibri" w:hAnsi="Calibri" w:cs="Calibri"/>
                <w:sz w:val="18"/>
                <w:szCs w:val="24"/>
                <w:vertAlign w:val="superscript"/>
              </w:rPr>
              <w:t>17</w:t>
            </w:r>
            <w:r w:rsidRPr="00492142">
              <w:rPr>
                <w:rFonts w:ascii="Calibri" w:hAnsi="Calibri"/>
                <w:color w:val="000000"/>
                <w:sz w:val="18"/>
                <w:szCs w:val="18"/>
              </w:rPr>
              <w:fldChar w:fldCharType="end"/>
            </w:r>
            <w:r w:rsidRPr="00492142">
              <w:rPr>
                <w:rFonts w:ascii="Calibri" w:hAnsi="Calibri"/>
                <w:color w:val="000000"/>
                <w:sz w:val="18"/>
                <w:szCs w:val="18"/>
              </w:rPr>
              <w:t>)</w:t>
            </w:r>
          </w:p>
        </w:tc>
        <w:tc>
          <w:tcPr>
            <w:tcW w:w="0" w:type="auto"/>
          </w:tcPr>
          <w:p w14:paraId="563197F4" w14:textId="600941D9" w:rsidR="004D6F85" w:rsidRPr="00492142" w:rsidRDefault="004D6F85" w:rsidP="00492142">
            <w:pPr>
              <w:pStyle w:val="Contenudetableau"/>
              <w:cnfStyle w:val="100000000000" w:firstRow="1" w:lastRow="0" w:firstColumn="0" w:lastColumn="0" w:oddVBand="0" w:evenVBand="0" w:oddHBand="0" w:evenHBand="0" w:firstRowFirstColumn="0" w:firstRowLastColumn="0" w:lastRowFirstColumn="0" w:lastRowLastColumn="0"/>
              <w:rPr>
                <w:rFonts w:ascii="Calibri" w:hAnsi="Calibri"/>
                <w:color w:val="000000"/>
                <w:sz w:val="18"/>
                <w:szCs w:val="18"/>
              </w:rPr>
            </w:pPr>
            <w:r w:rsidRPr="00492142">
              <w:rPr>
                <w:rFonts w:ascii="Calibri" w:hAnsi="Calibri"/>
                <w:color w:val="000000"/>
                <w:sz w:val="18"/>
                <w:szCs w:val="18"/>
              </w:rPr>
              <w:t>Next 10 years projections, global (OECD-FAO</w:t>
            </w:r>
            <w:r w:rsidRPr="00492142">
              <w:rPr>
                <w:rFonts w:ascii="Calibri" w:hAnsi="Calibri"/>
                <w:color w:val="000000"/>
                <w:sz w:val="18"/>
                <w:szCs w:val="18"/>
              </w:rPr>
              <w:fldChar w:fldCharType="begin"/>
            </w:r>
            <w:r w:rsidR="00C61A9E" w:rsidRPr="00492142">
              <w:rPr>
                <w:rFonts w:ascii="Calibri" w:hAnsi="Calibri"/>
                <w:color w:val="000000"/>
                <w:sz w:val="18"/>
                <w:szCs w:val="18"/>
              </w:rPr>
              <w:instrText xml:space="preserve"> ADDIN ZOTERO_ITEM CSL_CITATION {"citationID":"wzSngi7W","properties":{"formattedCitation":"\\super 9\\nosupersub{}","plainCitation":"9","noteIndex":0},"citationItems":[{"id":13772,"uris":["http://zotero.org/users/6423791/items/4WGQ8IFI"],"itemData":{"id":13772,"type":"book","event-place":"Paris","ISBN":"978-92-64-58870-7","language":"en","note":"DOI: 10.1787/f1b0b29c-en","publisher":"OECD Publishing","publisher-place":"Paris","source":"DOI.org (Crossref)","title":"OECD-FAO Agricultural Outlook 2022-2031","URL":"https://www.oecd-ilibrary.org/agriculture-and-food/oecd-fao-agricultural-outlook-2022-2031_f1b0b29c-en","author":[{"literal":"OECD/FAO"}],"accessed":{"date-parts":[["2022",10,14]]},"issued":{"date-parts":[["2022",6,29]]}}}],"schema":"https://github.com/citation-style-language/schema/raw/master/csl-citation.json"} </w:instrText>
            </w:r>
            <w:r w:rsidRPr="00492142">
              <w:rPr>
                <w:rFonts w:ascii="Calibri" w:hAnsi="Calibri"/>
                <w:color w:val="000000"/>
                <w:sz w:val="18"/>
                <w:szCs w:val="18"/>
              </w:rPr>
              <w:fldChar w:fldCharType="separate"/>
            </w:r>
            <w:r w:rsidR="00C61A9E" w:rsidRPr="00492142">
              <w:rPr>
                <w:rFonts w:ascii="Calibri" w:hAnsi="Calibri" w:cs="Calibri"/>
                <w:sz w:val="18"/>
                <w:szCs w:val="24"/>
                <w:vertAlign w:val="superscript"/>
              </w:rPr>
              <w:t>9</w:t>
            </w:r>
            <w:r w:rsidRPr="00492142">
              <w:rPr>
                <w:rFonts w:ascii="Calibri" w:hAnsi="Calibri"/>
                <w:color w:val="000000"/>
                <w:sz w:val="18"/>
                <w:szCs w:val="18"/>
              </w:rPr>
              <w:fldChar w:fldCharType="end"/>
            </w:r>
            <w:r w:rsidRPr="00492142">
              <w:rPr>
                <w:rFonts w:ascii="Calibri" w:hAnsi="Calibri"/>
                <w:color w:val="000000"/>
                <w:sz w:val="18"/>
                <w:szCs w:val="18"/>
              </w:rPr>
              <w:t>)</w:t>
            </w:r>
          </w:p>
        </w:tc>
        <w:tc>
          <w:tcPr>
            <w:tcW w:w="0" w:type="auto"/>
          </w:tcPr>
          <w:p w14:paraId="479F6181" w14:textId="57435F13" w:rsidR="004D6F85" w:rsidRPr="00492142" w:rsidRDefault="004D6F85" w:rsidP="00492142">
            <w:pPr>
              <w:pStyle w:val="Contenudetableau"/>
              <w:cnfStyle w:val="100000000000" w:firstRow="1" w:lastRow="0" w:firstColumn="0" w:lastColumn="0" w:oddVBand="0" w:evenVBand="0" w:oddHBand="0" w:evenHBand="0" w:firstRowFirstColumn="0" w:firstRowLastColumn="0" w:lastRowFirstColumn="0" w:lastRowLastColumn="0"/>
              <w:rPr>
                <w:rFonts w:ascii="Calibri" w:hAnsi="Calibri"/>
                <w:color w:val="000000"/>
                <w:sz w:val="18"/>
                <w:szCs w:val="18"/>
              </w:rPr>
            </w:pPr>
            <w:r w:rsidRPr="00492142">
              <w:rPr>
                <w:rFonts w:ascii="Calibri" w:hAnsi="Calibri"/>
                <w:color w:val="000000"/>
                <w:sz w:val="18"/>
                <w:szCs w:val="18"/>
              </w:rPr>
              <w:t>Next 10 years projections, developed countries (OECD-FAO</w:t>
            </w:r>
            <w:r w:rsidRPr="00492142">
              <w:rPr>
                <w:rFonts w:ascii="Calibri" w:hAnsi="Calibri"/>
                <w:color w:val="000000"/>
                <w:sz w:val="18"/>
                <w:szCs w:val="18"/>
              </w:rPr>
              <w:fldChar w:fldCharType="begin"/>
            </w:r>
            <w:r w:rsidR="00C61A9E" w:rsidRPr="00492142">
              <w:rPr>
                <w:rFonts w:ascii="Calibri" w:hAnsi="Calibri"/>
                <w:color w:val="000000"/>
                <w:sz w:val="18"/>
                <w:szCs w:val="18"/>
              </w:rPr>
              <w:instrText xml:space="preserve"> ADDIN ZOTERO_ITEM CSL_CITATION {"citationID":"Afz687Iv","properties":{"formattedCitation":"\\super 9\\nosupersub{}","plainCitation":"9","noteIndex":0},"citationItems":[{"id":13772,"uris":["http://zotero.org/users/6423791/items/4WGQ8IFI"],"itemData":{"id":13772,"type":"book","event-place":"Paris","ISBN":"978-92-64-58870-7","language":"en","note":"DOI: 10.1787/f1b0b29c-en","publisher":"OECD Publishing","publisher-place":"Paris","source":"DOI.org (Crossref)","title":"OECD-FAO Agricultural Outlook 2022-2031","URL":"https://www.oecd-ilibrary.org/agriculture-and-food/oecd-fao-agricultural-outlook-2022-2031_f1b0b29c-en","author":[{"literal":"OECD/FAO"}],"accessed":{"date-parts":[["2022",10,14]]},"issued":{"date-parts":[["2022",6,29]]}}}],"schema":"https://github.com/citation-style-language/schema/raw/master/csl-citation.json"} </w:instrText>
            </w:r>
            <w:r w:rsidRPr="00492142">
              <w:rPr>
                <w:rFonts w:ascii="Calibri" w:hAnsi="Calibri"/>
                <w:color w:val="000000"/>
                <w:sz w:val="18"/>
                <w:szCs w:val="18"/>
              </w:rPr>
              <w:fldChar w:fldCharType="separate"/>
            </w:r>
            <w:r w:rsidR="00C61A9E" w:rsidRPr="00492142">
              <w:rPr>
                <w:rFonts w:ascii="Calibri" w:hAnsi="Calibri" w:cs="Calibri"/>
                <w:sz w:val="18"/>
                <w:szCs w:val="24"/>
                <w:vertAlign w:val="superscript"/>
              </w:rPr>
              <w:t>9</w:t>
            </w:r>
            <w:r w:rsidRPr="00492142">
              <w:rPr>
                <w:rFonts w:ascii="Calibri" w:hAnsi="Calibri"/>
                <w:color w:val="000000"/>
                <w:sz w:val="18"/>
                <w:szCs w:val="18"/>
              </w:rPr>
              <w:fldChar w:fldCharType="end"/>
            </w:r>
            <w:r w:rsidRPr="00492142">
              <w:rPr>
                <w:rFonts w:ascii="Calibri" w:hAnsi="Calibri"/>
                <w:color w:val="000000"/>
                <w:sz w:val="18"/>
                <w:szCs w:val="18"/>
              </w:rPr>
              <w:t>)</w:t>
            </w:r>
          </w:p>
        </w:tc>
        <w:tc>
          <w:tcPr>
            <w:tcW w:w="0" w:type="auto"/>
          </w:tcPr>
          <w:p w14:paraId="486C60FD" w14:textId="3081BB1C" w:rsidR="004D6F85" w:rsidRPr="00492142" w:rsidRDefault="004D6F85" w:rsidP="00492142">
            <w:pPr>
              <w:pStyle w:val="Contenudetableau"/>
              <w:cnfStyle w:val="100000000000" w:firstRow="1" w:lastRow="0" w:firstColumn="0" w:lastColumn="0" w:oddVBand="0" w:evenVBand="0" w:oddHBand="0" w:evenHBand="0" w:firstRowFirstColumn="0" w:firstRowLastColumn="0" w:lastRowFirstColumn="0" w:lastRowLastColumn="0"/>
              <w:rPr>
                <w:rFonts w:ascii="Calibri" w:hAnsi="Calibri"/>
                <w:color w:val="000000"/>
                <w:sz w:val="18"/>
                <w:szCs w:val="18"/>
              </w:rPr>
            </w:pPr>
            <w:r w:rsidRPr="00492142">
              <w:rPr>
                <w:rFonts w:ascii="Calibri" w:hAnsi="Calibri"/>
                <w:color w:val="000000"/>
                <w:sz w:val="18"/>
                <w:szCs w:val="18"/>
              </w:rPr>
              <w:t>Selected for scenarios</w:t>
            </w:r>
          </w:p>
        </w:tc>
      </w:tr>
      <w:tr w:rsidR="004D6F85" w:rsidRPr="00214F8B" w14:paraId="68D90948"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6FDAD7" w14:textId="77777777" w:rsidR="004D6F85" w:rsidRPr="006039D1" w:rsidRDefault="004D6F85" w:rsidP="00492142">
            <w:pPr>
              <w:pStyle w:val="Contenudetableau"/>
              <w:rPr>
                <w:b w:val="0"/>
                <w:sz w:val="18"/>
                <w:szCs w:val="18"/>
              </w:rPr>
            </w:pPr>
            <w:r w:rsidRPr="006039D1">
              <w:rPr>
                <w:b w:val="0"/>
                <w:sz w:val="18"/>
                <w:szCs w:val="18"/>
              </w:rPr>
              <w:t>Sheep &amp; goat</w:t>
            </w:r>
          </w:p>
        </w:tc>
        <w:tc>
          <w:tcPr>
            <w:tcW w:w="0" w:type="auto"/>
          </w:tcPr>
          <w:p w14:paraId="522B291F"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w:t>
            </w:r>
          </w:p>
        </w:tc>
        <w:tc>
          <w:tcPr>
            <w:tcW w:w="0" w:type="auto"/>
          </w:tcPr>
          <w:p w14:paraId="5CD56661"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0" w:type="auto"/>
          </w:tcPr>
          <w:p w14:paraId="01C58935"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5%</w:t>
            </w:r>
          </w:p>
        </w:tc>
        <w:tc>
          <w:tcPr>
            <w:tcW w:w="0" w:type="auto"/>
          </w:tcPr>
          <w:p w14:paraId="122D744C"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w:t>
            </w:r>
          </w:p>
        </w:tc>
        <w:tc>
          <w:tcPr>
            <w:tcW w:w="0" w:type="auto"/>
          </w:tcPr>
          <w:p w14:paraId="74D34A5F" w14:textId="77777777" w:rsidR="004D6F85" w:rsidRPr="00492142"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b/>
                <w:sz w:val="18"/>
                <w:szCs w:val="18"/>
              </w:rPr>
            </w:pPr>
            <w:r w:rsidRPr="00492142">
              <w:rPr>
                <w:b/>
                <w:sz w:val="18"/>
                <w:szCs w:val="18"/>
              </w:rPr>
              <w:t>0%</w:t>
            </w:r>
          </w:p>
        </w:tc>
      </w:tr>
      <w:tr w:rsidR="004D6F85" w:rsidRPr="00214F8B" w14:paraId="3E4BBB91" w14:textId="77777777" w:rsidTr="00492142">
        <w:tc>
          <w:tcPr>
            <w:cnfStyle w:val="001000000000" w:firstRow="0" w:lastRow="0" w:firstColumn="1" w:lastColumn="0" w:oddVBand="0" w:evenVBand="0" w:oddHBand="0" w:evenHBand="0" w:firstRowFirstColumn="0" w:firstRowLastColumn="0" w:lastRowFirstColumn="0" w:lastRowLastColumn="0"/>
            <w:tcW w:w="0" w:type="auto"/>
          </w:tcPr>
          <w:p w14:paraId="69460936" w14:textId="77777777" w:rsidR="004D6F85" w:rsidRPr="006039D1" w:rsidRDefault="004D6F85" w:rsidP="00492142">
            <w:pPr>
              <w:pStyle w:val="Contenudetableau"/>
              <w:rPr>
                <w:b w:val="0"/>
                <w:sz w:val="18"/>
                <w:szCs w:val="18"/>
              </w:rPr>
            </w:pPr>
            <w:r w:rsidRPr="006039D1">
              <w:rPr>
                <w:b w:val="0"/>
                <w:sz w:val="18"/>
                <w:szCs w:val="18"/>
              </w:rPr>
              <w:t>Beef &amp; buffalo</w:t>
            </w:r>
          </w:p>
        </w:tc>
        <w:tc>
          <w:tcPr>
            <w:tcW w:w="0" w:type="auto"/>
          </w:tcPr>
          <w:p w14:paraId="3EDC58B3"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w:t>
            </w:r>
          </w:p>
        </w:tc>
        <w:tc>
          <w:tcPr>
            <w:tcW w:w="0" w:type="auto"/>
          </w:tcPr>
          <w:p w14:paraId="26439D13"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0" w:type="auto"/>
          </w:tcPr>
          <w:p w14:paraId="0AEDB7C6"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12%</w:t>
            </w:r>
          </w:p>
        </w:tc>
        <w:tc>
          <w:tcPr>
            <w:tcW w:w="0" w:type="auto"/>
          </w:tcPr>
          <w:p w14:paraId="5CAFE08C"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15%</w:t>
            </w:r>
          </w:p>
        </w:tc>
        <w:tc>
          <w:tcPr>
            <w:tcW w:w="0" w:type="auto"/>
          </w:tcPr>
          <w:p w14:paraId="62464ED9" w14:textId="77777777" w:rsidR="004D6F85" w:rsidRPr="00492142"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b/>
                <w:sz w:val="18"/>
                <w:szCs w:val="18"/>
              </w:rPr>
            </w:pPr>
            <w:r w:rsidRPr="00492142">
              <w:rPr>
                <w:b/>
                <w:sz w:val="18"/>
                <w:szCs w:val="18"/>
              </w:rPr>
              <w:t>0%</w:t>
            </w:r>
          </w:p>
        </w:tc>
      </w:tr>
      <w:tr w:rsidR="004D6F85" w:rsidRPr="00214F8B" w14:paraId="38766003"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A677041" w14:textId="77777777" w:rsidR="004D6F85" w:rsidRPr="006039D1" w:rsidRDefault="004D6F85" w:rsidP="00492142">
            <w:pPr>
              <w:pStyle w:val="Contenudetableau"/>
              <w:rPr>
                <w:b w:val="0"/>
                <w:sz w:val="18"/>
                <w:szCs w:val="18"/>
              </w:rPr>
            </w:pPr>
            <w:r w:rsidRPr="006039D1">
              <w:rPr>
                <w:b w:val="0"/>
                <w:sz w:val="18"/>
                <w:szCs w:val="18"/>
              </w:rPr>
              <w:t>Swine</w:t>
            </w:r>
          </w:p>
        </w:tc>
        <w:tc>
          <w:tcPr>
            <w:tcW w:w="0" w:type="auto"/>
          </w:tcPr>
          <w:p w14:paraId="6D4A71DC"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31%</w:t>
            </w:r>
          </w:p>
        </w:tc>
        <w:tc>
          <w:tcPr>
            <w:tcW w:w="0" w:type="auto"/>
          </w:tcPr>
          <w:p w14:paraId="5BFEF5B0"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45%</w:t>
            </w:r>
          </w:p>
        </w:tc>
        <w:tc>
          <w:tcPr>
            <w:tcW w:w="0" w:type="auto"/>
          </w:tcPr>
          <w:p w14:paraId="5F244903"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41%</w:t>
            </w:r>
          </w:p>
        </w:tc>
        <w:tc>
          <w:tcPr>
            <w:tcW w:w="0" w:type="auto"/>
          </w:tcPr>
          <w:p w14:paraId="0E11DD65"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0" w:type="auto"/>
          </w:tcPr>
          <w:p w14:paraId="5E673558" w14:textId="77777777" w:rsidR="004D6F85" w:rsidRPr="00492142"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b/>
                <w:sz w:val="18"/>
                <w:szCs w:val="18"/>
              </w:rPr>
            </w:pPr>
            <w:r w:rsidRPr="00492142">
              <w:rPr>
                <w:b/>
                <w:sz w:val="18"/>
                <w:szCs w:val="18"/>
              </w:rPr>
              <w:t>50%</w:t>
            </w:r>
          </w:p>
        </w:tc>
      </w:tr>
      <w:tr w:rsidR="004D6F85" w:rsidRPr="00214F8B" w14:paraId="058E5AA1" w14:textId="77777777" w:rsidTr="00492142">
        <w:tc>
          <w:tcPr>
            <w:cnfStyle w:val="001000000000" w:firstRow="0" w:lastRow="0" w:firstColumn="1" w:lastColumn="0" w:oddVBand="0" w:evenVBand="0" w:oddHBand="0" w:evenHBand="0" w:firstRowFirstColumn="0" w:firstRowLastColumn="0" w:lastRowFirstColumn="0" w:lastRowLastColumn="0"/>
            <w:tcW w:w="0" w:type="auto"/>
          </w:tcPr>
          <w:p w14:paraId="304E3446" w14:textId="77777777" w:rsidR="004D6F85" w:rsidRPr="006039D1" w:rsidRDefault="004D6F85" w:rsidP="00492142">
            <w:pPr>
              <w:pStyle w:val="Contenudetableau"/>
              <w:rPr>
                <w:b w:val="0"/>
                <w:sz w:val="18"/>
                <w:szCs w:val="18"/>
              </w:rPr>
            </w:pPr>
            <w:r w:rsidRPr="006039D1">
              <w:rPr>
                <w:b w:val="0"/>
                <w:sz w:val="18"/>
                <w:szCs w:val="18"/>
              </w:rPr>
              <w:t>Game</w:t>
            </w:r>
          </w:p>
        </w:tc>
        <w:tc>
          <w:tcPr>
            <w:tcW w:w="0" w:type="auto"/>
          </w:tcPr>
          <w:p w14:paraId="43382B75"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0" w:type="auto"/>
          </w:tcPr>
          <w:p w14:paraId="5CE81306"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0" w:type="auto"/>
          </w:tcPr>
          <w:p w14:paraId="4E2EC01F"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0" w:type="auto"/>
          </w:tcPr>
          <w:p w14:paraId="728D3129"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0" w:type="auto"/>
          </w:tcPr>
          <w:p w14:paraId="2DA3F22C" w14:textId="77777777" w:rsidR="004D6F85" w:rsidRPr="00492142"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b/>
                <w:sz w:val="18"/>
                <w:szCs w:val="18"/>
              </w:rPr>
            </w:pPr>
            <w:r w:rsidRPr="00492142">
              <w:rPr>
                <w:b/>
                <w:sz w:val="18"/>
                <w:szCs w:val="18"/>
              </w:rPr>
              <w:t>0%</w:t>
            </w:r>
          </w:p>
        </w:tc>
      </w:tr>
      <w:tr w:rsidR="004D6F85" w:rsidRPr="00214F8B" w14:paraId="407903F2"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1378165" w14:textId="77777777" w:rsidR="004D6F85" w:rsidRPr="006039D1" w:rsidRDefault="004D6F85" w:rsidP="00492142">
            <w:pPr>
              <w:pStyle w:val="Contenudetableau"/>
              <w:rPr>
                <w:b w:val="0"/>
                <w:sz w:val="18"/>
                <w:szCs w:val="18"/>
              </w:rPr>
            </w:pPr>
            <w:r w:rsidRPr="006039D1">
              <w:rPr>
                <w:b w:val="0"/>
                <w:sz w:val="18"/>
                <w:szCs w:val="18"/>
              </w:rPr>
              <w:t>Duck</w:t>
            </w:r>
          </w:p>
        </w:tc>
        <w:tc>
          <w:tcPr>
            <w:tcW w:w="0" w:type="auto"/>
          </w:tcPr>
          <w:p w14:paraId="096BCE4B"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0" w:type="auto"/>
          </w:tcPr>
          <w:p w14:paraId="07D5DB7B"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0" w:type="auto"/>
          </w:tcPr>
          <w:p w14:paraId="3251B50F"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0" w:type="auto"/>
          </w:tcPr>
          <w:p w14:paraId="039BBCD8"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0" w:type="auto"/>
          </w:tcPr>
          <w:p w14:paraId="08A86D62" w14:textId="77777777" w:rsidR="004D6F85" w:rsidRPr="00492142"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b/>
                <w:sz w:val="18"/>
                <w:szCs w:val="18"/>
              </w:rPr>
            </w:pPr>
            <w:r w:rsidRPr="00492142">
              <w:rPr>
                <w:b/>
                <w:sz w:val="18"/>
                <w:szCs w:val="18"/>
              </w:rPr>
              <w:t>0%</w:t>
            </w:r>
          </w:p>
        </w:tc>
      </w:tr>
      <w:tr w:rsidR="004D6F85" w:rsidRPr="00214F8B" w14:paraId="11A2F2EB" w14:textId="77777777" w:rsidTr="00492142">
        <w:tc>
          <w:tcPr>
            <w:cnfStyle w:val="001000000000" w:firstRow="0" w:lastRow="0" w:firstColumn="1" w:lastColumn="0" w:oddVBand="0" w:evenVBand="0" w:oddHBand="0" w:evenHBand="0" w:firstRowFirstColumn="0" w:firstRowLastColumn="0" w:lastRowFirstColumn="0" w:lastRowLastColumn="0"/>
            <w:tcW w:w="0" w:type="auto"/>
          </w:tcPr>
          <w:p w14:paraId="7D992F5B" w14:textId="77777777" w:rsidR="004D6F85" w:rsidRPr="006039D1" w:rsidRDefault="004D6F85" w:rsidP="00492142">
            <w:pPr>
              <w:pStyle w:val="Contenudetableau"/>
              <w:rPr>
                <w:b w:val="0"/>
                <w:sz w:val="18"/>
                <w:szCs w:val="18"/>
              </w:rPr>
            </w:pPr>
            <w:r w:rsidRPr="006039D1">
              <w:rPr>
                <w:b w:val="0"/>
                <w:sz w:val="18"/>
                <w:szCs w:val="18"/>
              </w:rPr>
              <w:t>Poultry</w:t>
            </w:r>
          </w:p>
        </w:tc>
        <w:tc>
          <w:tcPr>
            <w:tcW w:w="0" w:type="auto"/>
          </w:tcPr>
          <w:p w14:paraId="78BAAB18"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55%</w:t>
            </w:r>
          </w:p>
        </w:tc>
        <w:tc>
          <w:tcPr>
            <w:tcW w:w="0" w:type="auto"/>
          </w:tcPr>
          <w:p w14:paraId="2C42AD6F"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55%</w:t>
            </w:r>
          </w:p>
        </w:tc>
        <w:tc>
          <w:tcPr>
            <w:tcW w:w="0" w:type="auto"/>
          </w:tcPr>
          <w:p w14:paraId="15043C97"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42%</w:t>
            </w:r>
          </w:p>
        </w:tc>
        <w:tc>
          <w:tcPr>
            <w:tcW w:w="0" w:type="auto"/>
          </w:tcPr>
          <w:p w14:paraId="5E952859"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81%</w:t>
            </w:r>
          </w:p>
        </w:tc>
        <w:tc>
          <w:tcPr>
            <w:tcW w:w="0" w:type="auto"/>
          </w:tcPr>
          <w:p w14:paraId="1B39C0B7" w14:textId="77777777" w:rsidR="004D6F85" w:rsidRPr="00492142"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b/>
                <w:sz w:val="18"/>
                <w:szCs w:val="18"/>
              </w:rPr>
            </w:pPr>
            <w:r w:rsidRPr="00492142">
              <w:rPr>
                <w:b/>
                <w:sz w:val="18"/>
                <w:szCs w:val="18"/>
              </w:rPr>
              <w:t>50%</w:t>
            </w:r>
          </w:p>
        </w:tc>
      </w:tr>
      <w:tr w:rsidR="004D6F85" w:rsidRPr="00214F8B" w14:paraId="75670D0C"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34DCAF5" w14:textId="77777777" w:rsidR="004D6F85" w:rsidRPr="006039D1" w:rsidRDefault="004D6F85" w:rsidP="00492142">
            <w:pPr>
              <w:pStyle w:val="Contenudetableau"/>
              <w:rPr>
                <w:b w:val="0"/>
                <w:sz w:val="18"/>
                <w:szCs w:val="18"/>
              </w:rPr>
            </w:pPr>
            <w:r w:rsidRPr="006039D1">
              <w:rPr>
                <w:b w:val="0"/>
                <w:sz w:val="18"/>
                <w:szCs w:val="18"/>
              </w:rPr>
              <w:t>Horse</w:t>
            </w:r>
          </w:p>
        </w:tc>
        <w:tc>
          <w:tcPr>
            <w:tcW w:w="0" w:type="auto"/>
          </w:tcPr>
          <w:p w14:paraId="4A6FEB93"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0" w:type="auto"/>
          </w:tcPr>
          <w:p w14:paraId="42AD46AF"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0" w:type="auto"/>
          </w:tcPr>
          <w:p w14:paraId="0C7D9114"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0" w:type="auto"/>
          </w:tcPr>
          <w:p w14:paraId="48335626"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0" w:type="auto"/>
          </w:tcPr>
          <w:p w14:paraId="747CDE3F" w14:textId="77777777" w:rsidR="004D6F85" w:rsidRPr="00492142"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b/>
                <w:sz w:val="18"/>
                <w:szCs w:val="18"/>
              </w:rPr>
            </w:pPr>
            <w:r w:rsidRPr="00492142">
              <w:rPr>
                <w:b/>
                <w:sz w:val="18"/>
                <w:szCs w:val="18"/>
              </w:rPr>
              <w:t>0%</w:t>
            </w:r>
          </w:p>
        </w:tc>
      </w:tr>
      <w:tr w:rsidR="004D6F85" w:rsidRPr="00214F8B" w14:paraId="6D9214B2" w14:textId="77777777" w:rsidTr="00492142">
        <w:tc>
          <w:tcPr>
            <w:cnfStyle w:val="001000000000" w:firstRow="0" w:lastRow="0" w:firstColumn="1" w:lastColumn="0" w:oddVBand="0" w:evenVBand="0" w:oddHBand="0" w:evenHBand="0" w:firstRowFirstColumn="0" w:firstRowLastColumn="0" w:lastRowFirstColumn="0" w:lastRowLastColumn="0"/>
            <w:tcW w:w="0" w:type="auto"/>
          </w:tcPr>
          <w:p w14:paraId="0D6C706F" w14:textId="77777777" w:rsidR="004D6F85" w:rsidRPr="006039D1" w:rsidRDefault="004D6F85" w:rsidP="00492142">
            <w:pPr>
              <w:pStyle w:val="Contenudetableau"/>
              <w:rPr>
                <w:b w:val="0"/>
                <w:sz w:val="18"/>
                <w:szCs w:val="18"/>
              </w:rPr>
            </w:pPr>
            <w:r w:rsidRPr="006039D1">
              <w:rPr>
                <w:b w:val="0"/>
                <w:sz w:val="18"/>
                <w:szCs w:val="18"/>
              </w:rPr>
              <w:t>Camel</w:t>
            </w:r>
          </w:p>
        </w:tc>
        <w:tc>
          <w:tcPr>
            <w:tcW w:w="0" w:type="auto"/>
          </w:tcPr>
          <w:p w14:paraId="14221B88"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0" w:type="auto"/>
          </w:tcPr>
          <w:p w14:paraId="7B86F5A3"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0" w:type="auto"/>
          </w:tcPr>
          <w:p w14:paraId="038A6821"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0" w:type="auto"/>
          </w:tcPr>
          <w:p w14:paraId="6FC95B7B" w14:textId="77777777" w:rsidR="004D6F85" w:rsidRPr="005418EC"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sz w:val="18"/>
                <w:szCs w:val="18"/>
              </w:rPr>
            </w:pPr>
            <w:r>
              <w:rPr>
                <w:sz w:val="18"/>
                <w:szCs w:val="18"/>
              </w:rPr>
              <w:t>0%</w:t>
            </w:r>
          </w:p>
        </w:tc>
        <w:tc>
          <w:tcPr>
            <w:tcW w:w="0" w:type="auto"/>
          </w:tcPr>
          <w:p w14:paraId="1AC75EF1" w14:textId="77777777" w:rsidR="004D6F85" w:rsidRPr="00492142" w:rsidRDefault="004D6F85" w:rsidP="00492142">
            <w:pPr>
              <w:pStyle w:val="Contenudetableau"/>
              <w:cnfStyle w:val="000000000000" w:firstRow="0" w:lastRow="0" w:firstColumn="0" w:lastColumn="0" w:oddVBand="0" w:evenVBand="0" w:oddHBand="0" w:evenHBand="0" w:firstRowFirstColumn="0" w:firstRowLastColumn="0" w:lastRowFirstColumn="0" w:lastRowLastColumn="0"/>
              <w:rPr>
                <w:b/>
                <w:sz w:val="18"/>
                <w:szCs w:val="18"/>
              </w:rPr>
            </w:pPr>
            <w:r w:rsidRPr="00492142">
              <w:rPr>
                <w:b/>
                <w:sz w:val="18"/>
                <w:szCs w:val="18"/>
              </w:rPr>
              <w:t>0%</w:t>
            </w:r>
          </w:p>
        </w:tc>
      </w:tr>
      <w:tr w:rsidR="004D6F85" w:rsidRPr="00214F8B" w14:paraId="31B09D58"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830E601" w14:textId="77777777" w:rsidR="004D6F85" w:rsidRPr="006039D1" w:rsidRDefault="004D6F85" w:rsidP="00492142">
            <w:pPr>
              <w:pStyle w:val="Contenudetableau"/>
              <w:rPr>
                <w:b w:val="0"/>
                <w:sz w:val="18"/>
                <w:szCs w:val="18"/>
              </w:rPr>
            </w:pPr>
            <w:r w:rsidRPr="006039D1">
              <w:rPr>
                <w:b w:val="0"/>
                <w:sz w:val="18"/>
                <w:szCs w:val="18"/>
              </w:rPr>
              <w:t xml:space="preserve">Goose &amp; Guinea  </w:t>
            </w:r>
          </w:p>
        </w:tc>
        <w:tc>
          <w:tcPr>
            <w:tcW w:w="0" w:type="auto"/>
          </w:tcPr>
          <w:p w14:paraId="26F47939"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1%</w:t>
            </w:r>
          </w:p>
        </w:tc>
        <w:tc>
          <w:tcPr>
            <w:tcW w:w="0" w:type="auto"/>
          </w:tcPr>
          <w:p w14:paraId="0BDB56C7"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0" w:type="auto"/>
          </w:tcPr>
          <w:p w14:paraId="789CC650"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0" w:type="auto"/>
          </w:tcPr>
          <w:p w14:paraId="3170E9D8" w14:textId="77777777" w:rsidR="004D6F85" w:rsidRPr="005418EC"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sz w:val="18"/>
                <w:szCs w:val="18"/>
              </w:rPr>
            </w:pPr>
            <w:r>
              <w:rPr>
                <w:sz w:val="18"/>
                <w:szCs w:val="18"/>
              </w:rPr>
              <w:t>0%</w:t>
            </w:r>
          </w:p>
        </w:tc>
        <w:tc>
          <w:tcPr>
            <w:tcW w:w="0" w:type="auto"/>
          </w:tcPr>
          <w:p w14:paraId="53C7C3D5" w14:textId="77777777" w:rsidR="004D6F85" w:rsidRPr="00492142" w:rsidRDefault="004D6F85" w:rsidP="00492142">
            <w:pPr>
              <w:pStyle w:val="Contenudetableau"/>
              <w:cnfStyle w:val="000000100000" w:firstRow="0" w:lastRow="0" w:firstColumn="0" w:lastColumn="0" w:oddVBand="0" w:evenVBand="0" w:oddHBand="1" w:evenHBand="0" w:firstRowFirstColumn="0" w:firstRowLastColumn="0" w:lastRowFirstColumn="0" w:lastRowLastColumn="0"/>
              <w:rPr>
                <w:b/>
                <w:sz w:val="18"/>
                <w:szCs w:val="18"/>
              </w:rPr>
            </w:pPr>
            <w:r w:rsidRPr="00492142">
              <w:rPr>
                <w:b/>
                <w:sz w:val="18"/>
                <w:szCs w:val="18"/>
              </w:rPr>
              <w:t>0%</w:t>
            </w:r>
          </w:p>
        </w:tc>
      </w:tr>
    </w:tbl>
    <w:p w14:paraId="5F910013" w14:textId="77777777" w:rsidR="004D6F85" w:rsidRDefault="004D6F85" w:rsidP="004D6F85">
      <w:pPr>
        <w:jc w:val="both"/>
      </w:pPr>
    </w:p>
    <w:p w14:paraId="1AEFCA6B" w14:textId="77777777" w:rsidR="00411E5F" w:rsidRDefault="004D6F85" w:rsidP="00492142">
      <w:pPr>
        <w:jc w:val="both"/>
      </w:pPr>
      <w:r>
        <w:t>Plant-based meat-</w:t>
      </w:r>
      <w:r w:rsidR="00032184">
        <w:t>analogues</w:t>
      </w:r>
      <w:r>
        <w:t xml:space="preserve"> suppliers were </w:t>
      </w:r>
      <w:r w:rsidR="00153CB2">
        <w:t xml:space="preserve">discarded </w:t>
      </w:r>
      <w:r w:rsidR="00032184">
        <w:t xml:space="preserve">from the first round of simulations </w:t>
      </w:r>
      <w:r w:rsidR="00153CB2">
        <w:t>w</w:t>
      </w:r>
      <w:r>
        <w:t>ith the assumption that plant-based meat</w:t>
      </w:r>
      <w:r w:rsidR="00032184">
        <w:t>-analogues</w:t>
      </w:r>
      <w:r>
        <w:t xml:space="preserve"> and </w:t>
      </w:r>
      <w:r w:rsidR="00032184">
        <w:t>animal</w:t>
      </w:r>
      <w:r>
        <w:t xml:space="preserve">-based meat </w:t>
      </w:r>
      <w:r w:rsidR="00032184">
        <w:t xml:space="preserve">supply </w:t>
      </w:r>
      <w:r>
        <w:t>different markets, and</w:t>
      </w:r>
      <w:r w:rsidR="00032184">
        <w:t xml:space="preserve"> considering</w:t>
      </w:r>
      <w:r>
        <w:t xml:space="preserve"> that the </w:t>
      </w:r>
      <w:r w:rsidR="00032184">
        <w:t>novel foods formulated by the</w:t>
      </w:r>
      <w:r>
        <w:t xml:space="preserve"> </w:t>
      </w:r>
      <w:r w:rsidR="00153CB2">
        <w:t>selected</w:t>
      </w:r>
      <w:r>
        <w:t xml:space="preserve"> waste-to-nutrition pathways were </w:t>
      </w:r>
      <w:r w:rsidR="00032184">
        <w:t>successfully recognized</w:t>
      </w:r>
      <w:r>
        <w:t xml:space="preserve"> as animal</w:t>
      </w:r>
      <w:r w:rsidR="00032184">
        <w:t>-grade</w:t>
      </w:r>
      <w:r>
        <w:t xml:space="preserve"> proteins (e.g. insect</w:t>
      </w:r>
      <w:r w:rsidR="00032184">
        <w:t xml:space="preserve"> larvae</w:t>
      </w:r>
      <w:r>
        <w:t xml:space="preserve">). </w:t>
      </w:r>
      <w:r w:rsidR="00032184">
        <w:t>However, t</w:t>
      </w:r>
      <w:r>
        <w:t xml:space="preserve">his </w:t>
      </w:r>
      <w:r w:rsidR="00032184">
        <w:t xml:space="preserve">assumption was deemed as </w:t>
      </w:r>
      <w:r>
        <w:t xml:space="preserve">optimistic </w:t>
      </w:r>
      <w:r w:rsidR="00032184">
        <w:t>considering that, in several countries, plant-based meat-analogues suppliers are already structured in large ecosystems</w:t>
      </w:r>
      <w:r w:rsidR="00411E5F">
        <w:t>, a</w:t>
      </w:r>
      <w:r w:rsidR="00032184">
        <w:t>lready produc</w:t>
      </w:r>
      <w:r w:rsidR="00411E5F">
        <w:t>ing</w:t>
      </w:r>
      <w:r w:rsidR="00032184">
        <w:t xml:space="preserve"> at the industrial scale with a </w:t>
      </w:r>
      <w:r>
        <w:t>two-digit growth trend</w:t>
      </w:r>
      <w:r>
        <w:fldChar w:fldCharType="begin"/>
      </w:r>
      <w:r w:rsidR="00C61A9E">
        <w:instrText xml:space="preserve"> ADDIN ZOTERO_ITEM CSL_CITATION {"citationID":"JgNz2iTQ","properties":{"formattedCitation":"\\super 19\\nosupersub{}","plainCitation":"19","noteIndex":0},"citationItems":[{"id":2689,"uris":["http://zotero.org/users/6423791/items/PWXNJMXZ"],"itemData":{"id":2689,"type":"report","collection-title":"State of the Industry Report","publisher":"The Good Food Institute","title":"Plant-based meat, eggs and dairy","URL":"https://www.gfi.org/non-cms-pages/splash-sites/soi-reports/files/SOI-Report-Plant-Based.pdf","author":[{"family":"Cameron","given":"B"},{"family":"O'Neill","given":"S"},{"family":"Bushnell","given":"C"},{"family":"Weston","given":"Z"},{"family":"Derbes","given":"E"},{"family":"Szejda","given":"K"}],"accessed":{"date-parts":[["2020",10,27]]},"issued":{"date-parts":[["2019"]]}}}],"schema":"https://github.com/citation-style-language/schema/raw/master/csl-citation.json"} </w:instrText>
      </w:r>
      <w:r>
        <w:fldChar w:fldCharType="separate"/>
      </w:r>
      <w:r w:rsidR="00C61A9E" w:rsidRPr="00C61A9E">
        <w:rPr>
          <w:rFonts w:ascii="Calibri" w:hAnsi="Calibri" w:cs="Calibri"/>
          <w:szCs w:val="24"/>
          <w:vertAlign w:val="superscript"/>
        </w:rPr>
        <w:t>19</w:t>
      </w:r>
      <w:r>
        <w:fldChar w:fldCharType="end"/>
      </w:r>
      <w:r w:rsidR="00411E5F">
        <w:t>.</w:t>
      </w:r>
      <w:r>
        <w:t xml:space="preserve"> </w:t>
      </w:r>
      <w:r w:rsidR="00411E5F">
        <w:t xml:space="preserve">Moreover, </w:t>
      </w:r>
      <w:r>
        <w:t>there is no evidences indicating that the presence of alternative</w:t>
      </w:r>
      <w:r w:rsidR="00411E5F">
        <w:t>s to</w:t>
      </w:r>
      <w:r>
        <w:t xml:space="preserve"> </w:t>
      </w:r>
      <w:r w:rsidR="00411E5F">
        <w:t xml:space="preserve">animal-based </w:t>
      </w:r>
      <w:r>
        <w:t>meat (with no other intervention measures) reduce meat consumptions</w:t>
      </w:r>
      <w:r>
        <w:fldChar w:fldCharType="begin"/>
      </w:r>
      <w:r w:rsidR="00C61A9E">
        <w:instrText xml:space="preserve"> ADDIN ZOTERO_ITEM CSL_CITATION {"citationID":"dHSQa42y","properties":{"formattedCitation":"\\super 20\\uc0\\u8211{}22\\nosupersub{}","plainCitation":"20–22","noteIndex":0},"citationItems":[{"id":13821,"uris":["http://zotero.org/users/6423791/items/SVDTYF7J"],"itemData":{"id":13821,"type":"article-journal","abstract":"Industry and governments are increasingly investing in cellular agriculture. However, the trajectory of these technologies is likely to reinforce many current food system problems, particularly power asymmetries.","container-title":"Nature Food","DOI":"10.1038/s43016-022-00609-5","ISSN":"2662-1355","issue":"10","journalAbbreviation":"Nat Food","language":"en","license":"2022 Springer Nature Limited","note":"number: 10\npublisher: Nature Publishing Group","page":"798-800","source":"www.nature.com","title":"Cellular agriculture will reinforce power asymmetries in food systems","volume":"3","author":[{"family":"Howard","given":"Philip H."}],"issued":{"date-parts":[["2022",10]]}}},{"id":13815,"uris":["http://zotero.org/users/6423791/items/MUC2QVGW"],"itemData":{"id":13815,"type":"article-journal","abstract":"The proposed benefits of cultured meat fail to track our moral intuitions because they are focused on the practical aspect of cultured meat production and consumption. A virtue-oriented approach can show cultured meat in a different light.","container-title":"Nature Food","DOI":"10.1038/s43016-022-00601-z","ISSN":"2662-1355","issue":"10","journalAbbreviation":"Nat Food","language":"en","license":"2022 Springer Nature Limited","note":"number: 10\npublisher: Nature Publishing Group","page":"788-790","source":"www.nature.com","title":"A virtue-ethical approach to cultured meat","volume":"3","author":[{"family":"Alvaro","given":"Carlo"}],"issued":{"date-parts":[["2022",10]]}}},{"id":14052,"uris":["http://zotero.org/users/6423791/items/STHZLENA"],"itemData":{"id":14052,"type":"article-journal","abstract":"Achieving a sustainable and healthy diet requires increased replacement of red meat with more sustainable foods. There is a call for novel methodologies to assess the potential of different interventions and policies in enhancing the transition from the current to more sustainable choices. We aimed to characterize consumer clusters with similar preferences in protein sources, to compare the purchase prices of these foods, and to identify ongoing transitions from one protein source to another. Grocery purchase data with individual attributes on 29,437 consenting loyalty card holders were analyzed over 2.3 year period. We designed a sequence analysis to group participants to clusters with similar purchase preferences over the follow-up period and to estimate transition probabilities between preferences. We studied the determinants of prevalent purchase profiles by ordinal logistic models. We identified six participant profiles with similar preferences in four protein sources: red meat, poultry, fish, and plant-based foods. Red meat dominated the purchase preferences and showed the highest persistence over time. The majority (70%) of the participants demonstrated somewhat mixed purchase profiles. A step-by-step transition from red meat towards plant-based food preference seems most likely via poultry and fish. Overall, low income was not a barrier to a more sustainable purchase profile, while price may deter the purchase of fish. The most important resources in choosing more sustainable profiles were education and stage of family life. Societal incentives for sustainable food choices seem most crucial at transition stages of life course and for the less educated. Here, we also demonstrate that grocery purchase data offer a valuable tool for monitoring the progressive transition towards a healthy and sustainable food system.","container-title":"PLOS Sustainability and Transformation","DOI":"10.1371/journal.pstr.0000015","ISSN":"2767-3197","issue":"6","journalAbbreviation":"PLOS Sustainability and Transformation","language":"en","note":"publisher: Public Library of Science","page":"e0000015","source":"PLoS Journals","title":"A slow road from meat dominance to more sustainable diets: An analysis of purchase preferences among Finnish loyalty-card holders","title-short":"A slow road from meat dominance to more sustainable diets","volume":"1","author":[{"family":"Erkkola","given":"Maijaliisa"},{"family":"Kinnunen","given":"Satu M."},{"family":"Vepsäläinen","given":"Henna R."},{"family":"Meinilä","given":"Jelena M."},{"family":"Uusitalo","given":"Liisa"},{"family":"Konttinen","given":"Hanna"},{"family":"Saarijärvi","given":"Hannu"},{"family":"Fogelholm","given":"Mikael"},{"family":"Nevalainen","given":"Jaakko"}],"issued":{"date-parts":[["2022",6,16]]}}}],"schema":"https://github.com/citation-style-language/schema/raw/master/csl-citation.json"} </w:instrText>
      </w:r>
      <w:r>
        <w:fldChar w:fldCharType="separate"/>
      </w:r>
      <w:r w:rsidR="00C61A9E" w:rsidRPr="00C61A9E">
        <w:rPr>
          <w:rFonts w:ascii="Calibri" w:hAnsi="Calibri" w:cs="Calibri"/>
          <w:szCs w:val="24"/>
          <w:vertAlign w:val="superscript"/>
        </w:rPr>
        <w:t>20–22</w:t>
      </w:r>
      <w:r>
        <w:fldChar w:fldCharType="end"/>
      </w:r>
      <w:r>
        <w:t>.</w:t>
      </w:r>
    </w:p>
    <w:p w14:paraId="646E6E6B" w14:textId="3ACEFB44" w:rsidR="00492142" w:rsidRDefault="00411E5F" w:rsidP="00492142">
      <w:pPr>
        <w:jc w:val="both"/>
      </w:pPr>
      <w:r>
        <w:t xml:space="preserve">Therefore, a second set of simulations was designed considering waste-based novel foods would only join this animal-free meat-analogue market, marginally supplied by plant-based formulations. This case </w:t>
      </w:r>
      <w:r w:rsidR="00336CE2">
        <w:t>acknowledges that</w:t>
      </w:r>
      <w:r>
        <w:t xml:space="preserve"> the target of many plant-based formulations is already to mimic processed meat</w:t>
      </w:r>
      <w:r w:rsidR="00336CE2">
        <w:fldChar w:fldCharType="begin"/>
      </w:r>
      <w:r w:rsidR="00C61A9E">
        <w:instrText xml:space="preserve"> ADDIN ZOTERO_ITEM CSL_CITATION {"citationID":"QGT0mUzw","properties":{"formattedCitation":"\\super 19\\nosupersub{}","plainCitation":"19","noteIndex":0},"citationItems":[{"id":2689,"uris":["http://zotero.org/users/6423791/items/PWXNJMXZ"],"itemData":{"id":2689,"type":"report","collection-title":"State of the Industry Report","publisher":"The Good Food Institute","title":"Plant-based meat, eggs and dairy","URL":"https://www.gfi.org/non-cms-pages/splash-sites/soi-reports/files/SOI-Report-Plant-Based.pdf","author":[{"family":"Cameron","given":"B"},{"family":"O'Neill","given":"S"},{"family":"Bushnell","given":"C"},{"family":"Weston","given":"Z"},{"family":"Derbes","given":"E"},{"family":"Szejda","given":"K"}],"accessed":{"date-parts":[["2020",10,27]]},"issued":{"date-parts":[["2019"]]}}}],"schema":"https://github.com/citation-style-language/schema/raw/master/csl-citation.json"} </w:instrText>
      </w:r>
      <w:r w:rsidR="00336CE2">
        <w:fldChar w:fldCharType="separate"/>
      </w:r>
      <w:r w:rsidR="00C61A9E" w:rsidRPr="00C61A9E">
        <w:rPr>
          <w:rFonts w:ascii="Calibri" w:hAnsi="Calibri" w:cs="Calibri"/>
          <w:szCs w:val="24"/>
          <w:vertAlign w:val="superscript"/>
        </w:rPr>
        <w:t>19</w:t>
      </w:r>
      <w:r w:rsidR="00336CE2">
        <w:fldChar w:fldCharType="end"/>
      </w:r>
      <w:r w:rsidR="00336CE2">
        <w:t>, and illustrate</w:t>
      </w:r>
      <w:r>
        <w:t>s</w:t>
      </w:r>
      <w:r w:rsidR="00336CE2">
        <w:t xml:space="preserve"> the possibility that novel food</w:t>
      </w:r>
      <w:r>
        <w:t>s</w:t>
      </w:r>
      <w:r w:rsidR="00336CE2">
        <w:t xml:space="preserve"> </w:t>
      </w:r>
      <w:r>
        <w:t xml:space="preserve">are </w:t>
      </w:r>
      <w:r w:rsidR="00336CE2">
        <w:t xml:space="preserve">not recognized as an alternative by meat eaters, but rather by consumers already eating meat analogues. In other word, in this </w:t>
      </w:r>
      <w:r>
        <w:t>case</w:t>
      </w:r>
      <w:r w:rsidR="00336CE2">
        <w:t xml:space="preserve">, the animal-based meat market is independent from the rest of the options to provide “meat-equivalent” services. Therefore, novel foods compete with conventional or other plant-based </w:t>
      </w:r>
      <w:r>
        <w:t>meat-analogue formulations</w:t>
      </w:r>
      <w:r w:rsidR="00336CE2">
        <w:t>.</w:t>
      </w:r>
      <w:r w:rsidR="00492142">
        <w:t xml:space="preserve"> Plant-based meat analogue marginal suppliers were modeled as a mix of protein, lipids and </w:t>
      </w:r>
      <w:r>
        <w:t>carbohydrates feed</w:t>
      </w:r>
      <w:r w:rsidR="00492142">
        <w:t xml:space="preserve"> services (representing the ingredients entering the formulation of plant-based meat patties; </w:t>
      </w:r>
      <w:r w:rsidR="00492142" w:rsidRPr="00492142">
        <w:rPr>
          <w:b/>
        </w:rPr>
        <w:fldChar w:fldCharType="begin"/>
      </w:r>
      <w:r w:rsidR="00492142" w:rsidRPr="00492142">
        <w:rPr>
          <w:b/>
        </w:rPr>
        <w:instrText xml:space="preserve"> REF _Ref151655565 \h </w:instrText>
      </w:r>
      <w:r w:rsidR="00492142">
        <w:rPr>
          <w:b/>
        </w:rPr>
        <w:instrText xml:space="preserve"> \* MERGEFORMAT </w:instrText>
      </w:r>
      <w:r w:rsidR="00492142" w:rsidRPr="00492142">
        <w:rPr>
          <w:b/>
        </w:rPr>
      </w:r>
      <w:r w:rsidR="00492142" w:rsidRPr="00492142">
        <w:rPr>
          <w:b/>
        </w:rPr>
        <w:fldChar w:fldCharType="separate"/>
      </w:r>
      <w:r w:rsidR="00492142" w:rsidRPr="00492142">
        <w:rPr>
          <w:b/>
        </w:rPr>
        <w:t>Table SI</w:t>
      </w:r>
      <w:r w:rsidR="00492142" w:rsidRPr="00492142">
        <w:rPr>
          <w:b/>
          <w:noProof/>
        </w:rPr>
        <w:t>15</w:t>
      </w:r>
      <w:r w:rsidR="00492142" w:rsidRPr="00492142">
        <w:rPr>
          <w:b/>
        </w:rPr>
        <w:fldChar w:fldCharType="end"/>
      </w:r>
      <w:r w:rsidR="00492142">
        <w:t>).</w:t>
      </w:r>
    </w:p>
    <w:p w14:paraId="4EC5CED3" w14:textId="6A8420E2" w:rsidR="00153CB2" w:rsidRDefault="000B7A6E" w:rsidP="00153CB2">
      <w:pPr>
        <w:jc w:val="both"/>
      </w:pPr>
      <w:r>
        <w:t xml:space="preserve">The </w:t>
      </w:r>
      <w:r w:rsidR="00492142">
        <w:t>LCI of animal-based meat suppliers</w:t>
      </w:r>
      <w:r w:rsidR="00153CB2">
        <w:t xml:space="preserve"> were adapted from existing </w:t>
      </w:r>
      <w:proofErr w:type="spellStart"/>
      <w:r w:rsidR="00153CB2">
        <w:t>ecoinvent</w:t>
      </w:r>
      <w:proofErr w:type="spellEnd"/>
      <w:r w:rsidR="00153CB2">
        <w:t xml:space="preserve"> processes (see</w:t>
      </w:r>
      <w:r w:rsidR="00492142">
        <w:t xml:space="preserve"> </w:t>
      </w:r>
      <w:r w:rsidR="00492142" w:rsidRPr="00492142">
        <w:rPr>
          <w:b/>
        </w:rPr>
        <w:fldChar w:fldCharType="begin"/>
      </w:r>
      <w:r w:rsidR="00492142" w:rsidRPr="00492142">
        <w:rPr>
          <w:b/>
        </w:rPr>
        <w:instrText xml:space="preserve"> REF _Ref151655597 \h </w:instrText>
      </w:r>
      <w:r w:rsidR="00492142">
        <w:rPr>
          <w:b/>
        </w:rPr>
        <w:instrText xml:space="preserve"> \* MERGEFORMAT </w:instrText>
      </w:r>
      <w:r w:rsidR="00492142" w:rsidRPr="00492142">
        <w:rPr>
          <w:b/>
        </w:rPr>
      </w:r>
      <w:r w:rsidR="00492142" w:rsidRPr="00492142">
        <w:rPr>
          <w:b/>
        </w:rPr>
        <w:fldChar w:fldCharType="separate"/>
      </w:r>
      <w:r w:rsidR="00492142" w:rsidRPr="00492142">
        <w:rPr>
          <w:b/>
        </w:rPr>
        <w:t>Table SI</w:t>
      </w:r>
      <w:r w:rsidR="00492142" w:rsidRPr="00492142">
        <w:rPr>
          <w:b/>
          <w:noProof/>
        </w:rPr>
        <w:t>14</w:t>
      </w:r>
      <w:r w:rsidR="00492142" w:rsidRPr="00492142">
        <w:rPr>
          <w:b/>
        </w:rPr>
        <w:fldChar w:fldCharType="end"/>
      </w:r>
      <w:r w:rsidR="00492142">
        <w:t xml:space="preserve">). </w:t>
      </w:r>
      <w:r w:rsidR="00153CB2">
        <w:t>These, expressed in live weight (LW), were converted in terms of meat-equivalent service (i.e. human edible part) through the use of a carcass yield (</w:t>
      </w:r>
      <w:r w:rsidR="00492142" w:rsidRPr="00492142">
        <w:rPr>
          <w:b/>
          <w:highlight w:val="yellow"/>
        </w:rPr>
        <w:fldChar w:fldCharType="begin"/>
      </w:r>
      <w:r w:rsidR="00492142" w:rsidRPr="00492142">
        <w:rPr>
          <w:b/>
        </w:rPr>
        <w:instrText xml:space="preserve"> REF _Ref151655275 \h </w:instrText>
      </w:r>
      <w:r w:rsidR="00492142" w:rsidRPr="00492142">
        <w:rPr>
          <w:b/>
          <w:highlight w:val="yellow"/>
        </w:rPr>
        <w:instrText xml:space="preserve"> \* MERGEFORMAT </w:instrText>
      </w:r>
      <w:r w:rsidR="00492142" w:rsidRPr="00492142">
        <w:rPr>
          <w:b/>
          <w:highlight w:val="yellow"/>
        </w:rPr>
      </w:r>
      <w:r w:rsidR="00492142" w:rsidRPr="00492142">
        <w:rPr>
          <w:b/>
          <w:highlight w:val="yellow"/>
        </w:rPr>
        <w:fldChar w:fldCharType="separate"/>
      </w:r>
      <w:r w:rsidR="00492142" w:rsidRPr="00492142">
        <w:rPr>
          <w:b/>
        </w:rPr>
        <w:t>Table SI</w:t>
      </w:r>
      <w:r w:rsidR="00492142" w:rsidRPr="00492142">
        <w:rPr>
          <w:b/>
          <w:noProof/>
        </w:rPr>
        <w:t>13</w:t>
      </w:r>
      <w:r w:rsidR="00492142" w:rsidRPr="00492142">
        <w:rPr>
          <w:b/>
          <w:highlight w:val="yellow"/>
        </w:rPr>
        <w:fldChar w:fldCharType="end"/>
      </w:r>
      <w:r w:rsidR="00153CB2">
        <w:t>). Animal by-products were calculated by mass balance, and assumed valorized as feed ingredients through rendering operations (producing tallow</w:t>
      </w:r>
      <w:r>
        <w:t>,</w:t>
      </w:r>
      <w:r w:rsidR="00153CB2">
        <w:t xml:space="preserve"> and meat and bone meal). These two by-products were </w:t>
      </w:r>
      <w:r w:rsidR="00492142">
        <w:t>considered</w:t>
      </w:r>
      <w:r w:rsidR="00153CB2">
        <w:t xml:space="preserve">, based on their composition, to respectively </w:t>
      </w:r>
      <w:r>
        <w:t>substitute the</w:t>
      </w:r>
      <w:r w:rsidR="00153CB2">
        <w:t xml:space="preserve"> marginal</w:t>
      </w:r>
      <w:r>
        <w:t xml:space="preserve"> production of</w:t>
      </w:r>
      <w:r w:rsidR="00153CB2">
        <w:t xml:space="preserve"> lipid</w:t>
      </w:r>
      <w:r>
        <w:t>s</w:t>
      </w:r>
      <w:r w:rsidR="00153CB2">
        <w:t xml:space="preserve"> and protein feed</w:t>
      </w:r>
      <w:r>
        <w:t>s,</w:t>
      </w:r>
      <w:r w:rsidR="00153CB2">
        <w:t xml:space="preserve"> </w:t>
      </w:r>
      <w:r>
        <w:t xml:space="preserve">themselves being a function of the scenario assessed, see previous sections. This was done to ensure scenario consistency in accounting, for example, the </w:t>
      </w:r>
      <w:r w:rsidR="00153CB2" w:rsidRPr="001104E8">
        <w:t>LUC-related impacts. For the same consistency</w:t>
      </w:r>
      <w:r w:rsidR="00153CB2">
        <w:t xml:space="preserve"> endeavors</w:t>
      </w:r>
      <w:r w:rsidR="00153CB2" w:rsidRPr="001104E8">
        <w:t xml:space="preserve">, </w:t>
      </w:r>
      <w:r w:rsidR="00153CB2" w:rsidRPr="001104E8">
        <w:lastRenderedPageBreak/>
        <w:t>meat</w:t>
      </w:r>
      <w:r w:rsidR="00153CB2">
        <w:t xml:space="preserve"> production</w:t>
      </w:r>
      <w:r>
        <w:t xml:space="preserve"> and feed ingredients production</w:t>
      </w:r>
      <w:r w:rsidR="00153CB2">
        <w:t xml:space="preserve"> phase</w:t>
      </w:r>
      <w:r>
        <w:t>s</w:t>
      </w:r>
      <w:r w:rsidR="00153CB2">
        <w:t xml:space="preserve"> </w:t>
      </w:r>
      <w:r>
        <w:t>we</w:t>
      </w:r>
      <w:r w:rsidR="00153CB2">
        <w:t xml:space="preserve">re modeled apart. This was done by removing the feed ingredients embedded within </w:t>
      </w:r>
      <w:r w:rsidR="00492142">
        <w:t xml:space="preserve">selected </w:t>
      </w:r>
      <w:proofErr w:type="spellStart"/>
      <w:r w:rsidR="00492142">
        <w:t>ecoinvent</w:t>
      </w:r>
      <w:proofErr w:type="spellEnd"/>
      <w:r w:rsidR="00492142">
        <w:t xml:space="preserve"> activities</w:t>
      </w:r>
      <w:r w:rsidR="00153CB2">
        <w:t xml:space="preserve"> </w:t>
      </w:r>
      <w:r w:rsidR="00492142">
        <w:t>of</w:t>
      </w:r>
      <w:r w:rsidR="00153CB2">
        <w:t xml:space="preserve"> poultry and swine production</w:t>
      </w:r>
      <w:r>
        <w:t xml:space="preserve"> systems</w:t>
      </w:r>
      <w:r w:rsidR="00492142">
        <w:t xml:space="preserve">, </w:t>
      </w:r>
      <w:r w:rsidR="00153CB2">
        <w:t xml:space="preserve">and replacing them by their equivalent in terms of marginal protein, </w:t>
      </w:r>
      <w:r>
        <w:t xml:space="preserve">carbohydrates </w:t>
      </w:r>
      <w:r w:rsidR="00153CB2">
        <w:t>and lipid</w:t>
      </w:r>
      <w:r>
        <w:t>s</w:t>
      </w:r>
      <w:r w:rsidR="00153CB2">
        <w:t xml:space="preserve"> feed</w:t>
      </w:r>
      <w:r>
        <w:t>s</w:t>
      </w:r>
      <w:r w:rsidR="00153CB2">
        <w:t>. The underlying assumptions is that the feed conversion ratio</w:t>
      </w:r>
      <w:r>
        <w:t>s</w:t>
      </w:r>
      <w:r w:rsidR="00153CB2">
        <w:t xml:space="preserve"> (FCR) implicitly used in </w:t>
      </w:r>
      <w:proofErr w:type="spellStart"/>
      <w:r w:rsidR="00153CB2">
        <w:t>ecoinvent</w:t>
      </w:r>
      <w:proofErr w:type="spellEnd"/>
      <w:r w:rsidR="00153CB2">
        <w:t xml:space="preserve"> database w</w:t>
      </w:r>
      <w:r>
        <w:t>ere</w:t>
      </w:r>
      <w:r w:rsidR="00153CB2">
        <w:t xml:space="preserve"> kept. </w:t>
      </w:r>
      <w:r>
        <w:t>Inventories associated with m</w:t>
      </w:r>
      <w:r w:rsidR="00153CB2">
        <w:t xml:space="preserve">anure management and land spreading </w:t>
      </w:r>
      <w:r w:rsidR="00A16D35">
        <w:t xml:space="preserve">already accounted for </w:t>
      </w:r>
      <w:r w:rsidR="00153CB2">
        <w:t xml:space="preserve">in </w:t>
      </w:r>
      <w:proofErr w:type="spellStart"/>
      <w:r w:rsidR="00153CB2">
        <w:t>ecoinvent</w:t>
      </w:r>
      <w:proofErr w:type="spellEnd"/>
      <w:r w:rsidR="00153CB2">
        <w:t xml:space="preserve"> </w:t>
      </w:r>
      <w:r w:rsidR="00492142">
        <w:t>activities</w:t>
      </w:r>
      <w:r w:rsidR="00153CB2">
        <w:t xml:space="preserve"> w</w:t>
      </w:r>
      <w:r w:rsidR="00492142">
        <w:t>ere</w:t>
      </w:r>
      <w:r w:rsidR="00153CB2">
        <w:t xml:space="preserve"> kept as </w:t>
      </w:r>
      <w:r w:rsidR="00A16D35">
        <w:t>they stand</w:t>
      </w:r>
      <w:r w:rsidR="00153CB2">
        <w:t>.</w:t>
      </w:r>
    </w:p>
    <w:p w14:paraId="292E416E" w14:textId="709B4AD3" w:rsidR="00153CB2" w:rsidRDefault="000E120C" w:rsidP="000E120C">
      <w:pPr>
        <w:pStyle w:val="Lgende"/>
        <w:jc w:val="left"/>
        <w:rPr>
          <w:highlight w:val="yellow"/>
        </w:rPr>
      </w:pPr>
      <w:bookmarkStart w:id="29" w:name="_Ref151655275"/>
      <w:bookmarkStart w:id="30" w:name="_Toc128061483"/>
      <w:bookmarkStart w:id="31" w:name="_Toc155516849"/>
      <w:r>
        <w:t xml:space="preserve">Table </w:t>
      </w:r>
      <w:r w:rsidRPr="000E120C">
        <w:t>SI</w:t>
      </w:r>
      <w:r w:rsidRPr="000E120C">
        <w:fldChar w:fldCharType="begin"/>
      </w:r>
      <w:r w:rsidRPr="000E120C">
        <w:instrText xml:space="preserve"> SEQ Table \* ARABIC </w:instrText>
      </w:r>
      <w:r w:rsidRPr="000E120C">
        <w:fldChar w:fldCharType="separate"/>
      </w:r>
      <w:r w:rsidR="00C65861">
        <w:rPr>
          <w:noProof/>
        </w:rPr>
        <w:t>13</w:t>
      </w:r>
      <w:r w:rsidRPr="000E120C">
        <w:fldChar w:fldCharType="end"/>
      </w:r>
      <w:bookmarkEnd w:id="29"/>
      <w:r w:rsidRPr="000E120C">
        <w:t xml:space="preserve"> </w:t>
      </w:r>
      <w:r w:rsidR="00153CB2" w:rsidRPr="000E120C">
        <w:t>– Modeling</w:t>
      </w:r>
      <w:r w:rsidR="00153CB2" w:rsidRPr="00256FEB">
        <w:t xml:space="preserve"> of poultry and swine meat production</w:t>
      </w:r>
      <w:bookmarkEnd w:id="30"/>
      <w:r w:rsidR="00A16D35">
        <w:t xml:space="preserve"> systems</w:t>
      </w:r>
      <w:bookmarkEnd w:id="31"/>
    </w:p>
    <w:tbl>
      <w:tblPr>
        <w:tblStyle w:val="Tableausimple2"/>
        <w:tblW w:w="0" w:type="auto"/>
        <w:tblLook w:val="04A0" w:firstRow="1" w:lastRow="0" w:firstColumn="1" w:lastColumn="0" w:noHBand="0" w:noVBand="1"/>
      </w:tblPr>
      <w:tblGrid>
        <w:gridCol w:w="2417"/>
        <w:gridCol w:w="762"/>
        <w:gridCol w:w="667"/>
        <w:gridCol w:w="5226"/>
      </w:tblGrid>
      <w:tr w:rsidR="00153CB2" w:rsidRPr="00A35E63" w14:paraId="22E66FE9" w14:textId="77777777" w:rsidTr="004921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6E90D906" w14:textId="77777777" w:rsidR="00153CB2" w:rsidRPr="001104E8" w:rsidRDefault="00153CB2" w:rsidP="00492142">
            <w:pPr>
              <w:rPr>
                <w:rFonts w:cs="Times New Roman"/>
                <w:sz w:val="18"/>
              </w:rPr>
            </w:pPr>
            <w:r w:rsidRPr="001104E8">
              <w:rPr>
                <w:rFonts w:cs="Times New Roman"/>
                <w:sz w:val="18"/>
              </w:rPr>
              <w:t>Parameters</w:t>
            </w:r>
          </w:p>
        </w:tc>
        <w:tc>
          <w:tcPr>
            <w:tcW w:w="0" w:type="auto"/>
          </w:tcPr>
          <w:p w14:paraId="45E2A0A2" w14:textId="77777777" w:rsidR="00153CB2" w:rsidRPr="001104E8" w:rsidRDefault="00153CB2" w:rsidP="00492142">
            <w:pPr>
              <w:cnfStyle w:val="100000000000" w:firstRow="1" w:lastRow="0" w:firstColumn="0" w:lastColumn="0" w:oddVBand="0" w:evenVBand="0" w:oddHBand="0" w:evenHBand="0" w:firstRowFirstColumn="0" w:firstRowLastColumn="0" w:lastRowFirstColumn="0" w:lastRowLastColumn="0"/>
              <w:rPr>
                <w:rFonts w:cs="Times New Roman"/>
                <w:sz w:val="18"/>
              </w:rPr>
            </w:pPr>
            <w:r w:rsidRPr="001104E8">
              <w:rPr>
                <w:rFonts w:cs="Times New Roman"/>
                <w:sz w:val="18"/>
              </w:rPr>
              <w:t>Poultry</w:t>
            </w:r>
          </w:p>
        </w:tc>
        <w:tc>
          <w:tcPr>
            <w:tcW w:w="0" w:type="auto"/>
          </w:tcPr>
          <w:p w14:paraId="22393E98" w14:textId="77777777" w:rsidR="00153CB2" w:rsidRPr="001104E8" w:rsidRDefault="00153CB2" w:rsidP="00492142">
            <w:pPr>
              <w:cnfStyle w:val="100000000000" w:firstRow="1" w:lastRow="0" w:firstColumn="0" w:lastColumn="0" w:oddVBand="0" w:evenVBand="0" w:oddHBand="0" w:evenHBand="0" w:firstRowFirstColumn="0" w:firstRowLastColumn="0" w:lastRowFirstColumn="0" w:lastRowLastColumn="0"/>
              <w:rPr>
                <w:rFonts w:cs="Times New Roman"/>
                <w:sz w:val="18"/>
              </w:rPr>
            </w:pPr>
            <w:r w:rsidRPr="001104E8">
              <w:rPr>
                <w:rFonts w:cs="Times New Roman"/>
                <w:sz w:val="18"/>
              </w:rPr>
              <w:t>Swine</w:t>
            </w:r>
          </w:p>
        </w:tc>
        <w:tc>
          <w:tcPr>
            <w:tcW w:w="0" w:type="auto"/>
          </w:tcPr>
          <w:p w14:paraId="09231B99" w14:textId="77777777" w:rsidR="00153CB2" w:rsidRPr="001104E8" w:rsidRDefault="00153CB2" w:rsidP="00492142">
            <w:pPr>
              <w:cnfStyle w:val="100000000000" w:firstRow="1" w:lastRow="0" w:firstColumn="0" w:lastColumn="0" w:oddVBand="0" w:evenVBand="0" w:oddHBand="0" w:evenHBand="0" w:firstRowFirstColumn="0" w:firstRowLastColumn="0" w:lastRowFirstColumn="0" w:lastRowLastColumn="0"/>
              <w:rPr>
                <w:rFonts w:cs="Times New Roman"/>
                <w:i/>
                <w:sz w:val="18"/>
              </w:rPr>
            </w:pPr>
            <w:r w:rsidRPr="001104E8">
              <w:rPr>
                <w:rFonts w:cs="Times New Roman"/>
                <w:i/>
                <w:sz w:val="18"/>
              </w:rPr>
              <w:t>Reference/Comments</w:t>
            </w:r>
          </w:p>
        </w:tc>
      </w:tr>
      <w:tr w:rsidR="00153CB2" w:rsidRPr="00AE3D44" w14:paraId="3DA89AF8"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7D600160" w14:textId="77777777" w:rsidR="00153CB2" w:rsidRPr="006039D1" w:rsidRDefault="00153CB2" w:rsidP="00492142">
            <w:pPr>
              <w:rPr>
                <w:rFonts w:cs="Times New Roman"/>
                <w:b w:val="0"/>
                <w:sz w:val="18"/>
              </w:rPr>
            </w:pPr>
            <w:r w:rsidRPr="006039D1">
              <w:rPr>
                <w:rFonts w:cs="Times New Roman"/>
                <w:b w:val="0"/>
                <w:sz w:val="18"/>
              </w:rPr>
              <w:t>Carcass yield (%</w:t>
            </w:r>
            <w:proofErr w:type="spellStart"/>
            <w:r w:rsidRPr="006039D1">
              <w:rPr>
                <w:rFonts w:cs="Times New Roman"/>
                <w:b w:val="0"/>
                <w:sz w:val="18"/>
                <w:vertAlign w:val="subscript"/>
              </w:rPr>
              <w:t>ww</w:t>
            </w:r>
            <w:proofErr w:type="spellEnd"/>
            <w:r w:rsidRPr="006039D1">
              <w:rPr>
                <w:rFonts w:cs="Times New Roman"/>
                <w:b w:val="0"/>
                <w:sz w:val="18"/>
              </w:rPr>
              <w:t>)</w:t>
            </w:r>
          </w:p>
        </w:tc>
        <w:tc>
          <w:tcPr>
            <w:tcW w:w="0" w:type="auto"/>
          </w:tcPr>
          <w:p w14:paraId="6721C7DE" w14:textId="77777777" w:rsidR="00153CB2" w:rsidRPr="00A35E63" w:rsidRDefault="00153CB2" w:rsidP="00492142">
            <w:pPr>
              <w:cnfStyle w:val="000000100000" w:firstRow="0" w:lastRow="0" w:firstColumn="0" w:lastColumn="0" w:oddVBand="0" w:evenVBand="0" w:oddHBand="1" w:evenHBand="0" w:firstRowFirstColumn="0" w:firstRowLastColumn="0" w:lastRowFirstColumn="0" w:lastRowLastColumn="0"/>
              <w:rPr>
                <w:rFonts w:cs="Times New Roman"/>
                <w:sz w:val="18"/>
              </w:rPr>
            </w:pPr>
            <w:r w:rsidRPr="00A35E63">
              <w:rPr>
                <w:rFonts w:cs="Times New Roman"/>
                <w:sz w:val="18"/>
              </w:rPr>
              <w:t>62%</w:t>
            </w:r>
          </w:p>
        </w:tc>
        <w:tc>
          <w:tcPr>
            <w:tcW w:w="0" w:type="auto"/>
          </w:tcPr>
          <w:p w14:paraId="15FD8391" w14:textId="77777777" w:rsidR="00153CB2" w:rsidRPr="00A35E63" w:rsidRDefault="00153CB2" w:rsidP="00492142">
            <w:pPr>
              <w:cnfStyle w:val="000000100000" w:firstRow="0" w:lastRow="0" w:firstColumn="0" w:lastColumn="0" w:oddVBand="0" w:evenVBand="0" w:oddHBand="1" w:evenHBand="0" w:firstRowFirstColumn="0" w:firstRowLastColumn="0" w:lastRowFirstColumn="0" w:lastRowLastColumn="0"/>
              <w:rPr>
                <w:rFonts w:cs="Times New Roman"/>
                <w:sz w:val="18"/>
              </w:rPr>
            </w:pPr>
            <w:r w:rsidRPr="00A35E63">
              <w:rPr>
                <w:rFonts w:cs="Times New Roman"/>
                <w:sz w:val="18"/>
              </w:rPr>
              <w:t>80%</w:t>
            </w:r>
          </w:p>
        </w:tc>
        <w:tc>
          <w:tcPr>
            <w:tcW w:w="0" w:type="auto"/>
          </w:tcPr>
          <w:p w14:paraId="39AD0514" w14:textId="2C98D8D2" w:rsidR="00153CB2" w:rsidRPr="00CF7E7A" w:rsidRDefault="00153CB2" w:rsidP="00492142">
            <w:pPr>
              <w:cnfStyle w:val="000000100000" w:firstRow="0" w:lastRow="0" w:firstColumn="0" w:lastColumn="0" w:oddVBand="0" w:evenVBand="0" w:oddHBand="1" w:evenHBand="0" w:firstRowFirstColumn="0" w:firstRowLastColumn="0" w:lastRowFirstColumn="0" w:lastRowLastColumn="0"/>
              <w:rPr>
                <w:rFonts w:cs="Times New Roman"/>
                <w:i/>
                <w:sz w:val="18"/>
                <w:lang w:val="fr-FR"/>
              </w:rPr>
            </w:pPr>
            <w:r>
              <w:rPr>
                <w:rFonts w:cs="Times New Roman"/>
                <w:i/>
                <w:sz w:val="18"/>
                <w:lang w:val="fr-FR"/>
              </w:rPr>
              <w:t xml:space="preserve">Human </w:t>
            </w:r>
            <w:proofErr w:type="spellStart"/>
            <w:r>
              <w:rPr>
                <w:rFonts w:cs="Times New Roman"/>
                <w:i/>
                <w:sz w:val="18"/>
                <w:lang w:val="fr-FR"/>
              </w:rPr>
              <w:t>edible</w:t>
            </w:r>
            <w:proofErr w:type="spellEnd"/>
            <w:r>
              <w:rPr>
                <w:rFonts w:cs="Times New Roman"/>
                <w:i/>
                <w:sz w:val="18"/>
                <w:lang w:val="fr-FR"/>
              </w:rPr>
              <w:t xml:space="preserve"> </w:t>
            </w:r>
            <w:proofErr w:type="spellStart"/>
            <w:r>
              <w:rPr>
                <w:rFonts w:cs="Times New Roman"/>
                <w:i/>
                <w:sz w:val="18"/>
                <w:lang w:val="fr-FR"/>
              </w:rPr>
              <w:t>share</w:t>
            </w:r>
            <w:proofErr w:type="spellEnd"/>
            <w:r>
              <w:rPr>
                <w:rFonts w:cs="Times New Roman"/>
                <w:i/>
                <w:sz w:val="18"/>
                <w:lang w:val="fr-FR"/>
              </w:rPr>
              <w:t>,</w:t>
            </w:r>
            <w:r w:rsidRPr="00CF7E7A">
              <w:rPr>
                <w:rFonts w:cs="Times New Roman"/>
                <w:i/>
                <w:sz w:val="18"/>
                <w:lang w:val="fr-FR"/>
              </w:rPr>
              <w:t xml:space="preserve"> Laisse et al., 2018 </w:t>
            </w:r>
            <w:r w:rsidRPr="009D665A">
              <w:rPr>
                <w:rFonts w:cs="Times New Roman"/>
                <w:i/>
                <w:sz w:val="18"/>
              </w:rPr>
              <w:fldChar w:fldCharType="begin"/>
            </w:r>
            <w:r w:rsidR="00C61A9E">
              <w:rPr>
                <w:rFonts w:cs="Times New Roman"/>
                <w:i/>
                <w:sz w:val="18"/>
                <w:lang w:val="fr-FR"/>
              </w:rPr>
              <w:instrText xml:space="preserve"> ADDIN ZOTERO_ITEM CSL_CITATION {"citationID":"9Ohn8zwT","properties":{"formattedCitation":"\\super 23\\nosupersub{}","plainCitation":"23","noteIndex":0},"citationItems":[{"id":2855,"uris":["http://zotero.org/users/6423791/items/6AQ8WBD4"],"itemData":{"id":2855,"type":"article-journal","container-title":"INRA Productions Animales","DOI":"10.20870/productions-animales.2018.31.3.2355","ISSN":"2273-7766","issue":"3","journalAbbreviation":"INRA Prod. Anim","language":"fr","license":"Copyright (c) 2018 INRA Productions Animales","note":"number: 3","page":"269-288","source":"productions-animales.org","title":"L’efficience nette de conversion des aliments par les animaux d’élevage : une nouvelle approche pour évaluer la contribution de l’élevage à l’alimentation humaine","title-short":"L’efficience nette de conversion des aliments par les animaux d’élevage","volume":"31","author":[{"family":"Laisse","given":"Sarah"},{"family":"Baumont","given":"René"},{"family":"Dusart","given":"Léonie"},{"family":"Gaudré","given":"Didier"},{"family":"Rouillé","given":"Benoit"},{"family":"Benoit","given":"Marc"},{"family":"Veysset","given":"Patrick"},{"family":"Rémond","given":"Didier"},{"family":"Peyraud","given":"Jean-Louis"}],"issued":{"date-parts":[["2018",10,1]]}}}],"schema":"https://github.com/citation-style-language/schema/raw/master/csl-citation.json"} </w:instrText>
            </w:r>
            <w:r w:rsidRPr="009D665A">
              <w:rPr>
                <w:rFonts w:cs="Times New Roman"/>
                <w:i/>
                <w:sz w:val="18"/>
              </w:rPr>
              <w:fldChar w:fldCharType="separate"/>
            </w:r>
            <w:r w:rsidR="00C61A9E" w:rsidRPr="00C61A9E">
              <w:rPr>
                <w:rFonts w:ascii="Calibri" w:hAnsi="Calibri" w:cs="Calibri"/>
                <w:sz w:val="18"/>
                <w:szCs w:val="24"/>
                <w:vertAlign w:val="superscript"/>
                <w:lang w:val="fr-FR"/>
              </w:rPr>
              <w:t>23</w:t>
            </w:r>
            <w:r w:rsidRPr="009D665A">
              <w:rPr>
                <w:rFonts w:cs="Times New Roman"/>
                <w:i/>
                <w:sz w:val="18"/>
              </w:rPr>
              <w:fldChar w:fldCharType="end"/>
            </w:r>
          </w:p>
        </w:tc>
      </w:tr>
      <w:tr w:rsidR="00153CB2" w:rsidRPr="00A35E63" w14:paraId="281678E7" w14:textId="77777777" w:rsidTr="00492142">
        <w:tc>
          <w:tcPr>
            <w:cnfStyle w:val="001000000000" w:firstRow="0" w:lastRow="0" w:firstColumn="1" w:lastColumn="0" w:oddVBand="0" w:evenVBand="0" w:oddHBand="0" w:evenHBand="0" w:firstRowFirstColumn="0" w:firstRowLastColumn="0" w:lastRowFirstColumn="0" w:lastRowLastColumn="0"/>
            <w:tcW w:w="0" w:type="auto"/>
          </w:tcPr>
          <w:p w14:paraId="084DF99C" w14:textId="77777777" w:rsidR="00153CB2" w:rsidRPr="006039D1" w:rsidRDefault="00153CB2" w:rsidP="00492142">
            <w:pPr>
              <w:rPr>
                <w:rFonts w:cs="Times New Roman"/>
                <w:b w:val="0"/>
                <w:sz w:val="18"/>
              </w:rPr>
            </w:pPr>
            <w:r w:rsidRPr="006039D1">
              <w:rPr>
                <w:rFonts w:cs="Times New Roman"/>
                <w:b w:val="0"/>
                <w:sz w:val="18"/>
              </w:rPr>
              <w:t>Meat moisture (%</w:t>
            </w:r>
            <w:proofErr w:type="spellStart"/>
            <w:r w:rsidRPr="006039D1">
              <w:rPr>
                <w:rFonts w:cs="Times New Roman"/>
                <w:b w:val="0"/>
                <w:sz w:val="18"/>
                <w:vertAlign w:val="subscript"/>
              </w:rPr>
              <w:t>ww</w:t>
            </w:r>
            <w:proofErr w:type="spellEnd"/>
            <w:r w:rsidRPr="006039D1">
              <w:rPr>
                <w:rFonts w:cs="Times New Roman"/>
                <w:b w:val="0"/>
                <w:sz w:val="18"/>
              </w:rPr>
              <w:t>)</w:t>
            </w:r>
          </w:p>
        </w:tc>
        <w:tc>
          <w:tcPr>
            <w:tcW w:w="0" w:type="auto"/>
          </w:tcPr>
          <w:p w14:paraId="326D7D29" w14:textId="77777777" w:rsidR="00153CB2" w:rsidRPr="00A35E63" w:rsidRDefault="00153CB2" w:rsidP="00492142">
            <w:pPr>
              <w:cnfStyle w:val="000000000000" w:firstRow="0" w:lastRow="0" w:firstColumn="0" w:lastColumn="0" w:oddVBand="0" w:evenVBand="0" w:oddHBand="0" w:evenHBand="0" w:firstRowFirstColumn="0" w:firstRowLastColumn="0" w:lastRowFirstColumn="0" w:lastRowLastColumn="0"/>
              <w:rPr>
                <w:rFonts w:cs="Times New Roman"/>
                <w:sz w:val="18"/>
              </w:rPr>
            </w:pPr>
            <w:r>
              <w:rPr>
                <w:rFonts w:cs="Times New Roman"/>
                <w:sz w:val="18"/>
              </w:rPr>
              <w:t>62</w:t>
            </w:r>
            <w:r w:rsidRPr="00A35E63">
              <w:rPr>
                <w:rFonts w:cs="Times New Roman"/>
                <w:sz w:val="18"/>
              </w:rPr>
              <w:t>%</w:t>
            </w:r>
          </w:p>
        </w:tc>
        <w:tc>
          <w:tcPr>
            <w:tcW w:w="0" w:type="auto"/>
          </w:tcPr>
          <w:p w14:paraId="2D675D2C" w14:textId="77777777" w:rsidR="00153CB2" w:rsidRPr="00A35E63" w:rsidRDefault="00153CB2" w:rsidP="00492142">
            <w:pPr>
              <w:cnfStyle w:val="000000000000" w:firstRow="0" w:lastRow="0" w:firstColumn="0" w:lastColumn="0" w:oddVBand="0" w:evenVBand="0" w:oddHBand="0" w:evenHBand="0" w:firstRowFirstColumn="0" w:firstRowLastColumn="0" w:lastRowFirstColumn="0" w:lastRowLastColumn="0"/>
              <w:rPr>
                <w:rFonts w:cs="Times New Roman"/>
                <w:sz w:val="18"/>
              </w:rPr>
            </w:pPr>
            <w:r>
              <w:rPr>
                <w:rFonts w:cs="Times New Roman"/>
                <w:sz w:val="18"/>
              </w:rPr>
              <w:t>49</w:t>
            </w:r>
            <w:r w:rsidRPr="00A35E63">
              <w:rPr>
                <w:rFonts w:cs="Times New Roman"/>
                <w:sz w:val="18"/>
              </w:rPr>
              <w:t>%</w:t>
            </w:r>
          </w:p>
        </w:tc>
        <w:tc>
          <w:tcPr>
            <w:tcW w:w="0" w:type="auto"/>
          </w:tcPr>
          <w:p w14:paraId="716E1B33" w14:textId="02516780" w:rsidR="00153CB2" w:rsidRPr="009D665A" w:rsidRDefault="00153CB2" w:rsidP="00492142">
            <w:pPr>
              <w:cnfStyle w:val="000000000000" w:firstRow="0" w:lastRow="0" w:firstColumn="0" w:lastColumn="0" w:oddVBand="0" w:evenVBand="0" w:oddHBand="0" w:evenHBand="0" w:firstRowFirstColumn="0" w:firstRowLastColumn="0" w:lastRowFirstColumn="0" w:lastRowLastColumn="0"/>
              <w:rPr>
                <w:rFonts w:cs="Times New Roman"/>
                <w:i/>
                <w:sz w:val="18"/>
              </w:rPr>
            </w:pPr>
            <w:r w:rsidRPr="009D665A">
              <w:rPr>
                <w:rFonts w:cs="Times New Roman"/>
                <w:i/>
                <w:sz w:val="18"/>
              </w:rPr>
              <w:t>USDA database</w:t>
            </w:r>
            <w:r>
              <w:rPr>
                <w:rFonts w:cs="Times New Roman"/>
                <w:i/>
                <w:sz w:val="18"/>
              </w:rPr>
              <w:t>, average all fractions</w:t>
            </w:r>
            <w:r w:rsidRPr="009D665A">
              <w:rPr>
                <w:rFonts w:cs="Times New Roman"/>
                <w:i/>
                <w:sz w:val="18"/>
              </w:rPr>
              <w:fldChar w:fldCharType="begin"/>
            </w:r>
            <w:r w:rsidR="00C61A9E">
              <w:rPr>
                <w:rFonts w:cs="Times New Roman"/>
                <w:i/>
                <w:sz w:val="18"/>
              </w:rPr>
              <w:instrText xml:space="preserve"> ADDIN ZOTERO_ITEM CSL_CITATION {"citationID":"ghHhYB6G","properties":{"formattedCitation":"\\super 24\\nosupersub{}","plainCitation":"24","noteIndex":0},"citationItems":[{"id":5256,"uris":["http://zotero.org/groups/2763812/items/9VZAGZ66"],"itemData":{"id":5256,"type":"personal_communication","title":"USDA","URL":"https://www.usda.gov/","author":[{"literal":"U.S. DEPARTMENT OF AGRICULTURE"}]}}],"schema":"https://github.com/citation-style-language/schema/raw/master/csl-citation.json"} </w:instrText>
            </w:r>
            <w:r w:rsidRPr="009D665A">
              <w:rPr>
                <w:rFonts w:cs="Times New Roman"/>
                <w:i/>
                <w:sz w:val="18"/>
              </w:rPr>
              <w:fldChar w:fldCharType="separate"/>
            </w:r>
            <w:r w:rsidR="00C61A9E" w:rsidRPr="00C61A9E">
              <w:rPr>
                <w:rFonts w:ascii="Calibri" w:hAnsi="Calibri" w:cs="Calibri"/>
                <w:sz w:val="18"/>
                <w:szCs w:val="24"/>
                <w:vertAlign w:val="superscript"/>
              </w:rPr>
              <w:t>24</w:t>
            </w:r>
            <w:r w:rsidRPr="009D665A">
              <w:rPr>
                <w:rFonts w:cs="Times New Roman"/>
                <w:i/>
                <w:sz w:val="18"/>
              </w:rPr>
              <w:fldChar w:fldCharType="end"/>
            </w:r>
          </w:p>
        </w:tc>
      </w:tr>
      <w:tr w:rsidR="00153CB2" w:rsidRPr="00A35E63" w14:paraId="2085B1D2"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128F5B0" w14:textId="37B7D9AA" w:rsidR="00153CB2" w:rsidRPr="006039D1" w:rsidRDefault="00153CB2" w:rsidP="00492142">
            <w:pPr>
              <w:rPr>
                <w:rFonts w:cs="Times New Roman"/>
                <w:b w:val="0"/>
                <w:sz w:val="18"/>
              </w:rPr>
            </w:pPr>
            <w:r w:rsidRPr="006039D1">
              <w:rPr>
                <w:rFonts w:cs="Times New Roman"/>
                <w:b w:val="0"/>
                <w:sz w:val="18"/>
              </w:rPr>
              <w:t>FCR (w</w:t>
            </w:r>
            <w:r w:rsidR="00A16D35">
              <w:rPr>
                <w:rFonts w:cs="Times New Roman"/>
                <w:b w:val="0"/>
                <w:sz w:val="18"/>
              </w:rPr>
              <w:t>et</w:t>
            </w:r>
            <w:r w:rsidRPr="006039D1">
              <w:rPr>
                <w:rFonts w:cs="Times New Roman"/>
                <w:b w:val="0"/>
                <w:sz w:val="18"/>
              </w:rPr>
              <w:t xml:space="preserve"> basis)</w:t>
            </w:r>
          </w:p>
        </w:tc>
        <w:tc>
          <w:tcPr>
            <w:tcW w:w="0" w:type="auto"/>
          </w:tcPr>
          <w:p w14:paraId="1B660428" w14:textId="77777777" w:rsidR="00153CB2" w:rsidRDefault="00153CB2" w:rsidP="00492142">
            <w:pPr>
              <w:cnfStyle w:val="000000100000" w:firstRow="0" w:lastRow="0" w:firstColumn="0" w:lastColumn="0" w:oddVBand="0" w:evenVBand="0" w:oddHBand="1" w:evenHBand="0" w:firstRowFirstColumn="0" w:firstRowLastColumn="0" w:lastRowFirstColumn="0" w:lastRowLastColumn="0"/>
              <w:rPr>
                <w:rFonts w:cs="Times New Roman"/>
                <w:sz w:val="18"/>
              </w:rPr>
            </w:pPr>
            <w:r>
              <w:rPr>
                <w:rFonts w:cs="Times New Roman"/>
                <w:sz w:val="18"/>
              </w:rPr>
              <w:t>2.1</w:t>
            </w:r>
          </w:p>
        </w:tc>
        <w:tc>
          <w:tcPr>
            <w:tcW w:w="0" w:type="auto"/>
          </w:tcPr>
          <w:p w14:paraId="33BA343F" w14:textId="77777777" w:rsidR="00153CB2" w:rsidRDefault="00153CB2" w:rsidP="00492142">
            <w:pPr>
              <w:cnfStyle w:val="000000100000" w:firstRow="0" w:lastRow="0" w:firstColumn="0" w:lastColumn="0" w:oddVBand="0" w:evenVBand="0" w:oddHBand="1" w:evenHBand="0" w:firstRowFirstColumn="0" w:firstRowLastColumn="0" w:lastRowFirstColumn="0" w:lastRowLastColumn="0"/>
              <w:rPr>
                <w:rFonts w:cs="Times New Roman"/>
                <w:sz w:val="18"/>
              </w:rPr>
            </w:pPr>
            <w:r>
              <w:rPr>
                <w:rFonts w:cs="Times New Roman"/>
                <w:sz w:val="18"/>
              </w:rPr>
              <w:t>2.95</w:t>
            </w:r>
          </w:p>
        </w:tc>
        <w:tc>
          <w:tcPr>
            <w:tcW w:w="0" w:type="auto"/>
          </w:tcPr>
          <w:p w14:paraId="09731F55" w14:textId="4A8E7B48" w:rsidR="00153CB2" w:rsidRPr="009D665A" w:rsidRDefault="00153CB2" w:rsidP="00492142">
            <w:pPr>
              <w:cnfStyle w:val="000000100000" w:firstRow="0" w:lastRow="0" w:firstColumn="0" w:lastColumn="0" w:oddVBand="0" w:evenVBand="0" w:oddHBand="1" w:evenHBand="0" w:firstRowFirstColumn="0" w:firstRowLastColumn="0" w:lastRowFirstColumn="0" w:lastRowLastColumn="0"/>
              <w:rPr>
                <w:rFonts w:cs="Times New Roman"/>
                <w:i/>
                <w:sz w:val="18"/>
              </w:rPr>
            </w:pPr>
            <w:r>
              <w:rPr>
                <w:rFonts w:cs="Times New Roman"/>
                <w:i/>
                <w:sz w:val="18"/>
              </w:rPr>
              <w:t xml:space="preserve">Proxy of marginal production, here taken as “GLO” in </w:t>
            </w:r>
            <w:r w:rsidRPr="009D665A">
              <w:rPr>
                <w:rFonts w:cs="Times New Roman"/>
                <w:i/>
                <w:sz w:val="18"/>
              </w:rPr>
              <w:t>ecoinvent</w:t>
            </w:r>
            <w:r w:rsidRPr="009D665A">
              <w:rPr>
                <w:rFonts w:cs="Times New Roman"/>
                <w:i/>
                <w:sz w:val="18"/>
              </w:rPr>
              <w:fldChar w:fldCharType="begin"/>
            </w:r>
            <w:r w:rsidR="00C61A9E">
              <w:rPr>
                <w:rFonts w:cs="Times New Roman"/>
                <w:i/>
                <w:sz w:val="18"/>
              </w:rPr>
              <w:instrText xml:space="preserve"> ADDIN ZOTERO_ITEM CSL_CITATION {"citationID":"wcdfz67b","properties":{"formattedCitation":"\\super 13\\nosupersub{}","plainCitation":"13","noteIndex":0},"citationItems":[{"id":13212,"uris":["http://zotero.org/users/6423791/items/ANAMP6NH"],"itemData":{"id":13212,"type":"webpage","language":"en-US","title":"ecoinvent databases","URL":"https://ecoinvent.org/","author":[{"literal":"ecoinvent"}],"accessed":{"date-parts":[["2022",5,1]]},"issued":{"date-parts":[["2022"]]}}}],"schema":"https://github.com/citation-style-language/schema/raw/master/csl-citation.json"} </w:instrText>
            </w:r>
            <w:r w:rsidRPr="009D665A">
              <w:rPr>
                <w:rFonts w:cs="Times New Roman"/>
                <w:i/>
                <w:sz w:val="18"/>
              </w:rPr>
              <w:fldChar w:fldCharType="separate"/>
            </w:r>
            <w:r w:rsidR="00C61A9E" w:rsidRPr="00C61A9E">
              <w:rPr>
                <w:rFonts w:ascii="Calibri" w:hAnsi="Calibri" w:cs="Calibri"/>
                <w:sz w:val="18"/>
                <w:szCs w:val="24"/>
                <w:vertAlign w:val="superscript"/>
              </w:rPr>
              <w:t>13</w:t>
            </w:r>
            <w:r w:rsidRPr="009D665A">
              <w:rPr>
                <w:rFonts w:cs="Times New Roman"/>
                <w:i/>
                <w:sz w:val="18"/>
              </w:rPr>
              <w:fldChar w:fldCharType="end"/>
            </w:r>
          </w:p>
        </w:tc>
      </w:tr>
      <w:tr w:rsidR="00153CB2" w:rsidRPr="00A35E63" w14:paraId="014D6843" w14:textId="77777777" w:rsidTr="00492142">
        <w:tc>
          <w:tcPr>
            <w:cnfStyle w:val="001000000000" w:firstRow="0" w:lastRow="0" w:firstColumn="1" w:lastColumn="0" w:oddVBand="0" w:evenVBand="0" w:oddHBand="0" w:evenHBand="0" w:firstRowFirstColumn="0" w:firstRowLastColumn="0" w:lastRowFirstColumn="0" w:lastRowLastColumn="0"/>
            <w:tcW w:w="0" w:type="auto"/>
            <w:shd w:val="clear" w:color="auto" w:fill="E7E6E6" w:themeFill="background2"/>
          </w:tcPr>
          <w:p w14:paraId="44038E62" w14:textId="77777777" w:rsidR="00153CB2" w:rsidRPr="006039D1" w:rsidRDefault="00153CB2" w:rsidP="00492142">
            <w:pPr>
              <w:rPr>
                <w:rFonts w:cs="Times New Roman"/>
                <w:sz w:val="18"/>
              </w:rPr>
            </w:pPr>
            <w:r w:rsidRPr="006039D1">
              <w:rPr>
                <w:rFonts w:cs="Times New Roman"/>
                <w:sz w:val="18"/>
              </w:rPr>
              <w:t>Calculation</w:t>
            </w:r>
          </w:p>
        </w:tc>
        <w:tc>
          <w:tcPr>
            <w:tcW w:w="0" w:type="auto"/>
            <w:gridSpan w:val="3"/>
            <w:shd w:val="clear" w:color="auto" w:fill="E7E6E6" w:themeFill="background2"/>
          </w:tcPr>
          <w:p w14:paraId="577A1390" w14:textId="77777777" w:rsidR="00153CB2" w:rsidRPr="006039D1" w:rsidRDefault="00153CB2" w:rsidP="00492142">
            <w:pPr>
              <w:cnfStyle w:val="000000000000" w:firstRow="0" w:lastRow="0" w:firstColumn="0" w:lastColumn="0" w:oddVBand="0" w:evenVBand="0" w:oddHBand="0" w:evenHBand="0" w:firstRowFirstColumn="0" w:firstRowLastColumn="0" w:lastRowFirstColumn="0" w:lastRowLastColumn="0"/>
              <w:rPr>
                <w:rFonts w:cs="Times New Roman"/>
                <w:b/>
                <w:i/>
                <w:sz w:val="18"/>
              </w:rPr>
            </w:pPr>
          </w:p>
        </w:tc>
      </w:tr>
      <w:tr w:rsidR="00153CB2" w:rsidRPr="00A35E63" w14:paraId="61139178"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1A589DD" w14:textId="49922BC0" w:rsidR="00153CB2" w:rsidRPr="006039D1" w:rsidRDefault="00153CB2" w:rsidP="00492142">
            <w:pPr>
              <w:rPr>
                <w:rFonts w:cs="Times New Roman"/>
                <w:b w:val="0"/>
                <w:sz w:val="18"/>
              </w:rPr>
            </w:pPr>
            <w:r w:rsidRPr="006039D1">
              <w:rPr>
                <w:rFonts w:cs="Times New Roman"/>
                <w:b w:val="0"/>
                <w:sz w:val="18"/>
              </w:rPr>
              <w:t>Avoided protein feed</w:t>
            </w:r>
            <w:r w:rsidR="00A16D35">
              <w:rPr>
                <w:rFonts w:cs="Times New Roman"/>
                <w:b w:val="0"/>
                <w:sz w:val="18"/>
              </w:rPr>
              <w:t xml:space="preserve">s </w:t>
            </w:r>
            <w:r w:rsidRPr="006039D1">
              <w:rPr>
                <w:rFonts w:cs="Times New Roman"/>
                <w:b w:val="0"/>
                <w:sz w:val="18"/>
              </w:rPr>
              <w:t>by meat and bone meal</w:t>
            </w:r>
          </w:p>
        </w:tc>
        <w:tc>
          <w:tcPr>
            <w:tcW w:w="0" w:type="auto"/>
          </w:tcPr>
          <w:p w14:paraId="16A6AD9E" w14:textId="77777777" w:rsidR="00153CB2" w:rsidRDefault="00153CB2" w:rsidP="00492142">
            <w:pPr>
              <w:cnfStyle w:val="000000100000" w:firstRow="0" w:lastRow="0" w:firstColumn="0" w:lastColumn="0" w:oddVBand="0" w:evenVBand="0" w:oddHBand="1" w:evenHBand="0" w:firstRowFirstColumn="0" w:firstRowLastColumn="0" w:lastRowFirstColumn="0" w:lastRowLastColumn="0"/>
              <w:rPr>
                <w:rFonts w:cs="Times New Roman"/>
                <w:sz w:val="18"/>
              </w:rPr>
            </w:pPr>
            <w:r>
              <w:rPr>
                <w:rFonts w:cs="Times New Roman"/>
                <w:sz w:val="18"/>
              </w:rPr>
              <w:t>0.184</w:t>
            </w:r>
          </w:p>
        </w:tc>
        <w:tc>
          <w:tcPr>
            <w:tcW w:w="0" w:type="auto"/>
          </w:tcPr>
          <w:p w14:paraId="135F4C92" w14:textId="77777777" w:rsidR="00153CB2" w:rsidRDefault="00153CB2" w:rsidP="00492142">
            <w:pPr>
              <w:cnfStyle w:val="000000100000" w:firstRow="0" w:lastRow="0" w:firstColumn="0" w:lastColumn="0" w:oddVBand="0" w:evenVBand="0" w:oddHBand="1" w:evenHBand="0" w:firstRowFirstColumn="0" w:firstRowLastColumn="0" w:lastRowFirstColumn="0" w:lastRowLastColumn="0"/>
              <w:rPr>
                <w:rFonts w:cs="Times New Roman"/>
                <w:sz w:val="18"/>
              </w:rPr>
            </w:pPr>
            <w:r>
              <w:rPr>
                <w:rFonts w:cs="Times New Roman"/>
                <w:sz w:val="18"/>
              </w:rPr>
              <w:t>0.075</w:t>
            </w:r>
          </w:p>
        </w:tc>
        <w:tc>
          <w:tcPr>
            <w:tcW w:w="0" w:type="auto"/>
            <w:vMerge w:val="restart"/>
          </w:tcPr>
          <w:p w14:paraId="4A0947C8" w14:textId="453A706A" w:rsidR="00153CB2" w:rsidRPr="009D665A" w:rsidRDefault="00153CB2" w:rsidP="00492142">
            <w:pPr>
              <w:cnfStyle w:val="000000100000" w:firstRow="0" w:lastRow="0" w:firstColumn="0" w:lastColumn="0" w:oddVBand="0" w:evenVBand="0" w:oddHBand="1" w:evenHBand="0" w:firstRowFirstColumn="0" w:firstRowLastColumn="0" w:lastRowFirstColumn="0" w:lastRowLastColumn="0"/>
              <w:rPr>
                <w:rFonts w:cs="Times New Roman"/>
                <w:i/>
                <w:sz w:val="18"/>
              </w:rPr>
            </w:pPr>
            <w:r w:rsidRPr="009D665A">
              <w:rPr>
                <w:rFonts w:cs="Times New Roman"/>
                <w:i/>
                <w:sz w:val="18"/>
              </w:rPr>
              <w:t xml:space="preserve">Expressed </w:t>
            </w:r>
            <w:r>
              <w:rPr>
                <w:rFonts w:cs="Times New Roman"/>
                <w:i/>
                <w:sz w:val="18"/>
              </w:rPr>
              <w:t xml:space="preserve">in </w:t>
            </w:r>
            <w:proofErr w:type="spellStart"/>
            <w:r>
              <w:rPr>
                <w:rFonts w:cs="Times New Roman"/>
                <w:i/>
                <w:sz w:val="18"/>
              </w:rPr>
              <w:t>kg</w:t>
            </w:r>
            <w:r w:rsidRPr="000B1069">
              <w:rPr>
                <w:rFonts w:cs="Times New Roman"/>
                <w:i/>
                <w:sz w:val="18"/>
                <w:vertAlign w:val="subscript"/>
              </w:rPr>
              <w:t>DM</w:t>
            </w:r>
            <w:proofErr w:type="spellEnd"/>
            <w:r>
              <w:rPr>
                <w:rFonts w:cs="Times New Roman"/>
                <w:i/>
                <w:sz w:val="18"/>
              </w:rPr>
              <w:t xml:space="preserve"> pe</w:t>
            </w:r>
            <w:r w:rsidRPr="009D665A">
              <w:rPr>
                <w:rFonts w:cs="Times New Roman"/>
                <w:i/>
                <w:sz w:val="18"/>
              </w:rPr>
              <w:t xml:space="preserve">r </w:t>
            </w:r>
            <w:proofErr w:type="spellStart"/>
            <w:r w:rsidRPr="009D665A">
              <w:rPr>
                <w:rFonts w:cs="Times New Roman"/>
                <w:i/>
                <w:sz w:val="18"/>
              </w:rPr>
              <w:t>kg</w:t>
            </w:r>
            <w:r w:rsidRPr="009D665A">
              <w:rPr>
                <w:rFonts w:cs="Times New Roman"/>
                <w:i/>
                <w:sz w:val="18"/>
                <w:vertAlign w:val="subscript"/>
              </w:rPr>
              <w:t>ww</w:t>
            </w:r>
            <w:proofErr w:type="spellEnd"/>
            <w:r w:rsidRPr="009D665A">
              <w:rPr>
                <w:rFonts w:cs="Times New Roman"/>
                <w:i/>
                <w:sz w:val="18"/>
              </w:rPr>
              <w:t xml:space="preserve"> meat produced. No specific lipid</w:t>
            </w:r>
            <w:r w:rsidR="00A16D35">
              <w:rPr>
                <w:rFonts w:cs="Times New Roman"/>
                <w:i/>
                <w:sz w:val="18"/>
              </w:rPr>
              <w:t>s</w:t>
            </w:r>
            <w:r w:rsidRPr="009D665A">
              <w:rPr>
                <w:rFonts w:cs="Times New Roman"/>
                <w:i/>
                <w:sz w:val="18"/>
              </w:rPr>
              <w:t xml:space="preserve"> feed </w:t>
            </w:r>
            <w:r w:rsidR="00A16D35">
              <w:rPr>
                <w:rFonts w:cs="Times New Roman"/>
                <w:i/>
                <w:sz w:val="18"/>
              </w:rPr>
              <w:t>documented for</w:t>
            </w:r>
            <w:r w:rsidRPr="009D665A">
              <w:rPr>
                <w:rFonts w:cs="Times New Roman"/>
                <w:i/>
                <w:sz w:val="18"/>
              </w:rPr>
              <w:t xml:space="preserve"> poultry diet in </w:t>
            </w:r>
            <w:proofErr w:type="spellStart"/>
            <w:r w:rsidRPr="009D665A">
              <w:rPr>
                <w:rFonts w:cs="Times New Roman"/>
                <w:i/>
                <w:sz w:val="18"/>
              </w:rPr>
              <w:t>ecoinvent</w:t>
            </w:r>
            <w:proofErr w:type="spellEnd"/>
            <w:r w:rsidRPr="009D665A">
              <w:rPr>
                <w:rFonts w:cs="Times New Roman"/>
                <w:i/>
                <w:sz w:val="18"/>
              </w:rPr>
              <w:t xml:space="preserve"> database.</w:t>
            </w:r>
          </w:p>
        </w:tc>
      </w:tr>
      <w:tr w:rsidR="00153CB2" w:rsidRPr="00A35E63" w14:paraId="0EB380C8" w14:textId="77777777" w:rsidTr="00492142">
        <w:tc>
          <w:tcPr>
            <w:cnfStyle w:val="001000000000" w:firstRow="0" w:lastRow="0" w:firstColumn="1" w:lastColumn="0" w:oddVBand="0" w:evenVBand="0" w:oddHBand="0" w:evenHBand="0" w:firstRowFirstColumn="0" w:firstRowLastColumn="0" w:lastRowFirstColumn="0" w:lastRowLastColumn="0"/>
            <w:tcW w:w="0" w:type="auto"/>
          </w:tcPr>
          <w:p w14:paraId="46C0879A" w14:textId="0BE38FFE" w:rsidR="00153CB2" w:rsidRPr="006039D1" w:rsidRDefault="00153CB2" w:rsidP="00492142">
            <w:pPr>
              <w:rPr>
                <w:rFonts w:cs="Times New Roman"/>
                <w:b w:val="0"/>
                <w:sz w:val="18"/>
              </w:rPr>
            </w:pPr>
            <w:r w:rsidRPr="006039D1">
              <w:rPr>
                <w:rFonts w:cs="Times New Roman"/>
                <w:b w:val="0"/>
                <w:sz w:val="18"/>
              </w:rPr>
              <w:t>Avoided lipid</w:t>
            </w:r>
            <w:r w:rsidR="00A16D35">
              <w:rPr>
                <w:rFonts w:cs="Times New Roman"/>
                <w:b w:val="0"/>
                <w:sz w:val="18"/>
              </w:rPr>
              <w:t>s</w:t>
            </w:r>
            <w:r w:rsidRPr="006039D1">
              <w:rPr>
                <w:rFonts w:cs="Times New Roman"/>
                <w:b w:val="0"/>
                <w:sz w:val="18"/>
              </w:rPr>
              <w:t xml:space="preserve"> feed</w:t>
            </w:r>
            <w:r w:rsidR="00A16D35">
              <w:rPr>
                <w:rFonts w:cs="Times New Roman"/>
                <w:b w:val="0"/>
                <w:sz w:val="18"/>
              </w:rPr>
              <w:t>s</w:t>
            </w:r>
            <w:r w:rsidRPr="006039D1">
              <w:rPr>
                <w:rFonts w:cs="Times New Roman"/>
                <w:b w:val="0"/>
                <w:sz w:val="18"/>
              </w:rPr>
              <w:t xml:space="preserve"> by tallow</w:t>
            </w:r>
          </w:p>
        </w:tc>
        <w:tc>
          <w:tcPr>
            <w:tcW w:w="0" w:type="auto"/>
          </w:tcPr>
          <w:p w14:paraId="631F0512" w14:textId="77777777" w:rsidR="00153CB2" w:rsidRDefault="00153CB2" w:rsidP="00492142">
            <w:pPr>
              <w:cnfStyle w:val="000000000000" w:firstRow="0" w:lastRow="0" w:firstColumn="0" w:lastColumn="0" w:oddVBand="0" w:evenVBand="0" w:oddHBand="0" w:evenHBand="0" w:firstRowFirstColumn="0" w:firstRowLastColumn="0" w:lastRowFirstColumn="0" w:lastRowLastColumn="0"/>
              <w:rPr>
                <w:rFonts w:cs="Times New Roman"/>
                <w:sz w:val="18"/>
              </w:rPr>
            </w:pPr>
            <w:r>
              <w:rPr>
                <w:rFonts w:cs="Times New Roman"/>
                <w:sz w:val="18"/>
              </w:rPr>
              <w:t>0.102</w:t>
            </w:r>
          </w:p>
        </w:tc>
        <w:tc>
          <w:tcPr>
            <w:tcW w:w="0" w:type="auto"/>
          </w:tcPr>
          <w:p w14:paraId="3812737C" w14:textId="77777777" w:rsidR="00153CB2" w:rsidRDefault="00153CB2" w:rsidP="00492142">
            <w:pPr>
              <w:cnfStyle w:val="000000000000" w:firstRow="0" w:lastRow="0" w:firstColumn="0" w:lastColumn="0" w:oddVBand="0" w:evenVBand="0" w:oddHBand="0" w:evenHBand="0" w:firstRowFirstColumn="0" w:firstRowLastColumn="0" w:lastRowFirstColumn="0" w:lastRowLastColumn="0"/>
              <w:rPr>
                <w:rFonts w:cs="Times New Roman"/>
                <w:sz w:val="18"/>
              </w:rPr>
            </w:pPr>
            <w:r>
              <w:rPr>
                <w:rFonts w:cs="Times New Roman"/>
                <w:sz w:val="18"/>
              </w:rPr>
              <w:t>0.042</w:t>
            </w:r>
          </w:p>
        </w:tc>
        <w:tc>
          <w:tcPr>
            <w:tcW w:w="0" w:type="auto"/>
            <w:vMerge/>
          </w:tcPr>
          <w:p w14:paraId="36E51DC3" w14:textId="77777777" w:rsidR="00153CB2" w:rsidRPr="00A35E63" w:rsidRDefault="00153CB2" w:rsidP="00492142">
            <w:pPr>
              <w:cnfStyle w:val="000000000000" w:firstRow="0" w:lastRow="0" w:firstColumn="0" w:lastColumn="0" w:oddVBand="0" w:evenVBand="0" w:oddHBand="0" w:evenHBand="0" w:firstRowFirstColumn="0" w:firstRowLastColumn="0" w:lastRowFirstColumn="0" w:lastRowLastColumn="0"/>
              <w:rPr>
                <w:rFonts w:cs="Times New Roman"/>
                <w:sz w:val="18"/>
              </w:rPr>
            </w:pPr>
          </w:p>
        </w:tc>
      </w:tr>
      <w:tr w:rsidR="00153CB2" w:rsidRPr="00A35E63" w14:paraId="56D309AD"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17604250" w14:textId="3417BA32" w:rsidR="00153CB2" w:rsidRPr="006039D1" w:rsidRDefault="00153CB2" w:rsidP="00492142">
            <w:pPr>
              <w:rPr>
                <w:rFonts w:cs="Times New Roman"/>
                <w:b w:val="0"/>
                <w:sz w:val="18"/>
              </w:rPr>
            </w:pPr>
            <w:r w:rsidRPr="006039D1">
              <w:rPr>
                <w:rFonts w:cs="Times New Roman"/>
                <w:b w:val="0"/>
                <w:sz w:val="18"/>
              </w:rPr>
              <w:t>Required protein feed</w:t>
            </w:r>
            <w:r w:rsidR="00A16D35">
              <w:rPr>
                <w:rFonts w:cs="Times New Roman"/>
                <w:b w:val="0"/>
                <w:sz w:val="18"/>
              </w:rPr>
              <w:t>s</w:t>
            </w:r>
          </w:p>
        </w:tc>
        <w:tc>
          <w:tcPr>
            <w:tcW w:w="0" w:type="auto"/>
          </w:tcPr>
          <w:p w14:paraId="62DCBFBE" w14:textId="77777777" w:rsidR="00153CB2" w:rsidRDefault="00153CB2" w:rsidP="00492142">
            <w:pPr>
              <w:cnfStyle w:val="000000100000" w:firstRow="0" w:lastRow="0" w:firstColumn="0" w:lastColumn="0" w:oddVBand="0" w:evenVBand="0" w:oddHBand="1" w:evenHBand="0" w:firstRowFirstColumn="0" w:firstRowLastColumn="0" w:lastRowFirstColumn="0" w:lastRowLastColumn="0"/>
              <w:rPr>
                <w:rFonts w:cs="Times New Roman"/>
                <w:sz w:val="18"/>
              </w:rPr>
            </w:pPr>
            <w:r>
              <w:rPr>
                <w:rFonts w:cs="Times New Roman"/>
                <w:sz w:val="18"/>
              </w:rPr>
              <w:t>0.806</w:t>
            </w:r>
          </w:p>
        </w:tc>
        <w:tc>
          <w:tcPr>
            <w:tcW w:w="0" w:type="auto"/>
          </w:tcPr>
          <w:p w14:paraId="49B4BD35" w14:textId="77777777" w:rsidR="00153CB2" w:rsidRDefault="00153CB2" w:rsidP="00492142">
            <w:pPr>
              <w:cnfStyle w:val="000000100000" w:firstRow="0" w:lastRow="0" w:firstColumn="0" w:lastColumn="0" w:oddVBand="0" w:evenVBand="0" w:oddHBand="1" w:evenHBand="0" w:firstRowFirstColumn="0" w:firstRowLastColumn="0" w:lastRowFirstColumn="0" w:lastRowLastColumn="0"/>
              <w:rPr>
                <w:rFonts w:cs="Times New Roman"/>
                <w:sz w:val="18"/>
              </w:rPr>
            </w:pPr>
            <w:r>
              <w:rPr>
                <w:rFonts w:cs="Times New Roman"/>
                <w:sz w:val="18"/>
              </w:rPr>
              <w:t>0.773</w:t>
            </w:r>
          </w:p>
        </w:tc>
        <w:tc>
          <w:tcPr>
            <w:tcW w:w="0" w:type="auto"/>
            <w:vMerge/>
          </w:tcPr>
          <w:p w14:paraId="35CB6449" w14:textId="77777777" w:rsidR="00153CB2" w:rsidRPr="00A35E63" w:rsidRDefault="00153CB2" w:rsidP="00492142">
            <w:pPr>
              <w:cnfStyle w:val="000000100000" w:firstRow="0" w:lastRow="0" w:firstColumn="0" w:lastColumn="0" w:oddVBand="0" w:evenVBand="0" w:oddHBand="1" w:evenHBand="0" w:firstRowFirstColumn="0" w:firstRowLastColumn="0" w:lastRowFirstColumn="0" w:lastRowLastColumn="0"/>
              <w:rPr>
                <w:rFonts w:cs="Times New Roman"/>
                <w:sz w:val="18"/>
              </w:rPr>
            </w:pPr>
          </w:p>
        </w:tc>
      </w:tr>
      <w:tr w:rsidR="00153CB2" w:rsidRPr="00A35E63" w14:paraId="27ABC7C3" w14:textId="77777777" w:rsidTr="00492142">
        <w:tc>
          <w:tcPr>
            <w:cnfStyle w:val="001000000000" w:firstRow="0" w:lastRow="0" w:firstColumn="1" w:lastColumn="0" w:oddVBand="0" w:evenVBand="0" w:oddHBand="0" w:evenHBand="0" w:firstRowFirstColumn="0" w:firstRowLastColumn="0" w:lastRowFirstColumn="0" w:lastRowLastColumn="0"/>
            <w:tcW w:w="0" w:type="auto"/>
          </w:tcPr>
          <w:p w14:paraId="792724C9" w14:textId="4C5670A1" w:rsidR="00153CB2" w:rsidRPr="006039D1" w:rsidRDefault="00153CB2" w:rsidP="00492142">
            <w:pPr>
              <w:rPr>
                <w:rFonts w:cs="Times New Roman"/>
                <w:b w:val="0"/>
                <w:sz w:val="18"/>
              </w:rPr>
            </w:pPr>
            <w:r w:rsidRPr="006039D1">
              <w:rPr>
                <w:rFonts w:cs="Times New Roman"/>
                <w:b w:val="0"/>
                <w:sz w:val="18"/>
              </w:rPr>
              <w:t xml:space="preserve">Required </w:t>
            </w:r>
            <w:r w:rsidR="00A16D35">
              <w:rPr>
                <w:rFonts w:cs="Times New Roman"/>
                <w:b w:val="0"/>
                <w:sz w:val="18"/>
              </w:rPr>
              <w:t>carbohydrates</w:t>
            </w:r>
            <w:r w:rsidRPr="006039D1">
              <w:rPr>
                <w:rFonts w:cs="Times New Roman"/>
                <w:b w:val="0"/>
                <w:sz w:val="18"/>
              </w:rPr>
              <w:t xml:space="preserve"> feed</w:t>
            </w:r>
            <w:r w:rsidR="00A16D35">
              <w:rPr>
                <w:rFonts w:cs="Times New Roman"/>
                <w:b w:val="0"/>
                <w:sz w:val="18"/>
              </w:rPr>
              <w:t>s</w:t>
            </w:r>
          </w:p>
        </w:tc>
        <w:tc>
          <w:tcPr>
            <w:tcW w:w="0" w:type="auto"/>
          </w:tcPr>
          <w:p w14:paraId="6DBB2548" w14:textId="77777777" w:rsidR="00153CB2" w:rsidRDefault="00153CB2" w:rsidP="00492142">
            <w:pPr>
              <w:cnfStyle w:val="000000000000" w:firstRow="0" w:lastRow="0" w:firstColumn="0" w:lastColumn="0" w:oddVBand="0" w:evenVBand="0" w:oddHBand="0" w:evenHBand="0" w:firstRowFirstColumn="0" w:firstRowLastColumn="0" w:lastRowFirstColumn="0" w:lastRowLastColumn="0"/>
              <w:rPr>
                <w:rFonts w:cs="Times New Roman"/>
                <w:sz w:val="18"/>
              </w:rPr>
            </w:pPr>
            <w:r>
              <w:rPr>
                <w:rFonts w:cs="Times New Roman"/>
                <w:sz w:val="18"/>
              </w:rPr>
              <w:t>2.581</w:t>
            </w:r>
          </w:p>
        </w:tc>
        <w:tc>
          <w:tcPr>
            <w:tcW w:w="0" w:type="auto"/>
          </w:tcPr>
          <w:p w14:paraId="3F923B82" w14:textId="77777777" w:rsidR="00153CB2" w:rsidRDefault="00153CB2" w:rsidP="00492142">
            <w:pPr>
              <w:cnfStyle w:val="000000000000" w:firstRow="0" w:lastRow="0" w:firstColumn="0" w:lastColumn="0" w:oddVBand="0" w:evenVBand="0" w:oddHBand="0" w:evenHBand="0" w:firstRowFirstColumn="0" w:firstRowLastColumn="0" w:lastRowFirstColumn="0" w:lastRowLastColumn="0"/>
              <w:rPr>
                <w:rFonts w:cs="Times New Roman"/>
                <w:sz w:val="18"/>
              </w:rPr>
            </w:pPr>
            <w:r>
              <w:rPr>
                <w:rFonts w:cs="Times New Roman"/>
                <w:sz w:val="18"/>
              </w:rPr>
              <w:t>2.880</w:t>
            </w:r>
          </w:p>
        </w:tc>
        <w:tc>
          <w:tcPr>
            <w:tcW w:w="0" w:type="auto"/>
            <w:vMerge/>
          </w:tcPr>
          <w:p w14:paraId="6801C9E8" w14:textId="77777777" w:rsidR="00153CB2" w:rsidRPr="00A35E63" w:rsidRDefault="00153CB2" w:rsidP="00492142">
            <w:pPr>
              <w:cnfStyle w:val="000000000000" w:firstRow="0" w:lastRow="0" w:firstColumn="0" w:lastColumn="0" w:oddVBand="0" w:evenVBand="0" w:oddHBand="0" w:evenHBand="0" w:firstRowFirstColumn="0" w:firstRowLastColumn="0" w:lastRowFirstColumn="0" w:lastRowLastColumn="0"/>
              <w:rPr>
                <w:rFonts w:cs="Times New Roman"/>
                <w:sz w:val="18"/>
              </w:rPr>
            </w:pPr>
          </w:p>
        </w:tc>
      </w:tr>
      <w:tr w:rsidR="00153CB2" w:rsidRPr="00A35E63" w14:paraId="2C7489F4"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041B4EB2" w14:textId="196036AE" w:rsidR="00153CB2" w:rsidRPr="006039D1" w:rsidRDefault="00153CB2" w:rsidP="00492142">
            <w:pPr>
              <w:rPr>
                <w:rFonts w:cs="Times New Roman"/>
                <w:b w:val="0"/>
                <w:sz w:val="18"/>
              </w:rPr>
            </w:pPr>
            <w:r w:rsidRPr="006039D1">
              <w:rPr>
                <w:rFonts w:cs="Times New Roman"/>
                <w:b w:val="0"/>
                <w:sz w:val="18"/>
              </w:rPr>
              <w:t>Required lipid</w:t>
            </w:r>
            <w:r w:rsidR="00A16D35">
              <w:rPr>
                <w:rFonts w:cs="Times New Roman"/>
                <w:b w:val="0"/>
                <w:sz w:val="18"/>
              </w:rPr>
              <w:t>s</w:t>
            </w:r>
            <w:r w:rsidRPr="006039D1">
              <w:rPr>
                <w:rFonts w:cs="Times New Roman"/>
                <w:b w:val="0"/>
                <w:sz w:val="18"/>
              </w:rPr>
              <w:t xml:space="preserve"> feed</w:t>
            </w:r>
            <w:r w:rsidR="00A16D35">
              <w:rPr>
                <w:rFonts w:cs="Times New Roman"/>
                <w:b w:val="0"/>
                <w:sz w:val="18"/>
              </w:rPr>
              <w:t>s</w:t>
            </w:r>
          </w:p>
        </w:tc>
        <w:tc>
          <w:tcPr>
            <w:tcW w:w="0" w:type="auto"/>
          </w:tcPr>
          <w:p w14:paraId="26A6C7C0" w14:textId="77777777" w:rsidR="00153CB2" w:rsidRDefault="00153CB2" w:rsidP="00492142">
            <w:pPr>
              <w:cnfStyle w:val="000000100000" w:firstRow="0" w:lastRow="0" w:firstColumn="0" w:lastColumn="0" w:oddVBand="0" w:evenVBand="0" w:oddHBand="1" w:evenHBand="0" w:firstRowFirstColumn="0" w:firstRowLastColumn="0" w:lastRowFirstColumn="0" w:lastRowLastColumn="0"/>
              <w:rPr>
                <w:rFonts w:cs="Times New Roman"/>
                <w:sz w:val="18"/>
              </w:rPr>
            </w:pPr>
            <w:r>
              <w:rPr>
                <w:rFonts w:cs="Times New Roman"/>
                <w:sz w:val="18"/>
              </w:rPr>
              <w:t>0</w:t>
            </w:r>
          </w:p>
        </w:tc>
        <w:tc>
          <w:tcPr>
            <w:tcW w:w="0" w:type="auto"/>
          </w:tcPr>
          <w:p w14:paraId="6749D65B" w14:textId="77777777" w:rsidR="00153CB2" w:rsidRDefault="00153CB2" w:rsidP="00492142">
            <w:pPr>
              <w:cnfStyle w:val="000000100000" w:firstRow="0" w:lastRow="0" w:firstColumn="0" w:lastColumn="0" w:oddVBand="0" w:evenVBand="0" w:oddHBand="1" w:evenHBand="0" w:firstRowFirstColumn="0" w:firstRowLastColumn="0" w:lastRowFirstColumn="0" w:lastRowLastColumn="0"/>
              <w:rPr>
                <w:rFonts w:cs="Times New Roman"/>
                <w:sz w:val="18"/>
              </w:rPr>
            </w:pPr>
            <w:r>
              <w:rPr>
                <w:rFonts w:cs="Times New Roman"/>
                <w:sz w:val="18"/>
              </w:rPr>
              <w:t>0.039</w:t>
            </w:r>
          </w:p>
        </w:tc>
        <w:tc>
          <w:tcPr>
            <w:tcW w:w="0" w:type="auto"/>
            <w:vMerge/>
          </w:tcPr>
          <w:p w14:paraId="16B15773" w14:textId="77777777" w:rsidR="00153CB2" w:rsidRPr="00A35E63" w:rsidRDefault="00153CB2" w:rsidP="00492142">
            <w:pPr>
              <w:cnfStyle w:val="000000100000" w:firstRow="0" w:lastRow="0" w:firstColumn="0" w:lastColumn="0" w:oddVBand="0" w:evenVBand="0" w:oddHBand="1" w:evenHBand="0" w:firstRowFirstColumn="0" w:firstRowLastColumn="0" w:lastRowFirstColumn="0" w:lastRowLastColumn="0"/>
              <w:rPr>
                <w:rFonts w:cs="Times New Roman"/>
                <w:sz w:val="18"/>
              </w:rPr>
            </w:pPr>
          </w:p>
        </w:tc>
      </w:tr>
    </w:tbl>
    <w:p w14:paraId="0DDD31CE" w14:textId="7065D38A" w:rsidR="00153CB2" w:rsidRDefault="00492142" w:rsidP="00492142">
      <w:pPr>
        <w:rPr>
          <w:sz w:val="18"/>
        </w:rPr>
      </w:pPr>
      <w:r>
        <w:rPr>
          <w:sz w:val="18"/>
        </w:rPr>
        <w:t>Calculation d</w:t>
      </w:r>
      <w:r w:rsidR="00153CB2">
        <w:rPr>
          <w:sz w:val="18"/>
        </w:rPr>
        <w:t xml:space="preserve">etails </w:t>
      </w:r>
      <w:r w:rsidR="00153CB2" w:rsidRPr="001104E8">
        <w:rPr>
          <w:sz w:val="18"/>
        </w:rPr>
        <w:t>in</w:t>
      </w:r>
      <w:r>
        <w:rPr>
          <w:sz w:val="18"/>
        </w:rPr>
        <w:t xml:space="preserve"> the</w:t>
      </w:r>
      <w:r w:rsidR="00153CB2" w:rsidRPr="001104E8">
        <w:rPr>
          <w:sz w:val="18"/>
        </w:rPr>
        <w:t xml:space="preserve"> </w:t>
      </w:r>
      <w:r w:rsidRPr="00492142">
        <w:rPr>
          <w:b/>
          <w:sz w:val="18"/>
        </w:rPr>
        <w:t>data repository</w:t>
      </w:r>
    </w:p>
    <w:p w14:paraId="32D8760F" w14:textId="514E7D7E" w:rsidR="00153CB2" w:rsidRDefault="00492142" w:rsidP="00492142">
      <w:pPr>
        <w:pStyle w:val="Lgende"/>
        <w:jc w:val="left"/>
        <w:rPr>
          <w:sz w:val="18"/>
        </w:rPr>
      </w:pPr>
      <w:bookmarkStart w:id="32" w:name="_Ref151655597"/>
      <w:bookmarkStart w:id="33" w:name="_Toc128061484"/>
      <w:bookmarkStart w:id="34" w:name="_Toc155516850"/>
      <w:r>
        <w:t>Table SI</w:t>
      </w:r>
      <w:r>
        <w:fldChar w:fldCharType="begin"/>
      </w:r>
      <w:r>
        <w:instrText xml:space="preserve"> SEQ Table \* ARABIC </w:instrText>
      </w:r>
      <w:r>
        <w:fldChar w:fldCharType="separate"/>
      </w:r>
      <w:r w:rsidR="00C65861">
        <w:rPr>
          <w:noProof/>
        </w:rPr>
        <w:t>14</w:t>
      </w:r>
      <w:r>
        <w:fldChar w:fldCharType="end"/>
      </w:r>
      <w:bookmarkEnd w:id="32"/>
      <w:r>
        <w:t xml:space="preserve"> </w:t>
      </w:r>
      <w:r w:rsidR="00153CB2">
        <w:t>–</w:t>
      </w:r>
      <w:r w:rsidR="00153CB2" w:rsidRPr="00292D64">
        <w:t xml:space="preserve"> Background </w:t>
      </w:r>
      <w:r>
        <w:t>activities</w:t>
      </w:r>
      <w:r w:rsidR="00153CB2" w:rsidRPr="00292D64">
        <w:t xml:space="preserve"> used to model marginal meat suppliers</w:t>
      </w:r>
      <w:bookmarkEnd w:id="33"/>
      <w:bookmarkEnd w:id="34"/>
    </w:p>
    <w:tbl>
      <w:tblPr>
        <w:tblStyle w:val="Tableausimple2"/>
        <w:tblW w:w="0" w:type="auto"/>
        <w:tblLook w:val="04A0" w:firstRow="1" w:lastRow="0" w:firstColumn="1" w:lastColumn="0" w:noHBand="0" w:noVBand="1"/>
      </w:tblPr>
      <w:tblGrid>
        <w:gridCol w:w="1839"/>
        <w:gridCol w:w="1577"/>
        <w:gridCol w:w="5656"/>
      </w:tblGrid>
      <w:tr w:rsidR="00A16D35" w14:paraId="536AE01F" w14:textId="77777777" w:rsidTr="004921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3535F74A" w14:textId="5A3C569A" w:rsidR="00153CB2" w:rsidRPr="001104E8" w:rsidRDefault="00153CB2" w:rsidP="00492142">
            <w:pPr>
              <w:rPr>
                <w:sz w:val="18"/>
              </w:rPr>
            </w:pPr>
            <w:r w:rsidRPr="001104E8">
              <w:rPr>
                <w:sz w:val="18"/>
              </w:rPr>
              <w:t xml:space="preserve">Background </w:t>
            </w:r>
            <w:r w:rsidR="00492142">
              <w:rPr>
                <w:sz w:val="18"/>
              </w:rPr>
              <w:t>activity</w:t>
            </w:r>
          </w:p>
        </w:tc>
        <w:tc>
          <w:tcPr>
            <w:tcW w:w="0" w:type="auto"/>
          </w:tcPr>
          <w:p w14:paraId="725CA38D" w14:textId="77777777" w:rsidR="00153CB2" w:rsidRPr="001104E8" w:rsidRDefault="00153CB2" w:rsidP="00492142">
            <w:pPr>
              <w:cnfStyle w:val="100000000000" w:firstRow="1" w:lastRow="0" w:firstColumn="0" w:lastColumn="0" w:oddVBand="0" w:evenVBand="0" w:oddHBand="0" w:evenHBand="0" w:firstRowFirstColumn="0" w:firstRowLastColumn="0" w:lastRowFirstColumn="0" w:lastRowLastColumn="0"/>
              <w:rPr>
                <w:sz w:val="18"/>
              </w:rPr>
            </w:pPr>
            <w:r w:rsidRPr="001104E8">
              <w:rPr>
                <w:sz w:val="18"/>
              </w:rPr>
              <w:t>Unit operation</w:t>
            </w:r>
          </w:p>
        </w:tc>
        <w:tc>
          <w:tcPr>
            <w:tcW w:w="0" w:type="auto"/>
          </w:tcPr>
          <w:p w14:paraId="66FB57F9" w14:textId="77777777" w:rsidR="00153CB2" w:rsidRPr="001104E8" w:rsidRDefault="00153CB2" w:rsidP="00492142">
            <w:pPr>
              <w:cnfStyle w:val="100000000000" w:firstRow="1" w:lastRow="0" w:firstColumn="0" w:lastColumn="0" w:oddVBand="0" w:evenVBand="0" w:oddHBand="0" w:evenHBand="0" w:firstRowFirstColumn="0" w:firstRowLastColumn="0" w:lastRowFirstColumn="0" w:lastRowLastColumn="0"/>
              <w:rPr>
                <w:i/>
                <w:sz w:val="18"/>
              </w:rPr>
            </w:pPr>
            <w:r w:rsidRPr="001104E8">
              <w:rPr>
                <w:i/>
                <w:sz w:val="18"/>
              </w:rPr>
              <w:t>Comment</w:t>
            </w:r>
          </w:p>
        </w:tc>
      </w:tr>
      <w:tr w:rsidR="00A16D35" w14:paraId="644E23D8"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4624D7FC" w14:textId="77777777" w:rsidR="00153CB2" w:rsidRPr="006039D1" w:rsidRDefault="00153CB2" w:rsidP="00492142">
            <w:pPr>
              <w:rPr>
                <w:b w:val="0"/>
                <w:sz w:val="18"/>
              </w:rPr>
            </w:pPr>
            <w:r w:rsidRPr="006039D1">
              <w:rPr>
                <w:b w:val="0"/>
                <w:sz w:val="18"/>
              </w:rPr>
              <w:t>Market for chicken production, GLO</w:t>
            </w:r>
          </w:p>
        </w:tc>
        <w:tc>
          <w:tcPr>
            <w:tcW w:w="0" w:type="auto"/>
            <w:vMerge w:val="restart"/>
          </w:tcPr>
          <w:p w14:paraId="0E7EA668" w14:textId="77777777" w:rsidR="00153CB2" w:rsidRPr="00432913" w:rsidRDefault="00153CB2" w:rsidP="00492142">
            <w:pPr>
              <w:cnfStyle w:val="000000100000" w:firstRow="0" w:lastRow="0" w:firstColumn="0" w:lastColumn="0" w:oddVBand="0" w:evenVBand="0" w:oddHBand="1" w:evenHBand="0" w:firstRowFirstColumn="0" w:firstRowLastColumn="0" w:lastRowFirstColumn="0" w:lastRowLastColumn="0"/>
              <w:rPr>
                <w:sz w:val="18"/>
              </w:rPr>
            </w:pPr>
            <w:r>
              <w:rPr>
                <w:sz w:val="18"/>
              </w:rPr>
              <w:t>Production phase</w:t>
            </w:r>
          </w:p>
        </w:tc>
        <w:tc>
          <w:tcPr>
            <w:tcW w:w="0" w:type="auto"/>
            <w:vMerge w:val="restart"/>
          </w:tcPr>
          <w:p w14:paraId="2BC29EAD" w14:textId="7E68D57F" w:rsidR="00153CB2" w:rsidRPr="00B51D8F" w:rsidRDefault="00153CB2" w:rsidP="00492142">
            <w:pPr>
              <w:jc w:val="both"/>
              <w:cnfStyle w:val="000000100000" w:firstRow="0" w:lastRow="0" w:firstColumn="0" w:lastColumn="0" w:oddVBand="0" w:evenVBand="0" w:oddHBand="1" w:evenHBand="0" w:firstRowFirstColumn="0" w:firstRowLastColumn="0" w:lastRowFirstColumn="0" w:lastRowLastColumn="0"/>
              <w:rPr>
                <w:i/>
                <w:sz w:val="18"/>
              </w:rPr>
            </w:pPr>
            <w:r>
              <w:rPr>
                <w:i/>
                <w:sz w:val="18"/>
              </w:rPr>
              <w:t xml:space="preserve">Proxy of marginal poultry and swine mix production phase. Feed ingredients removed and replaced with marginal protein, </w:t>
            </w:r>
            <w:r w:rsidR="00A16D35">
              <w:rPr>
                <w:i/>
                <w:sz w:val="18"/>
              </w:rPr>
              <w:t>carbohydrates</w:t>
            </w:r>
            <w:r>
              <w:rPr>
                <w:i/>
                <w:sz w:val="18"/>
              </w:rPr>
              <w:t xml:space="preserve"> and lipid</w:t>
            </w:r>
            <w:r w:rsidR="00A16D35">
              <w:rPr>
                <w:i/>
                <w:sz w:val="18"/>
              </w:rPr>
              <w:t>s</w:t>
            </w:r>
            <w:r>
              <w:rPr>
                <w:i/>
                <w:sz w:val="18"/>
              </w:rPr>
              <w:t xml:space="preserve"> </w:t>
            </w:r>
            <w:r w:rsidR="00A16D35">
              <w:rPr>
                <w:i/>
                <w:sz w:val="18"/>
              </w:rPr>
              <w:t>feeds suppliers</w:t>
            </w:r>
            <w:r>
              <w:rPr>
                <w:i/>
                <w:sz w:val="18"/>
              </w:rPr>
              <w:t xml:space="preserve"> as in</w:t>
            </w:r>
            <w:r w:rsidR="00492142">
              <w:rPr>
                <w:i/>
                <w:sz w:val="18"/>
              </w:rPr>
              <w:t xml:space="preserve"> </w:t>
            </w:r>
            <w:r w:rsidR="00492142" w:rsidRPr="00492142">
              <w:rPr>
                <w:b/>
                <w:i/>
                <w:sz w:val="18"/>
                <w:szCs w:val="18"/>
              </w:rPr>
              <w:fldChar w:fldCharType="begin"/>
            </w:r>
            <w:r w:rsidR="00492142" w:rsidRPr="00492142">
              <w:rPr>
                <w:b/>
                <w:i/>
                <w:sz w:val="18"/>
                <w:szCs w:val="18"/>
              </w:rPr>
              <w:instrText xml:space="preserve"> REF _Ref151652324 \h  \* MERGEFORMAT </w:instrText>
            </w:r>
            <w:r w:rsidR="00492142" w:rsidRPr="00492142">
              <w:rPr>
                <w:b/>
                <w:i/>
                <w:sz w:val="18"/>
                <w:szCs w:val="18"/>
              </w:rPr>
            </w:r>
            <w:r w:rsidR="00492142" w:rsidRPr="00492142">
              <w:rPr>
                <w:b/>
                <w:i/>
                <w:sz w:val="18"/>
                <w:szCs w:val="18"/>
              </w:rPr>
              <w:fldChar w:fldCharType="separate"/>
            </w:r>
            <w:r w:rsidR="00492142" w:rsidRPr="00492142">
              <w:rPr>
                <w:b/>
                <w:i/>
                <w:sz w:val="18"/>
                <w:szCs w:val="18"/>
              </w:rPr>
              <w:t>Table SI</w:t>
            </w:r>
            <w:r w:rsidR="00492142" w:rsidRPr="00492142">
              <w:rPr>
                <w:b/>
                <w:i/>
                <w:noProof/>
                <w:sz w:val="18"/>
                <w:szCs w:val="18"/>
              </w:rPr>
              <w:t>8</w:t>
            </w:r>
            <w:r w:rsidR="00492142" w:rsidRPr="00492142">
              <w:rPr>
                <w:b/>
                <w:i/>
                <w:sz w:val="18"/>
                <w:szCs w:val="18"/>
              </w:rPr>
              <w:fldChar w:fldCharType="end"/>
            </w:r>
            <w:r>
              <w:rPr>
                <w:i/>
                <w:sz w:val="18"/>
              </w:rPr>
              <w:t>. The rest (direct emissions, manure management, etc.) were kept.</w:t>
            </w:r>
          </w:p>
        </w:tc>
      </w:tr>
      <w:tr w:rsidR="00A16D35" w14:paraId="57FE54D8" w14:textId="77777777" w:rsidTr="00492142">
        <w:tc>
          <w:tcPr>
            <w:cnfStyle w:val="001000000000" w:firstRow="0" w:lastRow="0" w:firstColumn="1" w:lastColumn="0" w:oddVBand="0" w:evenVBand="0" w:oddHBand="0" w:evenHBand="0" w:firstRowFirstColumn="0" w:firstRowLastColumn="0" w:lastRowFirstColumn="0" w:lastRowLastColumn="0"/>
            <w:tcW w:w="0" w:type="auto"/>
          </w:tcPr>
          <w:p w14:paraId="24C1FCDF" w14:textId="77777777" w:rsidR="00153CB2" w:rsidRPr="006039D1" w:rsidRDefault="00153CB2" w:rsidP="00492142">
            <w:pPr>
              <w:rPr>
                <w:b w:val="0"/>
                <w:sz w:val="18"/>
              </w:rPr>
            </w:pPr>
            <w:r w:rsidRPr="006039D1">
              <w:rPr>
                <w:b w:val="0"/>
                <w:sz w:val="18"/>
              </w:rPr>
              <w:t>Market for swine production, GLO</w:t>
            </w:r>
          </w:p>
        </w:tc>
        <w:tc>
          <w:tcPr>
            <w:tcW w:w="0" w:type="auto"/>
            <w:vMerge/>
          </w:tcPr>
          <w:p w14:paraId="410EC3F7" w14:textId="77777777" w:rsidR="00153CB2" w:rsidRPr="00432913" w:rsidRDefault="00153CB2" w:rsidP="00492142">
            <w:pPr>
              <w:cnfStyle w:val="000000000000" w:firstRow="0" w:lastRow="0" w:firstColumn="0" w:lastColumn="0" w:oddVBand="0" w:evenVBand="0" w:oddHBand="0" w:evenHBand="0" w:firstRowFirstColumn="0" w:firstRowLastColumn="0" w:lastRowFirstColumn="0" w:lastRowLastColumn="0"/>
              <w:rPr>
                <w:sz w:val="18"/>
              </w:rPr>
            </w:pPr>
          </w:p>
        </w:tc>
        <w:tc>
          <w:tcPr>
            <w:tcW w:w="0" w:type="auto"/>
            <w:vMerge/>
          </w:tcPr>
          <w:p w14:paraId="6E80A31C" w14:textId="77777777" w:rsidR="00153CB2" w:rsidRDefault="00153CB2" w:rsidP="00492142">
            <w:pPr>
              <w:jc w:val="both"/>
              <w:cnfStyle w:val="000000000000" w:firstRow="0" w:lastRow="0" w:firstColumn="0" w:lastColumn="0" w:oddVBand="0" w:evenVBand="0" w:oddHBand="0" w:evenHBand="0" w:firstRowFirstColumn="0" w:firstRowLastColumn="0" w:lastRowFirstColumn="0" w:lastRowLastColumn="0"/>
              <w:rPr>
                <w:i/>
                <w:sz w:val="18"/>
              </w:rPr>
            </w:pPr>
          </w:p>
        </w:tc>
      </w:tr>
      <w:tr w:rsidR="00A16D35" w14:paraId="1A93C32C"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tcPr>
          <w:p w14:paraId="5309BD0E" w14:textId="77777777" w:rsidR="00153CB2" w:rsidRPr="006039D1" w:rsidRDefault="00153CB2" w:rsidP="00492142">
            <w:pPr>
              <w:rPr>
                <w:b w:val="0"/>
                <w:sz w:val="18"/>
              </w:rPr>
            </w:pPr>
            <w:r w:rsidRPr="006039D1">
              <w:rPr>
                <w:b w:val="0"/>
                <w:sz w:val="18"/>
              </w:rPr>
              <w:t>Treatment of slaughterhouse waste, GLO</w:t>
            </w:r>
          </w:p>
        </w:tc>
        <w:tc>
          <w:tcPr>
            <w:tcW w:w="0" w:type="auto"/>
          </w:tcPr>
          <w:p w14:paraId="37A6B314" w14:textId="77777777" w:rsidR="00153CB2" w:rsidRPr="00432913" w:rsidRDefault="00153CB2" w:rsidP="00492142">
            <w:pPr>
              <w:cnfStyle w:val="000000100000" w:firstRow="0" w:lastRow="0" w:firstColumn="0" w:lastColumn="0" w:oddVBand="0" w:evenVBand="0" w:oddHBand="1" w:evenHBand="0" w:firstRowFirstColumn="0" w:firstRowLastColumn="0" w:lastRowFirstColumn="0" w:lastRowLastColumn="0"/>
              <w:rPr>
                <w:sz w:val="18"/>
              </w:rPr>
            </w:pPr>
            <w:r>
              <w:rPr>
                <w:sz w:val="18"/>
              </w:rPr>
              <w:t>Animal by-products management</w:t>
            </w:r>
          </w:p>
        </w:tc>
        <w:tc>
          <w:tcPr>
            <w:tcW w:w="0" w:type="auto"/>
          </w:tcPr>
          <w:p w14:paraId="1130DCD0" w14:textId="741C964F" w:rsidR="00153CB2" w:rsidRDefault="00153CB2" w:rsidP="00492142">
            <w:pPr>
              <w:jc w:val="both"/>
              <w:cnfStyle w:val="000000100000" w:firstRow="0" w:lastRow="0" w:firstColumn="0" w:lastColumn="0" w:oddVBand="0" w:evenVBand="0" w:oddHBand="1" w:evenHBand="0" w:firstRowFirstColumn="0" w:firstRowLastColumn="0" w:lastRowFirstColumn="0" w:lastRowLastColumn="0"/>
              <w:rPr>
                <w:i/>
                <w:sz w:val="18"/>
              </w:rPr>
            </w:pPr>
            <w:r>
              <w:rPr>
                <w:i/>
                <w:sz w:val="18"/>
              </w:rPr>
              <w:t>Proxy of animal by-products valorization. Meat and bone meal and tallow processes were removed and replaced with marginal protein and lipid</w:t>
            </w:r>
            <w:r w:rsidR="00A16D35">
              <w:rPr>
                <w:i/>
                <w:sz w:val="18"/>
              </w:rPr>
              <w:t>s</w:t>
            </w:r>
            <w:r>
              <w:rPr>
                <w:i/>
                <w:sz w:val="18"/>
              </w:rPr>
              <w:t xml:space="preserve"> </w:t>
            </w:r>
            <w:r w:rsidR="00A16D35">
              <w:rPr>
                <w:i/>
                <w:sz w:val="18"/>
              </w:rPr>
              <w:t xml:space="preserve">suppliers </w:t>
            </w:r>
            <w:r>
              <w:rPr>
                <w:i/>
                <w:sz w:val="18"/>
              </w:rPr>
              <w:t xml:space="preserve">as in </w:t>
            </w:r>
            <w:r w:rsidR="00492142" w:rsidRPr="00492142">
              <w:rPr>
                <w:b/>
                <w:i/>
                <w:sz w:val="18"/>
                <w:szCs w:val="18"/>
              </w:rPr>
              <w:fldChar w:fldCharType="begin"/>
            </w:r>
            <w:r w:rsidR="00492142" w:rsidRPr="00492142">
              <w:rPr>
                <w:b/>
                <w:i/>
                <w:sz w:val="18"/>
                <w:szCs w:val="18"/>
              </w:rPr>
              <w:instrText xml:space="preserve"> REF _Ref151652324 \h  \* MERGEFORMAT </w:instrText>
            </w:r>
            <w:r w:rsidR="00492142" w:rsidRPr="00492142">
              <w:rPr>
                <w:b/>
                <w:i/>
                <w:sz w:val="18"/>
                <w:szCs w:val="18"/>
              </w:rPr>
            </w:r>
            <w:r w:rsidR="00492142" w:rsidRPr="00492142">
              <w:rPr>
                <w:b/>
                <w:i/>
                <w:sz w:val="18"/>
                <w:szCs w:val="18"/>
              </w:rPr>
              <w:fldChar w:fldCharType="separate"/>
            </w:r>
            <w:r w:rsidR="00492142" w:rsidRPr="00492142">
              <w:rPr>
                <w:b/>
                <w:i/>
                <w:sz w:val="18"/>
                <w:szCs w:val="18"/>
              </w:rPr>
              <w:t>Table SI</w:t>
            </w:r>
            <w:r w:rsidR="00492142" w:rsidRPr="00492142">
              <w:rPr>
                <w:b/>
                <w:i/>
                <w:noProof/>
                <w:sz w:val="18"/>
                <w:szCs w:val="18"/>
              </w:rPr>
              <w:t>8</w:t>
            </w:r>
            <w:r w:rsidR="00492142" w:rsidRPr="00492142">
              <w:rPr>
                <w:b/>
                <w:i/>
                <w:sz w:val="18"/>
                <w:szCs w:val="18"/>
              </w:rPr>
              <w:fldChar w:fldCharType="end"/>
            </w:r>
            <w:r w:rsidR="00492142">
              <w:rPr>
                <w:b/>
                <w:i/>
                <w:sz w:val="18"/>
                <w:szCs w:val="18"/>
              </w:rPr>
              <w:t>.</w:t>
            </w:r>
          </w:p>
        </w:tc>
      </w:tr>
    </w:tbl>
    <w:p w14:paraId="31B33DE3" w14:textId="7789CDD3" w:rsidR="00153CB2" w:rsidRDefault="00153CB2" w:rsidP="00492142">
      <w:pPr>
        <w:rPr>
          <w:sz w:val="18"/>
        </w:rPr>
      </w:pPr>
      <w:r>
        <w:rPr>
          <w:sz w:val="18"/>
        </w:rPr>
        <w:t xml:space="preserve">All </w:t>
      </w:r>
      <w:r w:rsidR="00492142">
        <w:rPr>
          <w:sz w:val="18"/>
        </w:rPr>
        <w:t>activities</w:t>
      </w:r>
      <w:r>
        <w:rPr>
          <w:sz w:val="18"/>
        </w:rPr>
        <w:t xml:space="preserve"> are from the </w:t>
      </w:r>
      <w:proofErr w:type="spellStart"/>
      <w:r>
        <w:rPr>
          <w:sz w:val="18"/>
        </w:rPr>
        <w:t>ecoinvent</w:t>
      </w:r>
      <w:proofErr w:type="spellEnd"/>
      <w:r>
        <w:rPr>
          <w:sz w:val="18"/>
        </w:rPr>
        <w:t xml:space="preserve"> 3.8 consequential database.</w:t>
      </w:r>
    </w:p>
    <w:p w14:paraId="7D12020D" w14:textId="68FBE29E" w:rsidR="00336CE2" w:rsidRDefault="00492142" w:rsidP="00492142">
      <w:pPr>
        <w:pStyle w:val="Lgende"/>
        <w:jc w:val="left"/>
      </w:pPr>
      <w:bookmarkStart w:id="35" w:name="_Ref151655565"/>
      <w:bookmarkStart w:id="36" w:name="_Toc128061486"/>
      <w:bookmarkStart w:id="37" w:name="_Toc128061485"/>
      <w:bookmarkStart w:id="38" w:name="_Toc155516851"/>
      <w:r>
        <w:t xml:space="preserve">Table </w:t>
      </w:r>
      <w:r w:rsidRPr="00492142">
        <w:t>SI</w:t>
      </w:r>
      <w:r w:rsidRPr="00492142">
        <w:fldChar w:fldCharType="begin"/>
      </w:r>
      <w:r w:rsidRPr="00492142">
        <w:instrText xml:space="preserve"> SEQ Table \* ARABIC </w:instrText>
      </w:r>
      <w:r w:rsidRPr="00492142">
        <w:fldChar w:fldCharType="separate"/>
      </w:r>
      <w:r w:rsidR="00C65861">
        <w:rPr>
          <w:noProof/>
        </w:rPr>
        <w:t>15</w:t>
      </w:r>
      <w:r w:rsidRPr="00492142">
        <w:fldChar w:fldCharType="end"/>
      </w:r>
      <w:bookmarkEnd w:id="35"/>
      <w:r w:rsidRPr="00492142">
        <w:t xml:space="preserve"> </w:t>
      </w:r>
      <w:r w:rsidR="00336CE2" w:rsidRPr="00492142">
        <w:t>– Background</w:t>
      </w:r>
      <w:r w:rsidR="00336CE2" w:rsidRPr="002F4B32">
        <w:t xml:space="preserve"> </w:t>
      </w:r>
      <w:r>
        <w:t>activit</w:t>
      </w:r>
      <w:r w:rsidR="00A16D35">
        <w:t>ies</w:t>
      </w:r>
      <w:r w:rsidR="00336CE2" w:rsidRPr="002F4B32">
        <w:t xml:space="preserve"> used to model </w:t>
      </w:r>
      <w:r w:rsidR="00A16D35">
        <w:t xml:space="preserve">marginal </w:t>
      </w:r>
      <w:r w:rsidR="00336CE2">
        <w:t xml:space="preserve">plant-based </w:t>
      </w:r>
      <w:r w:rsidR="00336CE2" w:rsidRPr="002F4B32">
        <w:t>meat</w:t>
      </w:r>
      <w:r w:rsidR="00A16D35">
        <w:t xml:space="preserve"> s</w:t>
      </w:r>
      <w:r w:rsidR="00336CE2" w:rsidRPr="002F4B32">
        <w:t>uppliers</w:t>
      </w:r>
      <w:bookmarkEnd w:id="36"/>
      <w:bookmarkEnd w:id="38"/>
    </w:p>
    <w:tbl>
      <w:tblPr>
        <w:tblStyle w:val="Tableausimple2"/>
        <w:tblW w:w="5000" w:type="pct"/>
        <w:tblLook w:val="04A0" w:firstRow="1" w:lastRow="0" w:firstColumn="1" w:lastColumn="0" w:noHBand="0" w:noVBand="1"/>
      </w:tblPr>
      <w:tblGrid>
        <w:gridCol w:w="2978"/>
        <w:gridCol w:w="1843"/>
        <w:gridCol w:w="4251"/>
      </w:tblGrid>
      <w:tr w:rsidR="00336CE2" w14:paraId="517E8C21" w14:textId="77777777" w:rsidTr="004921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1" w:type="pct"/>
          </w:tcPr>
          <w:p w14:paraId="36E5B804" w14:textId="06452674" w:rsidR="00336CE2" w:rsidRPr="001104E8" w:rsidRDefault="00336CE2" w:rsidP="00492142">
            <w:pPr>
              <w:rPr>
                <w:sz w:val="18"/>
              </w:rPr>
            </w:pPr>
            <w:r w:rsidRPr="001104E8">
              <w:rPr>
                <w:sz w:val="18"/>
              </w:rPr>
              <w:t xml:space="preserve">Background </w:t>
            </w:r>
            <w:r w:rsidR="00492142">
              <w:rPr>
                <w:sz w:val="18"/>
              </w:rPr>
              <w:t>activity</w:t>
            </w:r>
          </w:p>
        </w:tc>
        <w:tc>
          <w:tcPr>
            <w:tcW w:w="1016" w:type="pct"/>
          </w:tcPr>
          <w:p w14:paraId="25D13EB5" w14:textId="77777777" w:rsidR="00336CE2" w:rsidRPr="001104E8" w:rsidRDefault="00336CE2" w:rsidP="00492142">
            <w:pPr>
              <w:cnfStyle w:val="100000000000" w:firstRow="1" w:lastRow="0" w:firstColumn="0" w:lastColumn="0" w:oddVBand="0" w:evenVBand="0" w:oddHBand="0" w:evenHBand="0" w:firstRowFirstColumn="0" w:firstRowLastColumn="0" w:lastRowFirstColumn="0" w:lastRowLastColumn="0"/>
              <w:rPr>
                <w:sz w:val="18"/>
              </w:rPr>
            </w:pPr>
            <w:r>
              <w:rPr>
                <w:sz w:val="18"/>
              </w:rPr>
              <w:t>Share (weight)</w:t>
            </w:r>
          </w:p>
        </w:tc>
        <w:tc>
          <w:tcPr>
            <w:tcW w:w="2343" w:type="pct"/>
          </w:tcPr>
          <w:p w14:paraId="675F63A5" w14:textId="77777777" w:rsidR="00336CE2" w:rsidRPr="001104E8" w:rsidRDefault="00336CE2" w:rsidP="00492142">
            <w:pPr>
              <w:cnfStyle w:val="100000000000" w:firstRow="1" w:lastRow="0" w:firstColumn="0" w:lastColumn="0" w:oddVBand="0" w:evenVBand="0" w:oddHBand="0" w:evenHBand="0" w:firstRowFirstColumn="0" w:firstRowLastColumn="0" w:lastRowFirstColumn="0" w:lastRowLastColumn="0"/>
              <w:rPr>
                <w:i/>
                <w:sz w:val="18"/>
              </w:rPr>
            </w:pPr>
            <w:r w:rsidRPr="001104E8">
              <w:rPr>
                <w:i/>
                <w:sz w:val="18"/>
              </w:rPr>
              <w:t>Comment</w:t>
            </w:r>
          </w:p>
        </w:tc>
      </w:tr>
      <w:tr w:rsidR="00336CE2" w14:paraId="06CC1892"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1" w:type="pct"/>
          </w:tcPr>
          <w:p w14:paraId="7ED2A9FF" w14:textId="6A6A8858" w:rsidR="00336CE2" w:rsidRPr="00336CE2" w:rsidRDefault="00A16D35" w:rsidP="00492142">
            <w:pPr>
              <w:rPr>
                <w:b w:val="0"/>
                <w:sz w:val="18"/>
              </w:rPr>
            </w:pPr>
            <w:r>
              <w:rPr>
                <w:b w:val="0"/>
                <w:sz w:val="18"/>
              </w:rPr>
              <w:t>Marginal p</w:t>
            </w:r>
            <w:r w:rsidR="00336CE2" w:rsidRPr="00336CE2">
              <w:rPr>
                <w:b w:val="0"/>
                <w:sz w:val="18"/>
              </w:rPr>
              <w:t>rotein feed</w:t>
            </w:r>
            <w:r>
              <w:rPr>
                <w:b w:val="0"/>
                <w:sz w:val="18"/>
              </w:rPr>
              <w:t>s suppliers mix</w:t>
            </w:r>
          </w:p>
        </w:tc>
        <w:tc>
          <w:tcPr>
            <w:tcW w:w="1016" w:type="pct"/>
          </w:tcPr>
          <w:p w14:paraId="72D09DEF" w14:textId="77777777" w:rsidR="00336CE2" w:rsidRPr="00432913" w:rsidRDefault="00336CE2" w:rsidP="00492142">
            <w:pPr>
              <w:cnfStyle w:val="000000100000" w:firstRow="0" w:lastRow="0" w:firstColumn="0" w:lastColumn="0" w:oddVBand="0" w:evenVBand="0" w:oddHBand="1" w:evenHBand="0" w:firstRowFirstColumn="0" w:firstRowLastColumn="0" w:lastRowFirstColumn="0" w:lastRowLastColumn="0"/>
              <w:rPr>
                <w:sz w:val="18"/>
              </w:rPr>
            </w:pPr>
            <w:r>
              <w:rPr>
                <w:sz w:val="18"/>
              </w:rPr>
              <w:t>70%</w:t>
            </w:r>
          </w:p>
        </w:tc>
        <w:tc>
          <w:tcPr>
            <w:tcW w:w="2343" w:type="pct"/>
            <w:vMerge w:val="restart"/>
          </w:tcPr>
          <w:p w14:paraId="4847D53B" w14:textId="5FC11608" w:rsidR="00336CE2" w:rsidRPr="00B51D8F" w:rsidRDefault="00336CE2" w:rsidP="00492142">
            <w:pPr>
              <w:jc w:val="both"/>
              <w:cnfStyle w:val="000000100000" w:firstRow="0" w:lastRow="0" w:firstColumn="0" w:lastColumn="0" w:oddVBand="0" w:evenVBand="0" w:oddHBand="1" w:evenHBand="0" w:firstRowFirstColumn="0" w:firstRowLastColumn="0" w:lastRowFirstColumn="0" w:lastRowLastColumn="0"/>
              <w:rPr>
                <w:i/>
                <w:sz w:val="18"/>
              </w:rPr>
            </w:pPr>
            <w:r>
              <w:rPr>
                <w:i/>
                <w:sz w:val="18"/>
              </w:rPr>
              <w:t xml:space="preserve">Share to mimic composition of meat. Formulation impacts neglected as the objective is to indicate global effects on the LCA model to reach plant-based markets instead of meat markets. Background </w:t>
            </w:r>
            <w:r w:rsidR="00492142">
              <w:rPr>
                <w:i/>
                <w:sz w:val="18"/>
              </w:rPr>
              <w:t>activities</w:t>
            </w:r>
            <w:r>
              <w:rPr>
                <w:i/>
                <w:sz w:val="18"/>
              </w:rPr>
              <w:t xml:space="preserve"> selected in consistency with selected food system scenario.</w:t>
            </w:r>
          </w:p>
        </w:tc>
      </w:tr>
      <w:tr w:rsidR="00336CE2" w14:paraId="70D00ED7" w14:textId="77777777" w:rsidTr="00492142">
        <w:trPr>
          <w:trHeight w:val="288"/>
        </w:trPr>
        <w:tc>
          <w:tcPr>
            <w:cnfStyle w:val="001000000000" w:firstRow="0" w:lastRow="0" w:firstColumn="1" w:lastColumn="0" w:oddVBand="0" w:evenVBand="0" w:oddHBand="0" w:evenHBand="0" w:firstRowFirstColumn="0" w:firstRowLastColumn="0" w:lastRowFirstColumn="0" w:lastRowLastColumn="0"/>
            <w:tcW w:w="1641" w:type="pct"/>
          </w:tcPr>
          <w:p w14:paraId="5ED74E3D" w14:textId="5A47AD71" w:rsidR="00336CE2" w:rsidRPr="00336CE2" w:rsidRDefault="00A16D35" w:rsidP="00492142">
            <w:pPr>
              <w:rPr>
                <w:b w:val="0"/>
                <w:sz w:val="18"/>
              </w:rPr>
            </w:pPr>
            <w:r>
              <w:rPr>
                <w:b w:val="0"/>
                <w:sz w:val="18"/>
              </w:rPr>
              <w:t>Marginal l</w:t>
            </w:r>
            <w:r w:rsidR="00336CE2" w:rsidRPr="00336CE2">
              <w:rPr>
                <w:b w:val="0"/>
                <w:sz w:val="18"/>
              </w:rPr>
              <w:t>ipids feed</w:t>
            </w:r>
            <w:r>
              <w:rPr>
                <w:b w:val="0"/>
                <w:sz w:val="18"/>
              </w:rPr>
              <w:t>s suppliers mix</w:t>
            </w:r>
            <w:r w:rsidR="00336CE2" w:rsidRPr="00336CE2">
              <w:rPr>
                <w:b w:val="0"/>
                <w:sz w:val="18"/>
              </w:rPr>
              <w:t xml:space="preserve"> </w:t>
            </w:r>
          </w:p>
        </w:tc>
        <w:tc>
          <w:tcPr>
            <w:tcW w:w="1016" w:type="pct"/>
          </w:tcPr>
          <w:p w14:paraId="04E152A8" w14:textId="77777777" w:rsidR="00336CE2" w:rsidRPr="00432913" w:rsidRDefault="00336CE2" w:rsidP="00492142">
            <w:pPr>
              <w:cnfStyle w:val="000000000000" w:firstRow="0" w:lastRow="0" w:firstColumn="0" w:lastColumn="0" w:oddVBand="0" w:evenVBand="0" w:oddHBand="0" w:evenHBand="0" w:firstRowFirstColumn="0" w:firstRowLastColumn="0" w:lastRowFirstColumn="0" w:lastRowLastColumn="0"/>
              <w:rPr>
                <w:sz w:val="18"/>
              </w:rPr>
            </w:pPr>
            <w:r>
              <w:rPr>
                <w:sz w:val="18"/>
              </w:rPr>
              <w:t>20%</w:t>
            </w:r>
          </w:p>
        </w:tc>
        <w:tc>
          <w:tcPr>
            <w:tcW w:w="2343" w:type="pct"/>
            <w:vMerge/>
          </w:tcPr>
          <w:p w14:paraId="532C9800" w14:textId="77777777" w:rsidR="00336CE2" w:rsidRDefault="00336CE2" w:rsidP="00492142">
            <w:pPr>
              <w:cnfStyle w:val="000000000000" w:firstRow="0" w:lastRow="0" w:firstColumn="0" w:lastColumn="0" w:oddVBand="0" w:evenVBand="0" w:oddHBand="0" w:evenHBand="0" w:firstRowFirstColumn="0" w:firstRowLastColumn="0" w:lastRowFirstColumn="0" w:lastRowLastColumn="0"/>
              <w:rPr>
                <w:i/>
                <w:sz w:val="18"/>
              </w:rPr>
            </w:pPr>
          </w:p>
        </w:tc>
      </w:tr>
      <w:tr w:rsidR="00336CE2" w14:paraId="132E6D1F"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41" w:type="pct"/>
          </w:tcPr>
          <w:p w14:paraId="78D63BF2" w14:textId="09A3C0F3" w:rsidR="00336CE2" w:rsidRPr="00336CE2" w:rsidRDefault="00A16D35" w:rsidP="00492142">
            <w:pPr>
              <w:rPr>
                <w:b w:val="0"/>
                <w:sz w:val="18"/>
              </w:rPr>
            </w:pPr>
            <w:r>
              <w:rPr>
                <w:b w:val="0"/>
                <w:sz w:val="18"/>
              </w:rPr>
              <w:t xml:space="preserve">Marginal carbohydrates </w:t>
            </w:r>
            <w:r w:rsidR="00336CE2" w:rsidRPr="00336CE2">
              <w:rPr>
                <w:b w:val="0"/>
                <w:sz w:val="18"/>
              </w:rPr>
              <w:t>feed</w:t>
            </w:r>
            <w:r>
              <w:rPr>
                <w:b w:val="0"/>
                <w:sz w:val="18"/>
              </w:rPr>
              <w:t>s</w:t>
            </w:r>
            <w:r w:rsidR="00336CE2" w:rsidRPr="00336CE2">
              <w:rPr>
                <w:b w:val="0"/>
                <w:sz w:val="18"/>
              </w:rPr>
              <w:t xml:space="preserve"> </w:t>
            </w:r>
            <w:r>
              <w:rPr>
                <w:b w:val="0"/>
                <w:sz w:val="18"/>
              </w:rPr>
              <w:t>suppliers mix</w:t>
            </w:r>
          </w:p>
        </w:tc>
        <w:tc>
          <w:tcPr>
            <w:tcW w:w="1016" w:type="pct"/>
          </w:tcPr>
          <w:p w14:paraId="4DC6BE35" w14:textId="77777777" w:rsidR="00336CE2" w:rsidRPr="00432913" w:rsidRDefault="00336CE2" w:rsidP="00492142">
            <w:pPr>
              <w:cnfStyle w:val="000000100000" w:firstRow="0" w:lastRow="0" w:firstColumn="0" w:lastColumn="0" w:oddVBand="0" w:evenVBand="0" w:oddHBand="1" w:evenHBand="0" w:firstRowFirstColumn="0" w:firstRowLastColumn="0" w:lastRowFirstColumn="0" w:lastRowLastColumn="0"/>
              <w:rPr>
                <w:sz w:val="18"/>
              </w:rPr>
            </w:pPr>
            <w:r>
              <w:rPr>
                <w:sz w:val="18"/>
              </w:rPr>
              <w:t>10%</w:t>
            </w:r>
          </w:p>
        </w:tc>
        <w:tc>
          <w:tcPr>
            <w:tcW w:w="2343" w:type="pct"/>
            <w:vMerge/>
          </w:tcPr>
          <w:p w14:paraId="5C7BC481" w14:textId="77777777" w:rsidR="00336CE2" w:rsidRDefault="00336CE2" w:rsidP="00492142">
            <w:pPr>
              <w:cnfStyle w:val="000000100000" w:firstRow="0" w:lastRow="0" w:firstColumn="0" w:lastColumn="0" w:oddVBand="0" w:evenVBand="0" w:oddHBand="1" w:evenHBand="0" w:firstRowFirstColumn="0" w:firstRowLastColumn="0" w:lastRowFirstColumn="0" w:lastRowLastColumn="0"/>
              <w:rPr>
                <w:i/>
                <w:sz w:val="18"/>
              </w:rPr>
            </w:pPr>
          </w:p>
        </w:tc>
      </w:tr>
    </w:tbl>
    <w:p w14:paraId="771CF315" w14:textId="77777777" w:rsidR="00336CE2" w:rsidRDefault="00336CE2" w:rsidP="00336CE2">
      <w:pPr>
        <w:jc w:val="both"/>
      </w:pPr>
    </w:p>
    <w:p w14:paraId="084E6BDB" w14:textId="00114E05" w:rsidR="00336CE2" w:rsidRPr="00492142" w:rsidRDefault="00492142" w:rsidP="00492142">
      <w:pPr>
        <w:pStyle w:val="Lgende"/>
        <w:jc w:val="left"/>
      </w:pPr>
      <w:bookmarkStart w:id="39" w:name="_Ref151708270"/>
      <w:bookmarkStart w:id="40" w:name="_Toc155516852"/>
      <w:bookmarkEnd w:id="37"/>
      <w:r w:rsidRPr="00492142">
        <w:t>Table SI</w:t>
      </w:r>
      <w:r w:rsidRPr="00492142">
        <w:fldChar w:fldCharType="begin"/>
      </w:r>
      <w:r w:rsidRPr="00492142">
        <w:instrText xml:space="preserve"> SEQ Table \* ARABIC </w:instrText>
      </w:r>
      <w:r w:rsidRPr="00492142">
        <w:fldChar w:fldCharType="separate"/>
      </w:r>
      <w:r w:rsidR="00C65861">
        <w:rPr>
          <w:noProof/>
        </w:rPr>
        <w:t>16</w:t>
      </w:r>
      <w:r w:rsidRPr="00492142">
        <w:fldChar w:fldCharType="end"/>
      </w:r>
      <w:bookmarkEnd w:id="39"/>
      <w:r w:rsidRPr="00492142">
        <w:t xml:space="preserve"> </w:t>
      </w:r>
      <w:r w:rsidR="00336CE2" w:rsidRPr="00492142">
        <w:t xml:space="preserve">– </w:t>
      </w:r>
      <w:r w:rsidR="00A16D35">
        <w:t>LCA scores</w:t>
      </w:r>
      <w:r w:rsidR="00336CE2" w:rsidRPr="00492142">
        <w:t xml:space="preserve"> of marginal meat-equivalent </w:t>
      </w:r>
      <w:r w:rsidR="00A16D35">
        <w:t>suppliers</w:t>
      </w:r>
      <w:r w:rsidR="00336CE2" w:rsidRPr="00492142">
        <w:t xml:space="preserve"> in </w:t>
      </w:r>
      <w:r w:rsidR="00A16D35">
        <w:t xml:space="preserve">three </w:t>
      </w:r>
      <w:r w:rsidR="00336CE2" w:rsidRPr="00492142">
        <w:t>food systems scenarios</w:t>
      </w:r>
      <w:bookmarkEnd w:id="40"/>
    </w:p>
    <w:tbl>
      <w:tblPr>
        <w:tblStyle w:val="Tableausimple2"/>
        <w:tblW w:w="0" w:type="auto"/>
        <w:tblLook w:val="04A0" w:firstRow="1" w:lastRow="0" w:firstColumn="1" w:lastColumn="0" w:noHBand="0" w:noVBand="1"/>
      </w:tblPr>
      <w:tblGrid>
        <w:gridCol w:w="2268"/>
        <w:gridCol w:w="1479"/>
        <w:gridCol w:w="1440"/>
        <w:gridCol w:w="1671"/>
        <w:gridCol w:w="2214"/>
      </w:tblGrid>
      <w:tr w:rsidR="00336CE2" w:rsidRPr="00F7197B" w14:paraId="687D6930" w14:textId="77777777" w:rsidTr="0049214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val="restart"/>
          </w:tcPr>
          <w:p w14:paraId="438C55A6" w14:textId="77777777" w:rsidR="00336CE2" w:rsidRDefault="00336CE2" w:rsidP="00492142">
            <w:pPr>
              <w:pStyle w:val="Contenudetableau"/>
              <w:rPr>
                <w:b w:val="0"/>
                <w:bCs w:val="0"/>
                <w:sz w:val="18"/>
              </w:rPr>
            </w:pPr>
            <w:r>
              <w:rPr>
                <w:sz w:val="18"/>
              </w:rPr>
              <w:t xml:space="preserve">Environmental </w:t>
            </w:r>
            <w:r w:rsidRPr="00793512">
              <w:rPr>
                <w:sz w:val="18"/>
              </w:rPr>
              <w:t>impacts</w:t>
            </w:r>
          </w:p>
          <w:p w14:paraId="79BE97C5" w14:textId="77777777" w:rsidR="00336CE2" w:rsidRPr="0098795B" w:rsidRDefault="00336CE2" w:rsidP="00492142">
            <w:pPr>
              <w:pStyle w:val="Contenudetableau"/>
              <w:rPr>
                <w:rFonts w:ascii="Calibri" w:hAnsi="Calibri"/>
                <w:bCs w:val="0"/>
                <w:color w:val="000000"/>
                <w:sz w:val="18"/>
                <w:szCs w:val="18"/>
              </w:rPr>
            </w:pPr>
            <w:r>
              <w:rPr>
                <w:sz w:val="18"/>
              </w:rPr>
              <w:t>(</w:t>
            </w:r>
            <w:r w:rsidRPr="00793512">
              <w:rPr>
                <w:sz w:val="18"/>
              </w:rPr>
              <w:t>EF 3.0</w:t>
            </w:r>
            <w:r>
              <w:rPr>
                <w:sz w:val="18"/>
              </w:rPr>
              <w:t>)</w:t>
            </w:r>
            <w:r w:rsidRPr="00793512">
              <w:rPr>
                <w:sz w:val="18"/>
              </w:rPr>
              <w:t>,</w:t>
            </w:r>
            <w:r>
              <w:rPr>
                <w:sz w:val="18"/>
              </w:rPr>
              <w:t xml:space="preserve"> </w:t>
            </w:r>
            <w:r w:rsidRPr="00793512">
              <w:rPr>
                <w:sz w:val="18"/>
              </w:rPr>
              <w:t xml:space="preserve">per </w:t>
            </w:r>
            <w:proofErr w:type="spellStart"/>
            <w:r>
              <w:rPr>
                <w:sz w:val="18"/>
              </w:rPr>
              <w:t>kg</w:t>
            </w:r>
            <w:r w:rsidRPr="009A5A88">
              <w:rPr>
                <w:sz w:val="18"/>
                <w:vertAlign w:val="subscript"/>
              </w:rPr>
              <w:t>DM</w:t>
            </w:r>
            <w:proofErr w:type="spellEnd"/>
            <w:r w:rsidRPr="00793512">
              <w:rPr>
                <w:sz w:val="18"/>
              </w:rPr>
              <w:t xml:space="preserve"> supplied</w:t>
            </w:r>
          </w:p>
        </w:tc>
        <w:tc>
          <w:tcPr>
            <w:tcW w:w="2919" w:type="dxa"/>
            <w:gridSpan w:val="2"/>
          </w:tcPr>
          <w:p w14:paraId="2C95B072" w14:textId="4AF26C0B" w:rsidR="00336CE2" w:rsidRDefault="00336CE2" w:rsidP="00492142">
            <w:pPr>
              <w:pStyle w:val="Contenudetableau"/>
              <w:cnfStyle w:val="100000000000" w:firstRow="1" w:lastRow="0" w:firstColumn="0" w:lastColumn="0" w:oddVBand="0" w:evenVBand="0" w:oddHBand="0" w:evenHBand="0" w:firstRowFirstColumn="0" w:firstRowLastColumn="0" w:lastRowFirstColumn="0" w:lastRowLastColumn="0"/>
              <w:rPr>
                <w:color w:val="000000"/>
                <w:sz w:val="18"/>
                <w:szCs w:val="18"/>
              </w:rPr>
            </w:pPr>
            <w:r w:rsidRPr="0098795B">
              <w:rPr>
                <w:color w:val="000000"/>
                <w:sz w:val="18"/>
                <w:szCs w:val="18"/>
              </w:rPr>
              <w:t xml:space="preserve">Toward </w:t>
            </w:r>
            <w:r>
              <w:rPr>
                <w:color w:val="000000"/>
                <w:sz w:val="18"/>
                <w:szCs w:val="18"/>
              </w:rPr>
              <w:t>sustainable food systems</w:t>
            </w:r>
          </w:p>
        </w:tc>
        <w:tc>
          <w:tcPr>
            <w:tcW w:w="1671" w:type="dxa"/>
            <w:vMerge w:val="restart"/>
          </w:tcPr>
          <w:p w14:paraId="3C4110EC" w14:textId="3D4D7363" w:rsidR="00336CE2" w:rsidRPr="0098795B" w:rsidRDefault="00336CE2" w:rsidP="00492142">
            <w:pPr>
              <w:pStyle w:val="Contenudetableau"/>
              <w:cnfStyle w:val="100000000000" w:firstRow="1" w:lastRow="0" w:firstColumn="0" w:lastColumn="0" w:oddVBand="0" w:evenVBand="0" w:oddHBand="0" w:evenHBand="0" w:firstRowFirstColumn="0" w:firstRowLastColumn="0" w:lastRowFirstColumn="0" w:lastRowLastColumn="0"/>
              <w:rPr>
                <w:bCs w:val="0"/>
                <w:color w:val="000000"/>
                <w:sz w:val="18"/>
                <w:szCs w:val="18"/>
              </w:rPr>
            </w:pPr>
            <w:r>
              <w:rPr>
                <w:color w:val="000000"/>
                <w:sz w:val="18"/>
                <w:szCs w:val="18"/>
              </w:rPr>
              <w:t>Ongoing food systems tr</w:t>
            </w:r>
            <w:r w:rsidR="00A16D35">
              <w:rPr>
                <w:color w:val="000000"/>
                <w:sz w:val="18"/>
                <w:szCs w:val="18"/>
              </w:rPr>
              <w:t>ends</w:t>
            </w:r>
          </w:p>
        </w:tc>
        <w:tc>
          <w:tcPr>
            <w:tcW w:w="2214" w:type="dxa"/>
            <w:vMerge w:val="restart"/>
          </w:tcPr>
          <w:p w14:paraId="2732F212" w14:textId="77777777" w:rsidR="00336CE2" w:rsidRPr="007F4C02" w:rsidRDefault="00336CE2" w:rsidP="00492142">
            <w:pPr>
              <w:pStyle w:val="Contenudetableau"/>
              <w:cnfStyle w:val="100000000000" w:firstRow="1" w:lastRow="0" w:firstColumn="0" w:lastColumn="0" w:oddVBand="0" w:evenVBand="0" w:oddHBand="0" w:evenHBand="0" w:firstRowFirstColumn="0" w:firstRowLastColumn="0" w:lastRowFirstColumn="0" w:lastRowLastColumn="0"/>
              <w:rPr>
                <w:bCs w:val="0"/>
                <w:color w:val="000000"/>
                <w:sz w:val="18"/>
                <w:szCs w:val="18"/>
                <w:lang w:val="fr-FR"/>
              </w:rPr>
            </w:pPr>
            <w:proofErr w:type="spellStart"/>
            <w:r>
              <w:rPr>
                <w:color w:val="000000"/>
                <w:sz w:val="18"/>
                <w:szCs w:val="18"/>
                <w:lang w:val="fr-FR"/>
              </w:rPr>
              <w:t>Towards</w:t>
            </w:r>
            <w:proofErr w:type="spellEnd"/>
            <w:r>
              <w:rPr>
                <w:color w:val="000000"/>
                <w:sz w:val="18"/>
                <w:szCs w:val="18"/>
                <w:lang w:val="fr-FR"/>
              </w:rPr>
              <w:t xml:space="preserve"> </w:t>
            </w:r>
            <w:proofErr w:type="spellStart"/>
            <w:r>
              <w:rPr>
                <w:color w:val="000000"/>
                <w:sz w:val="18"/>
                <w:szCs w:val="18"/>
                <w:lang w:val="fr-FR"/>
              </w:rPr>
              <w:t>uncontrolled</w:t>
            </w:r>
            <w:proofErr w:type="spellEnd"/>
            <w:r>
              <w:rPr>
                <w:color w:val="000000"/>
                <w:sz w:val="18"/>
                <w:szCs w:val="18"/>
                <w:lang w:val="fr-FR"/>
              </w:rPr>
              <w:t xml:space="preserve"> land expansion</w:t>
            </w:r>
          </w:p>
        </w:tc>
      </w:tr>
      <w:tr w:rsidR="00336CE2" w:rsidRPr="0098795B" w14:paraId="1ED14305"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vMerge/>
          </w:tcPr>
          <w:p w14:paraId="3A7E67C2" w14:textId="77777777" w:rsidR="00336CE2" w:rsidRPr="00C17A27" w:rsidRDefault="00336CE2" w:rsidP="00492142">
            <w:pPr>
              <w:pStyle w:val="Contenudetableau"/>
              <w:rPr>
                <w:b w:val="0"/>
                <w:sz w:val="18"/>
              </w:rPr>
            </w:pPr>
          </w:p>
        </w:tc>
        <w:tc>
          <w:tcPr>
            <w:tcW w:w="1479" w:type="dxa"/>
          </w:tcPr>
          <w:p w14:paraId="1E5F54EC" w14:textId="621D76F1" w:rsidR="00336CE2" w:rsidRPr="00492142" w:rsidRDefault="00336CE2" w:rsidP="00492142">
            <w:pPr>
              <w:pStyle w:val="Contenudetableau"/>
              <w:cnfStyle w:val="000000100000" w:firstRow="0" w:lastRow="0" w:firstColumn="0" w:lastColumn="0" w:oddVBand="0" w:evenVBand="0" w:oddHBand="1" w:evenHBand="0" w:firstRowFirstColumn="0" w:firstRowLastColumn="0" w:lastRowFirstColumn="0" w:lastRowLastColumn="0"/>
              <w:rPr>
                <w:b/>
                <w:color w:val="000000"/>
                <w:sz w:val="18"/>
              </w:rPr>
            </w:pPr>
            <w:r w:rsidRPr="00492142">
              <w:rPr>
                <w:b/>
                <w:color w:val="000000"/>
                <w:sz w:val="18"/>
              </w:rPr>
              <w:t>Alternative 1</w:t>
            </w:r>
          </w:p>
        </w:tc>
        <w:tc>
          <w:tcPr>
            <w:tcW w:w="1440" w:type="dxa"/>
          </w:tcPr>
          <w:p w14:paraId="4A49943C" w14:textId="70BE4020" w:rsidR="00336CE2" w:rsidRPr="00492142" w:rsidRDefault="00336CE2" w:rsidP="00492142">
            <w:pPr>
              <w:pStyle w:val="Contenudetableau"/>
              <w:cnfStyle w:val="000000100000" w:firstRow="0" w:lastRow="0" w:firstColumn="0" w:lastColumn="0" w:oddVBand="0" w:evenVBand="0" w:oddHBand="1" w:evenHBand="0" w:firstRowFirstColumn="0" w:firstRowLastColumn="0" w:lastRowFirstColumn="0" w:lastRowLastColumn="0"/>
              <w:rPr>
                <w:b/>
                <w:color w:val="000000"/>
                <w:sz w:val="18"/>
              </w:rPr>
            </w:pPr>
            <w:r w:rsidRPr="00492142">
              <w:rPr>
                <w:b/>
                <w:color w:val="000000"/>
                <w:sz w:val="18"/>
              </w:rPr>
              <w:t>Alternative 2</w:t>
            </w:r>
          </w:p>
        </w:tc>
        <w:tc>
          <w:tcPr>
            <w:tcW w:w="1671" w:type="dxa"/>
            <w:vMerge/>
          </w:tcPr>
          <w:p w14:paraId="03C8ABF9" w14:textId="77777777" w:rsidR="00336CE2" w:rsidRDefault="00336CE2" w:rsidP="00492142">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p>
        </w:tc>
        <w:tc>
          <w:tcPr>
            <w:tcW w:w="2214" w:type="dxa"/>
            <w:vMerge/>
          </w:tcPr>
          <w:p w14:paraId="447A31B2" w14:textId="77777777" w:rsidR="00336CE2" w:rsidRDefault="00336CE2" w:rsidP="00492142">
            <w:pPr>
              <w:pStyle w:val="Contenudetableau"/>
              <w:cnfStyle w:val="000000100000" w:firstRow="0" w:lastRow="0" w:firstColumn="0" w:lastColumn="0" w:oddVBand="0" w:evenVBand="0" w:oddHBand="1" w:evenHBand="0" w:firstRowFirstColumn="0" w:firstRowLastColumn="0" w:lastRowFirstColumn="0" w:lastRowLastColumn="0"/>
              <w:rPr>
                <w:color w:val="000000"/>
                <w:sz w:val="18"/>
              </w:rPr>
            </w:pPr>
          </w:p>
        </w:tc>
      </w:tr>
      <w:tr w:rsidR="00336CE2" w:rsidRPr="0098795B" w14:paraId="4281AFA3" w14:textId="77777777" w:rsidTr="00492142">
        <w:tc>
          <w:tcPr>
            <w:cnfStyle w:val="001000000000" w:firstRow="0" w:lastRow="0" w:firstColumn="1" w:lastColumn="0" w:oddVBand="0" w:evenVBand="0" w:oddHBand="0" w:evenHBand="0" w:firstRowFirstColumn="0" w:firstRowLastColumn="0" w:lastRowFirstColumn="0" w:lastRowLastColumn="0"/>
            <w:tcW w:w="2268" w:type="dxa"/>
          </w:tcPr>
          <w:p w14:paraId="3E982FCF" w14:textId="77777777" w:rsidR="00336CE2" w:rsidRPr="0098795B" w:rsidRDefault="00336CE2" w:rsidP="00492142">
            <w:pPr>
              <w:pStyle w:val="Contenudetableau"/>
              <w:rPr>
                <w:sz w:val="18"/>
              </w:rPr>
            </w:pPr>
            <w:r w:rsidRPr="00C17A27">
              <w:rPr>
                <w:b w:val="0"/>
                <w:sz w:val="18"/>
              </w:rPr>
              <w:t>Climate change (kgCO</w:t>
            </w:r>
            <w:r w:rsidRPr="00C17A27">
              <w:rPr>
                <w:b w:val="0"/>
                <w:sz w:val="18"/>
                <w:vertAlign w:val="subscript"/>
              </w:rPr>
              <w:t>2</w:t>
            </w:r>
            <w:r w:rsidRPr="00C17A27">
              <w:rPr>
                <w:b w:val="0"/>
                <w:sz w:val="18"/>
              </w:rPr>
              <w:t>-eq)</w:t>
            </w:r>
          </w:p>
        </w:tc>
        <w:tc>
          <w:tcPr>
            <w:tcW w:w="1479" w:type="dxa"/>
          </w:tcPr>
          <w:p w14:paraId="6F6EE9F2" w14:textId="7AFA4F6D" w:rsidR="00336CE2" w:rsidRPr="0098795B" w:rsidRDefault="00336CE2" w:rsidP="00492142">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16.2</w:t>
            </w:r>
          </w:p>
        </w:tc>
        <w:tc>
          <w:tcPr>
            <w:tcW w:w="1440" w:type="dxa"/>
          </w:tcPr>
          <w:p w14:paraId="392CE634" w14:textId="4EE450D3" w:rsidR="00336CE2" w:rsidRDefault="006F1314" w:rsidP="00492142">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2.1</w:t>
            </w:r>
          </w:p>
        </w:tc>
        <w:tc>
          <w:tcPr>
            <w:tcW w:w="1671" w:type="dxa"/>
          </w:tcPr>
          <w:p w14:paraId="0D11C946" w14:textId="61DDD00E" w:rsidR="00336CE2" w:rsidRPr="0098795B" w:rsidRDefault="00336CE2" w:rsidP="00492142">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23.1</w:t>
            </w:r>
          </w:p>
        </w:tc>
        <w:tc>
          <w:tcPr>
            <w:tcW w:w="2214" w:type="dxa"/>
          </w:tcPr>
          <w:p w14:paraId="7E634CAE" w14:textId="7CFCAE32" w:rsidR="00336CE2" w:rsidRPr="0098795B" w:rsidRDefault="00336CE2" w:rsidP="00492142">
            <w:pPr>
              <w:pStyle w:val="Contenudetableau"/>
              <w:cnfStyle w:val="000000000000" w:firstRow="0" w:lastRow="0" w:firstColumn="0" w:lastColumn="0" w:oddVBand="0" w:evenVBand="0" w:oddHBand="0" w:evenHBand="0" w:firstRowFirstColumn="0" w:firstRowLastColumn="0" w:lastRowFirstColumn="0" w:lastRowLastColumn="0"/>
              <w:rPr>
                <w:color w:val="000000"/>
                <w:sz w:val="18"/>
              </w:rPr>
            </w:pPr>
            <w:r>
              <w:rPr>
                <w:color w:val="000000"/>
                <w:sz w:val="18"/>
              </w:rPr>
              <w:t>28.6</w:t>
            </w:r>
          </w:p>
        </w:tc>
      </w:tr>
      <w:tr w:rsidR="00336CE2" w:rsidRPr="0098795B" w14:paraId="36BDA998"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043BE6F2" w14:textId="77777777" w:rsidR="00336CE2" w:rsidRPr="00C17A27" w:rsidRDefault="00336CE2" w:rsidP="00492142">
            <w:pPr>
              <w:pStyle w:val="Contenudetableau"/>
              <w:rPr>
                <w:sz w:val="18"/>
              </w:rPr>
            </w:pPr>
            <w:r w:rsidRPr="00C17A27">
              <w:rPr>
                <w:b w:val="0"/>
                <w:sz w:val="18"/>
              </w:rPr>
              <w:t>Marine eutrophic</w:t>
            </w:r>
            <w:r>
              <w:rPr>
                <w:b w:val="0"/>
                <w:sz w:val="18"/>
              </w:rPr>
              <w:t>.</w:t>
            </w:r>
            <w:r w:rsidRPr="00C17A27">
              <w:rPr>
                <w:b w:val="0"/>
                <w:sz w:val="18"/>
              </w:rPr>
              <w:t xml:space="preserve"> (kgN-eq)</w:t>
            </w:r>
          </w:p>
        </w:tc>
        <w:tc>
          <w:tcPr>
            <w:tcW w:w="1479" w:type="dxa"/>
          </w:tcPr>
          <w:p w14:paraId="09178684" w14:textId="6CCDC276" w:rsidR="00336CE2" w:rsidRPr="00C17A27" w:rsidRDefault="00336CE2" w:rsidP="00492142">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0.07</w:t>
            </w:r>
          </w:p>
        </w:tc>
        <w:tc>
          <w:tcPr>
            <w:tcW w:w="1440" w:type="dxa"/>
          </w:tcPr>
          <w:p w14:paraId="235D20A5" w14:textId="4FB68343" w:rsidR="00336CE2" w:rsidRDefault="006F1314" w:rsidP="00492142">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0.013</w:t>
            </w:r>
          </w:p>
        </w:tc>
        <w:tc>
          <w:tcPr>
            <w:tcW w:w="1671" w:type="dxa"/>
          </w:tcPr>
          <w:p w14:paraId="66903D0F" w14:textId="6102C44E" w:rsidR="00336CE2" w:rsidRDefault="00336CE2" w:rsidP="00492142">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0.12</w:t>
            </w:r>
          </w:p>
        </w:tc>
        <w:tc>
          <w:tcPr>
            <w:tcW w:w="2214" w:type="dxa"/>
          </w:tcPr>
          <w:p w14:paraId="468350C0" w14:textId="3BD1CF2A" w:rsidR="00336CE2" w:rsidRDefault="00336CE2" w:rsidP="00492142">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0.14</w:t>
            </w:r>
          </w:p>
        </w:tc>
      </w:tr>
      <w:tr w:rsidR="00336CE2" w:rsidRPr="0098795B" w14:paraId="67977F48" w14:textId="77777777" w:rsidTr="00492142">
        <w:tc>
          <w:tcPr>
            <w:cnfStyle w:val="001000000000" w:firstRow="0" w:lastRow="0" w:firstColumn="1" w:lastColumn="0" w:oddVBand="0" w:evenVBand="0" w:oddHBand="0" w:evenHBand="0" w:firstRowFirstColumn="0" w:firstRowLastColumn="0" w:lastRowFirstColumn="0" w:lastRowLastColumn="0"/>
            <w:tcW w:w="2268" w:type="dxa"/>
          </w:tcPr>
          <w:p w14:paraId="25200FE0" w14:textId="77777777" w:rsidR="00336CE2" w:rsidRPr="00C17A27" w:rsidRDefault="00336CE2" w:rsidP="00492142">
            <w:pPr>
              <w:pStyle w:val="Contenudetableau"/>
              <w:rPr>
                <w:sz w:val="18"/>
              </w:rPr>
            </w:pPr>
            <w:r w:rsidRPr="00C17A27">
              <w:rPr>
                <w:b w:val="0"/>
                <w:sz w:val="18"/>
              </w:rPr>
              <w:t>Land use (points)</w:t>
            </w:r>
          </w:p>
        </w:tc>
        <w:tc>
          <w:tcPr>
            <w:tcW w:w="1479" w:type="dxa"/>
          </w:tcPr>
          <w:p w14:paraId="5A0DCE2E" w14:textId="1255FCE8" w:rsidR="00336CE2" w:rsidRPr="00C17A27" w:rsidRDefault="00336CE2" w:rsidP="00492142">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465</w:t>
            </w:r>
          </w:p>
        </w:tc>
        <w:tc>
          <w:tcPr>
            <w:tcW w:w="1440" w:type="dxa"/>
          </w:tcPr>
          <w:p w14:paraId="6F0E2096" w14:textId="782E87E3" w:rsidR="00336CE2" w:rsidRDefault="006F1314" w:rsidP="00492142">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154</w:t>
            </w:r>
          </w:p>
        </w:tc>
        <w:tc>
          <w:tcPr>
            <w:tcW w:w="1671" w:type="dxa"/>
          </w:tcPr>
          <w:p w14:paraId="5EAB9154" w14:textId="253ECB8A" w:rsidR="00336CE2" w:rsidRPr="00C17A27" w:rsidRDefault="00336CE2" w:rsidP="00492142">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858</w:t>
            </w:r>
          </w:p>
        </w:tc>
        <w:tc>
          <w:tcPr>
            <w:tcW w:w="2214" w:type="dxa"/>
          </w:tcPr>
          <w:p w14:paraId="76F31C74" w14:textId="10BD075B" w:rsidR="00336CE2" w:rsidRDefault="006F1314" w:rsidP="00492142">
            <w:pPr>
              <w:pStyle w:val="Contenudetableau"/>
              <w:cnfStyle w:val="000000000000" w:firstRow="0" w:lastRow="0" w:firstColumn="0" w:lastColumn="0" w:oddVBand="0" w:evenVBand="0" w:oddHBand="0"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867</w:t>
            </w:r>
          </w:p>
        </w:tc>
      </w:tr>
      <w:tr w:rsidR="00336CE2" w:rsidRPr="0098795B" w14:paraId="5DFA8304" w14:textId="77777777" w:rsidTr="0049214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68" w:type="dxa"/>
          </w:tcPr>
          <w:p w14:paraId="39FAD1C9" w14:textId="77777777" w:rsidR="00336CE2" w:rsidRPr="00C17A27" w:rsidRDefault="00336CE2" w:rsidP="00492142">
            <w:pPr>
              <w:pStyle w:val="Contenudetableau"/>
              <w:rPr>
                <w:sz w:val="18"/>
              </w:rPr>
            </w:pPr>
            <w:r w:rsidRPr="00C17A27">
              <w:rPr>
                <w:b w:val="0"/>
                <w:color w:val="000000"/>
                <w:sz w:val="18"/>
                <w:szCs w:val="18"/>
              </w:rPr>
              <w:t>Water use (m</w:t>
            </w:r>
            <w:r w:rsidRPr="00C17A27">
              <w:rPr>
                <w:b w:val="0"/>
                <w:color w:val="000000"/>
                <w:sz w:val="18"/>
                <w:szCs w:val="18"/>
                <w:vertAlign w:val="superscript"/>
              </w:rPr>
              <w:t>3</w:t>
            </w:r>
            <w:r w:rsidRPr="00C17A27">
              <w:rPr>
                <w:b w:val="0"/>
                <w:color w:val="000000"/>
                <w:sz w:val="18"/>
                <w:szCs w:val="18"/>
              </w:rPr>
              <w:t>-eq)</w:t>
            </w:r>
          </w:p>
        </w:tc>
        <w:tc>
          <w:tcPr>
            <w:tcW w:w="1479" w:type="dxa"/>
          </w:tcPr>
          <w:p w14:paraId="664EE3AF" w14:textId="1875531D" w:rsidR="00336CE2" w:rsidRDefault="00336CE2" w:rsidP="00492142">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22.3</w:t>
            </w:r>
          </w:p>
        </w:tc>
        <w:tc>
          <w:tcPr>
            <w:tcW w:w="1440" w:type="dxa"/>
          </w:tcPr>
          <w:p w14:paraId="38EF86A8" w14:textId="33DEA533" w:rsidR="00336CE2" w:rsidRDefault="006F1314" w:rsidP="00492142">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1.2</w:t>
            </w:r>
          </w:p>
        </w:tc>
        <w:tc>
          <w:tcPr>
            <w:tcW w:w="1671" w:type="dxa"/>
          </w:tcPr>
          <w:p w14:paraId="7B819E57" w14:textId="4FB5FE06" w:rsidR="00336CE2" w:rsidRDefault="00336CE2" w:rsidP="00492142">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37.1</w:t>
            </w:r>
          </w:p>
        </w:tc>
        <w:tc>
          <w:tcPr>
            <w:tcW w:w="2214" w:type="dxa"/>
          </w:tcPr>
          <w:p w14:paraId="36A473C8" w14:textId="783C7D2C" w:rsidR="00336CE2" w:rsidRDefault="006F1314" w:rsidP="00492142">
            <w:pPr>
              <w:pStyle w:val="Contenudetableau"/>
              <w:cnfStyle w:val="000000100000" w:firstRow="0" w:lastRow="0" w:firstColumn="0" w:lastColumn="0" w:oddVBand="0" w:evenVBand="0" w:oddHBand="1" w:evenHBand="0" w:firstRowFirstColumn="0" w:firstRowLastColumn="0" w:lastRowFirstColumn="0" w:lastRowLastColumn="0"/>
              <w:rPr>
                <w:rFonts w:ascii="Calibri" w:hAnsi="Calibri"/>
                <w:color w:val="000000"/>
                <w:sz w:val="18"/>
                <w:szCs w:val="18"/>
              </w:rPr>
            </w:pPr>
            <w:r>
              <w:rPr>
                <w:rFonts w:ascii="Calibri" w:hAnsi="Calibri"/>
                <w:color w:val="000000"/>
                <w:sz w:val="18"/>
                <w:szCs w:val="18"/>
              </w:rPr>
              <w:t>38.1</w:t>
            </w:r>
          </w:p>
        </w:tc>
      </w:tr>
    </w:tbl>
    <w:p w14:paraId="4593795A" w14:textId="38C8BA67" w:rsidR="00336CE2" w:rsidRPr="009A5A88" w:rsidRDefault="00492142" w:rsidP="00492142">
      <w:pPr>
        <w:jc w:val="both"/>
        <w:rPr>
          <w:sz w:val="18"/>
        </w:rPr>
      </w:pPr>
      <w:r>
        <w:rPr>
          <w:sz w:val="18"/>
        </w:rPr>
        <w:t>Values r</w:t>
      </w:r>
      <w:r w:rsidR="00336CE2" w:rsidRPr="009A5A88">
        <w:rPr>
          <w:sz w:val="18"/>
        </w:rPr>
        <w:t>ounded to two digits</w:t>
      </w:r>
      <w:r w:rsidR="00336CE2">
        <w:rPr>
          <w:sz w:val="18"/>
        </w:rPr>
        <w:t xml:space="preserve">. </w:t>
      </w:r>
      <w:r w:rsidR="008A24AD" w:rsidRPr="00492142">
        <w:rPr>
          <w:b/>
          <w:sz w:val="18"/>
        </w:rPr>
        <w:t>Alternative 1</w:t>
      </w:r>
      <w:r w:rsidR="008A24AD">
        <w:rPr>
          <w:sz w:val="18"/>
        </w:rPr>
        <w:t xml:space="preserve">: meat-equivalent markets supplied by marginal animal-based meat suppliers only. </w:t>
      </w:r>
      <w:r w:rsidR="008A24AD" w:rsidRPr="00492142">
        <w:rPr>
          <w:b/>
          <w:sz w:val="18"/>
        </w:rPr>
        <w:t>Alternative 2</w:t>
      </w:r>
      <w:r w:rsidR="008A24AD">
        <w:rPr>
          <w:sz w:val="18"/>
        </w:rPr>
        <w:t xml:space="preserve">: supplied by plant-based </w:t>
      </w:r>
      <w:r w:rsidR="00A16D35">
        <w:rPr>
          <w:sz w:val="18"/>
        </w:rPr>
        <w:t xml:space="preserve">marginal </w:t>
      </w:r>
      <w:r w:rsidR="008A24AD">
        <w:rPr>
          <w:sz w:val="18"/>
        </w:rPr>
        <w:t>meat analogue suppliers</w:t>
      </w:r>
      <w:r>
        <w:rPr>
          <w:sz w:val="18"/>
        </w:rPr>
        <w:t xml:space="preserve">. </w:t>
      </w:r>
      <w:r w:rsidR="00A16D35">
        <w:rPr>
          <w:sz w:val="18"/>
        </w:rPr>
        <w:t>Only the LCA</w:t>
      </w:r>
      <w:r>
        <w:rPr>
          <w:sz w:val="18"/>
        </w:rPr>
        <w:t xml:space="preserve"> scores for the three scenarios </w:t>
      </w:r>
      <w:r w:rsidR="00A16D35">
        <w:rPr>
          <w:sz w:val="18"/>
        </w:rPr>
        <w:t xml:space="preserve">documented in the main manuscript </w:t>
      </w:r>
      <w:r>
        <w:rPr>
          <w:sz w:val="18"/>
        </w:rPr>
        <w:t xml:space="preserve">are provided here, the results for the six additional future feed </w:t>
      </w:r>
      <w:r w:rsidR="00A16D35">
        <w:rPr>
          <w:sz w:val="18"/>
        </w:rPr>
        <w:t>markets</w:t>
      </w:r>
      <w:r>
        <w:rPr>
          <w:sz w:val="18"/>
        </w:rPr>
        <w:t xml:space="preserve"> configurations (used to derive the </w:t>
      </w:r>
      <w:r w:rsidRPr="0017344E">
        <w:rPr>
          <w:b/>
          <w:sz w:val="18"/>
        </w:rPr>
        <w:t>Figure</w:t>
      </w:r>
      <w:r>
        <w:rPr>
          <w:b/>
          <w:sz w:val="18"/>
        </w:rPr>
        <w:t xml:space="preserve"> 2</w:t>
      </w:r>
      <w:r w:rsidRPr="0017344E">
        <w:rPr>
          <w:b/>
          <w:sz w:val="18"/>
        </w:rPr>
        <w:t xml:space="preserve"> </w:t>
      </w:r>
      <w:r>
        <w:rPr>
          <w:sz w:val="18"/>
        </w:rPr>
        <w:t xml:space="preserve">of the main manuscript) are </w:t>
      </w:r>
      <w:r w:rsidRPr="009E08AB">
        <w:rPr>
          <w:sz w:val="18"/>
        </w:rPr>
        <w:t xml:space="preserve">available in the </w:t>
      </w:r>
      <w:r w:rsidRPr="009E08AB">
        <w:rPr>
          <w:b/>
          <w:sz w:val="18"/>
        </w:rPr>
        <w:t>data repository</w:t>
      </w:r>
      <w:r w:rsidRPr="009E08AB">
        <w:rPr>
          <w:sz w:val="18"/>
        </w:rPr>
        <w:t>.</w:t>
      </w:r>
    </w:p>
    <w:p w14:paraId="6C804967" w14:textId="633F3328" w:rsidR="00360421" w:rsidRPr="0027524E" w:rsidRDefault="00BB7598" w:rsidP="0027524E">
      <w:pPr>
        <w:jc w:val="both"/>
      </w:pPr>
      <w:r>
        <w:lastRenderedPageBreak/>
        <w:t xml:space="preserve">Marginal swine and poultry meat production, compared per dry </w:t>
      </w:r>
      <w:r w:rsidR="005E0C7B">
        <w:t>weight</w:t>
      </w:r>
      <w:r>
        <w:t xml:space="preserve">, </w:t>
      </w:r>
      <w:r w:rsidR="005E0C7B">
        <w:t>present</w:t>
      </w:r>
      <w:r>
        <w:t xml:space="preserve"> relatively similar performances regarding marine eutrophication, land use, and water use</w:t>
      </w:r>
      <w:r w:rsidR="005E0C7B">
        <w:t>,</w:t>
      </w:r>
      <w:r>
        <w:t xml:space="preserve"> because these impacts </w:t>
      </w:r>
      <w:r w:rsidR="005E0C7B">
        <w:t xml:space="preserve">are majorly attributable </w:t>
      </w:r>
      <w:r w:rsidR="0027524E">
        <w:t>to</w:t>
      </w:r>
      <w:r>
        <w:t xml:space="preserve"> the feed ingredients ingested. </w:t>
      </w:r>
      <w:r w:rsidR="005E0C7B">
        <w:t>One</w:t>
      </w:r>
      <w:r>
        <w:t xml:space="preserve"> notable difference between </w:t>
      </w:r>
      <w:r w:rsidR="005E0C7B">
        <w:t xml:space="preserve">marginal </w:t>
      </w:r>
      <w:r>
        <w:t xml:space="preserve">poultry and swine meat climate </w:t>
      </w:r>
      <w:r w:rsidR="005E0C7B">
        <w:t>scores</w:t>
      </w:r>
      <w:r>
        <w:t xml:space="preserve"> comes from the high </w:t>
      </w:r>
      <w:r w:rsidR="0027524E">
        <w:t>GHG emissions</w:t>
      </w:r>
      <w:r>
        <w:t xml:space="preserve"> </w:t>
      </w:r>
      <w:r w:rsidR="005E0C7B">
        <w:t>associated with swine</w:t>
      </w:r>
      <w:r>
        <w:t xml:space="preserve"> manure storage and housing energy requirements (almost inexistent </w:t>
      </w:r>
      <w:r w:rsidR="005E0C7B">
        <w:t>in</w:t>
      </w:r>
      <w:r>
        <w:t xml:space="preserve"> poultry production </w:t>
      </w:r>
      <w:r w:rsidR="005E0C7B">
        <w:t>systems</w:t>
      </w:r>
      <w:r>
        <w:t xml:space="preserve">). </w:t>
      </w:r>
      <w:r w:rsidR="005E0C7B">
        <w:t>The c</w:t>
      </w:r>
      <w:r>
        <w:t xml:space="preserve">limate </w:t>
      </w:r>
      <w:r w:rsidR="005E0C7B">
        <w:t>scores</w:t>
      </w:r>
      <w:r>
        <w:t xml:space="preserve"> of marginal meat production</w:t>
      </w:r>
      <w:r w:rsidR="005E0C7B">
        <w:t xml:space="preserve"> under ongoing food systems trends (or worse scenario)</w:t>
      </w:r>
      <w:r>
        <w:t xml:space="preserve"> </w:t>
      </w:r>
      <w:r w:rsidR="0027524E">
        <w:t>aligned with</w:t>
      </w:r>
      <w:r>
        <w:t xml:space="preserve"> world average value</w:t>
      </w:r>
      <w:r w:rsidR="0027524E">
        <w:t>s</w:t>
      </w:r>
      <w:r>
        <w:t xml:space="preserve"> calculated in e.g. </w:t>
      </w:r>
      <w:proofErr w:type="spellStart"/>
      <w:r>
        <w:t>Poore</w:t>
      </w:r>
      <w:proofErr w:type="spellEnd"/>
      <w:r>
        <w:t xml:space="preserve"> and </w:t>
      </w:r>
      <w:proofErr w:type="spellStart"/>
      <w:r>
        <w:t>Nemecek</w:t>
      </w:r>
      <w:proofErr w:type="spellEnd"/>
      <w:r>
        <w:t xml:space="preserve"> </w:t>
      </w:r>
      <w:r w:rsidR="00A11914">
        <w:t>(</w:t>
      </w:r>
      <w:r>
        <w:t>2018</w:t>
      </w:r>
      <w:r w:rsidR="00A11914">
        <w:t>)</w:t>
      </w:r>
      <w:r>
        <w:fldChar w:fldCharType="begin"/>
      </w:r>
      <w:r w:rsidR="00C61A9E">
        <w:instrText xml:space="preserve"> ADDIN ZOTERO_ITEM CSL_CITATION {"citationID":"FGAz6ZOO","properties":{"formattedCitation":"\\super 25\\nosupersub{}","plainCitation":"25","noteIndex":0},"citationItems":[{"id":10706,"uris":["http://zotero.org/users/6423791/items/YBDSYMKA"],"itemData":{"id":10706,"type":"article-journal","abstract":"The global impacts of food production\nFood is produced and processed by millions of farmers and intermediaries globally, with substantial associated environmental costs. Given the heterogeneity of producers, what is the best way to reduce food's environmental impacts? Poore and Nemecek consolidated data on the multiple environmental impacts of </w:instrText>
      </w:r>
      <w:r w:rsidR="00C61A9E">
        <w:rPr>
          <w:rFonts w:ascii="Cambria Math" w:hAnsi="Cambria Math" w:cs="Cambria Math"/>
        </w:rPr>
        <w:instrText>∼</w:instrText>
      </w:r>
      <w:r w:rsidR="00C61A9E">
        <w:instrText xml:space="preserve">38,000 farms producing 40 different agricultural goods around the world in a meta-analysis comparing various types of food production systems. The environmental cost of producing the same goods can be highly variable. However, this heterogeneity creates opportunities to target the small numbers of producers that have the most impact.\nScience, this issue p. 987\nFood’s environmental impacts are created by millions of diverse producers. To identify solutions that are effective under this heterogeneity, we consolidated data covering five environmental indicators; 38,700 farms; and 1600 processors, packaging types, and retailers. Impact can vary 50-fold among producers of the same product, creating substantial mitigation opportunities. However, mitigation is complicated by trade-offs, multiple ways for producers to achieve low impacts, and interactions throughout the supply chain. Producers have limits on how far they can reduce impacts. Most strikingly, impacts of the lowest-impact animal products typically exceed those of vegetable substitutes, providing new evidence for the importance of dietary change. Cumulatively, our findings support an approach where producers monitor their own impacts, flexibly meet environmental targets by choosing from multiple practices, and communicate their impacts to consumers.\nFood producer heterogeneity on a global level creates mitigation opportunities with respect to environmental damage caused by food production.\nFood producer heterogeneity on a global level creates mitigation opportunities with respect to environmental damage caused by food production.","container-title":"Science","DOI":"10.1126/science.aaq0216","ISSN":"0036-8075, 1095-9203","issue":"6392","language":"en","license":"Copyright © 2018 The Authors, some rights reserved; exclusive licensee American Association for the Advancement of Science. No claim to original U.S. Government Works. http://www.sciencemag.org/about/science-licenses-journal-article-reuseThis is an article distributed under the terms of the Science Journals Default License.","note":"publisher: American Association for the Advancement of Science\nsection: Research Article\nPMID: 29853680","page":"987-992","source":"science.sciencemag.org","title":"Reducing food’s environmental impacts through producers and consumers","volume":"360","author":[{"family":"Poore","given":"J."},{"family":"Nemecek","given":"T."}],"issued":{"date-parts":[["2018",6,1]]}}}],"schema":"https://github.com/citation-style-language/schema/raw/master/csl-citation.json"} </w:instrText>
      </w:r>
      <w:r>
        <w:fldChar w:fldCharType="separate"/>
      </w:r>
      <w:r w:rsidR="00C61A9E" w:rsidRPr="00C61A9E">
        <w:rPr>
          <w:rFonts w:ascii="Calibri" w:hAnsi="Calibri" w:cs="Calibri"/>
          <w:szCs w:val="24"/>
          <w:vertAlign w:val="superscript"/>
        </w:rPr>
        <w:t>25</w:t>
      </w:r>
      <w:r>
        <w:fldChar w:fldCharType="end"/>
      </w:r>
      <w:r w:rsidR="00A11914">
        <w:t>. They report</w:t>
      </w:r>
      <w:r>
        <w:t xml:space="preserve"> </w:t>
      </w:r>
      <w:r w:rsidR="00A11914">
        <w:t xml:space="preserve">scores of </w:t>
      </w:r>
      <w:r>
        <w:t>9.9 and 12.3 kgCO</w:t>
      </w:r>
      <w:r w:rsidRPr="009D0540">
        <w:rPr>
          <w:vertAlign w:val="subscript"/>
        </w:rPr>
        <w:t>2</w:t>
      </w:r>
      <w:r>
        <w:t>-</w:t>
      </w:r>
      <w:proofErr w:type="gramStart"/>
      <w:r>
        <w:t>eq.kg</w:t>
      </w:r>
      <w:r w:rsidRPr="009D0540">
        <w:rPr>
          <w:vertAlign w:val="subscript"/>
        </w:rPr>
        <w:t>ww</w:t>
      </w:r>
      <w:proofErr w:type="gramEnd"/>
      <w:r w:rsidRPr="009D0540">
        <w:rPr>
          <w:vertAlign w:val="superscript"/>
        </w:rPr>
        <w:t>-1</w:t>
      </w:r>
      <w:r>
        <w:t xml:space="preserve"> respectively for poultry and swine meat</w:t>
      </w:r>
      <w:r w:rsidR="00A11914">
        <w:t>, which</w:t>
      </w:r>
      <w:r>
        <w:t xml:space="preserve"> correspond to </w:t>
      </w:r>
      <w:r w:rsidR="00A11914">
        <w:t>around</w:t>
      </w:r>
      <w:r>
        <w:t xml:space="preserve"> 25 kgCO</w:t>
      </w:r>
      <w:r w:rsidRPr="009D0540">
        <w:rPr>
          <w:vertAlign w:val="subscript"/>
        </w:rPr>
        <w:t>2</w:t>
      </w:r>
      <w:r>
        <w:t>-eq.kg</w:t>
      </w:r>
      <w:r>
        <w:rPr>
          <w:vertAlign w:val="subscript"/>
        </w:rPr>
        <w:t>DM</w:t>
      </w:r>
      <w:r w:rsidRPr="009D0540">
        <w:rPr>
          <w:vertAlign w:val="superscript"/>
        </w:rPr>
        <w:t>-1</w:t>
      </w:r>
      <w:r>
        <w:t xml:space="preserve">  </w:t>
      </w:r>
      <w:r w:rsidR="00A11914">
        <w:t xml:space="preserve">accounting for </w:t>
      </w:r>
      <w:r>
        <w:t xml:space="preserve">respective </w:t>
      </w:r>
      <w:r w:rsidR="00A11914">
        <w:t xml:space="preserve">meat </w:t>
      </w:r>
      <w:r>
        <w:t>moisture content</w:t>
      </w:r>
      <w:r w:rsidR="00A11914">
        <w:t xml:space="preserve"> (</w:t>
      </w:r>
      <w:r w:rsidR="0027524E" w:rsidRPr="0027524E">
        <w:rPr>
          <w:b/>
        </w:rPr>
        <w:fldChar w:fldCharType="begin"/>
      </w:r>
      <w:r w:rsidR="0027524E" w:rsidRPr="0027524E">
        <w:rPr>
          <w:b/>
        </w:rPr>
        <w:instrText xml:space="preserve"> REF _Ref151655275 \h </w:instrText>
      </w:r>
      <w:r w:rsidR="0027524E">
        <w:rPr>
          <w:b/>
        </w:rPr>
        <w:instrText xml:space="preserve"> \* MERGEFORMAT </w:instrText>
      </w:r>
      <w:r w:rsidR="0027524E" w:rsidRPr="0027524E">
        <w:rPr>
          <w:b/>
        </w:rPr>
      </w:r>
      <w:r w:rsidR="0027524E" w:rsidRPr="0027524E">
        <w:rPr>
          <w:b/>
        </w:rPr>
        <w:fldChar w:fldCharType="separate"/>
      </w:r>
      <w:r w:rsidR="0027524E" w:rsidRPr="0027524E">
        <w:rPr>
          <w:b/>
        </w:rPr>
        <w:t>Table SI</w:t>
      </w:r>
      <w:r w:rsidR="0027524E" w:rsidRPr="0027524E">
        <w:rPr>
          <w:b/>
          <w:noProof/>
        </w:rPr>
        <w:t>13</w:t>
      </w:r>
      <w:r w:rsidR="0027524E" w:rsidRPr="0027524E">
        <w:rPr>
          <w:b/>
        </w:rPr>
        <w:fldChar w:fldCharType="end"/>
      </w:r>
      <w:r w:rsidR="00A11914">
        <w:t>).</w:t>
      </w:r>
      <w:r>
        <w:t xml:space="preserve"> </w:t>
      </w:r>
      <w:r w:rsidR="0027524E">
        <w:t>The contrasted environmental performances of marginal feed suppliers (as a function of food systems scenarios</w:t>
      </w:r>
      <w:r w:rsidR="00A11914">
        <w:t xml:space="preserve">; detailed in previous sections, see </w:t>
      </w:r>
      <w:r w:rsidR="00A11914" w:rsidRPr="00A11914">
        <w:rPr>
          <w:b/>
        </w:rPr>
        <w:fldChar w:fldCharType="begin"/>
      </w:r>
      <w:r w:rsidR="00A11914" w:rsidRPr="00A11914">
        <w:rPr>
          <w:b/>
        </w:rPr>
        <w:instrText xml:space="preserve"> REF _Ref155442206 \h </w:instrText>
      </w:r>
      <w:r w:rsidR="00A11914">
        <w:rPr>
          <w:b/>
        </w:rPr>
        <w:instrText xml:space="preserve"> \* MERGEFORMAT </w:instrText>
      </w:r>
      <w:r w:rsidR="00A11914" w:rsidRPr="00A11914">
        <w:rPr>
          <w:b/>
        </w:rPr>
      </w:r>
      <w:r w:rsidR="00A11914" w:rsidRPr="00A11914">
        <w:rPr>
          <w:b/>
        </w:rPr>
        <w:fldChar w:fldCharType="separate"/>
      </w:r>
      <w:r w:rsidR="00A11914" w:rsidRPr="00A11914">
        <w:rPr>
          <w:b/>
        </w:rPr>
        <w:t>Table SI</w:t>
      </w:r>
      <w:r w:rsidR="00A11914" w:rsidRPr="00A11914">
        <w:rPr>
          <w:b/>
          <w:noProof/>
        </w:rPr>
        <w:t>11</w:t>
      </w:r>
      <w:r w:rsidR="00A11914" w:rsidRPr="00A11914">
        <w:rPr>
          <w:b/>
        </w:rPr>
        <w:fldChar w:fldCharType="end"/>
      </w:r>
      <w:r w:rsidR="0027524E">
        <w:t xml:space="preserve">) </w:t>
      </w:r>
      <w:r w:rsidR="00A11914">
        <w:t xml:space="preserve">can </w:t>
      </w:r>
      <w:r w:rsidR="0027524E">
        <w:t xml:space="preserve">directly </w:t>
      </w:r>
      <w:r w:rsidR="00A11914">
        <w:t xml:space="preserve">be reused </w:t>
      </w:r>
      <w:r w:rsidR="0027524E">
        <w:t xml:space="preserve">to estimate the range of </w:t>
      </w:r>
      <w:r>
        <w:t xml:space="preserve">environmental performances of </w:t>
      </w:r>
      <w:r w:rsidR="0027524E">
        <w:t xml:space="preserve">marginal </w:t>
      </w:r>
      <w:r>
        <w:t xml:space="preserve">meat </w:t>
      </w:r>
      <w:r w:rsidR="0027524E">
        <w:t>suppliers</w:t>
      </w:r>
      <w:r>
        <w:t xml:space="preserve">. </w:t>
      </w:r>
      <w:r w:rsidR="00A11914">
        <w:t>Here</w:t>
      </w:r>
      <w:r>
        <w:t xml:space="preserve">, </w:t>
      </w:r>
      <w:r w:rsidR="0027524E">
        <w:t xml:space="preserve">the GHG emissions </w:t>
      </w:r>
      <w:r w:rsidR="00A11914">
        <w:t>associated with</w:t>
      </w:r>
      <w:r w:rsidR="0027524E">
        <w:t xml:space="preserve"> marginal meat suppliers </w:t>
      </w:r>
      <w:r>
        <w:t>vary between 16.2 and 34.2 kgCO</w:t>
      </w:r>
      <w:r w:rsidRPr="009D0540">
        <w:rPr>
          <w:vertAlign w:val="subscript"/>
        </w:rPr>
        <w:t>2</w:t>
      </w:r>
      <w:r>
        <w:t>-</w:t>
      </w:r>
      <w:proofErr w:type="gramStart"/>
      <w:r>
        <w:t>eq.kg</w:t>
      </w:r>
      <w:r>
        <w:rPr>
          <w:vertAlign w:val="subscript"/>
        </w:rPr>
        <w:t>DM</w:t>
      </w:r>
      <w:proofErr w:type="gramEnd"/>
      <w:r w:rsidRPr="009D0540">
        <w:rPr>
          <w:vertAlign w:val="superscript"/>
        </w:rPr>
        <w:t>-1</w:t>
      </w:r>
      <w:r>
        <w:t xml:space="preserve"> over the nine </w:t>
      </w:r>
      <w:r w:rsidR="0027524E">
        <w:t xml:space="preserve">future </w:t>
      </w:r>
      <w:r>
        <w:t>feed market</w:t>
      </w:r>
      <w:r w:rsidR="00A11914">
        <w:t>s</w:t>
      </w:r>
      <w:r>
        <w:t xml:space="preserve"> </w:t>
      </w:r>
      <w:r w:rsidR="00A11914">
        <w:t>configurations</w:t>
      </w:r>
      <w:r w:rsidR="0027524E">
        <w:t xml:space="preserve"> </w:t>
      </w:r>
      <w:r w:rsidR="00A11914">
        <w:t xml:space="preserve">assessed </w:t>
      </w:r>
      <w:r w:rsidR="00807F9E">
        <w:t>(</w:t>
      </w:r>
      <w:r w:rsidR="00A11914">
        <w:t>LCA scores</w:t>
      </w:r>
      <w:r w:rsidR="00807F9E">
        <w:t xml:space="preserve"> for the three selected scenarios in </w:t>
      </w:r>
      <w:r w:rsidR="00807F9E" w:rsidRPr="00807F9E">
        <w:rPr>
          <w:b/>
        </w:rPr>
        <w:fldChar w:fldCharType="begin"/>
      </w:r>
      <w:r w:rsidR="00807F9E" w:rsidRPr="00807F9E">
        <w:rPr>
          <w:b/>
        </w:rPr>
        <w:instrText xml:space="preserve"> REF _Ref151708270 \h </w:instrText>
      </w:r>
      <w:r w:rsidR="00807F9E">
        <w:rPr>
          <w:b/>
        </w:rPr>
        <w:instrText xml:space="preserve"> \* MERGEFORMAT </w:instrText>
      </w:r>
      <w:r w:rsidR="00807F9E" w:rsidRPr="00807F9E">
        <w:rPr>
          <w:b/>
        </w:rPr>
      </w:r>
      <w:r w:rsidR="00807F9E" w:rsidRPr="00807F9E">
        <w:rPr>
          <w:b/>
        </w:rPr>
        <w:fldChar w:fldCharType="separate"/>
      </w:r>
      <w:r w:rsidR="00807F9E" w:rsidRPr="00807F9E">
        <w:rPr>
          <w:b/>
        </w:rPr>
        <w:t>Table SI</w:t>
      </w:r>
      <w:r w:rsidR="00807F9E" w:rsidRPr="00807F9E">
        <w:rPr>
          <w:b/>
          <w:noProof/>
        </w:rPr>
        <w:t>16</w:t>
      </w:r>
      <w:r w:rsidR="00807F9E" w:rsidRPr="00807F9E">
        <w:rPr>
          <w:b/>
        </w:rPr>
        <w:fldChar w:fldCharType="end"/>
      </w:r>
      <w:r w:rsidR="00807F9E">
        <w:t>)</w:t>
      </w:r>
      <w:r>
        <w:t>. By construction (</w:t>
      </w:r>
      <w:r w:rsidR="0027524E" w:rsidRPr="0027524E">
        <w:rPr>
          <w:b/>
        </w:rPr>
        <w:fldChar w:fldCharType="begin"/>
      </w:r>
      <w:r w:rsidR="0027524E" w:rsidRPr="0027524E">
        <w:rPr>
          <w:b/>
        </w:rPr>
        <w:instrText xml:space="preserve"> REF _Ref151655565 \h </w:instrText>
      </w:r>
      <w:r w:rsidR="0027524E">
        <w:rPr>
          <w:b/>
        </w:rPr>
        <w:instrText xml:space="preserve"> \* MERGEFORMAT </w:instrText>
      </w:r>
      <w:r w:rsidR="0027524E" w:rsidRPr="0027524E">
        <w:rPr>
          <w:b/>
        </w:rPr>
      </w:r>
      <w:r w:rsidR="0027524E" w:rsidRPr="0027524E">
        <w:rPr>
          <w:b/>
        </w:rPr>
        <w:fldChar w:fldCharType="separate"/>
      </w:r>
      <w:r w:rsidR="0027524E" w:rsidRPr="0027524E">
        <w:rPr>
          <w:b/>
        </w:rPr>
        <w:t>Table SI</w:t>
      </w:r>
      <w:r w:rsidR="0027524E" w:rsidRPr="0027524E">
        <w:rPr>
          <w:b/>
          <w:noProof/>
        </w:rPr>
        <w:t>15</w:t>
      </w:r>
      <w:r w:rsidR="0027524E" w:rsidRPr="0027524E">
        <w:rPr>
          <w:b/>
        </w:rPr>
        <w:fldChar w:fldCharType="end"/>
      </w:r>
      <w:r>
        <w:t>), the environmental performances of marginal plant-based meat-</w:t>
      </w:r>
      <w:r w:rsidR="00A11914">
        <w:t>analogues</w:t>
      </w:r>
      <w:r>
        <w:t xml:space="preserve"> </w:t>
      </w:r>
      <w:r w:rsidR="00A11914">
        <w:t>suppliers</w:t>
      </w:r>
      <w:r>
        <w:t xml:space="preserve"> are </w:t>
      </w:r>
      <w:r w:rsidR="00A11914">
        <w:t xml:space="preserve">close </w:t>
      </w:r>
      <w:r w:rsidR="0027524E">
        <w:t>to the</w:t>
      </w:r>
      <w:r>
        <w:t xml:space="preserve"> ones of </w:t>
      </w:r>
      <w:r w:rsidR="00A11914">
        <w:t xml:space="preserve">marginal </w:t>
      </w:r>
      <w:r>
        <w:t>protein feed</w:t>
      </w:r>
      <w:r w:rsidR="00A11914">
        <w:t>s</w:t>
      </w:r>
      <w:r>
        <w:t xml:space="preserve"> </w:t>
      </w:r>
      <w:r w:rsidR="00A11914">
        <w:t>suppliers</w:t>
      </w:r>
      <w:r>
        <w:t xml:space="preserve">. </w:t>
      </w:r>
      <w:r w:rsidR="00A11914">
        <w:t xml:space="preserve">Here, marginal </w:t>
      </w:r>
      <w:r>
        <w:t xml:space="preserve">plant-based </w:t>
      </w:r>
      <w:r w:rsidR="00A11914">
        <w:t xml:space="preserve">meat-analogues </w:t>
      </w:r>
      <w:r>
        <w:t xml:space="preserve">are </w:t>
      </w:r>
      <w:r w:rsidR="0027524E">
        <w:t xml:space="preserve">estimated </w:t>
      </w:r>
      <w:r w:rsidR="00A11914">
        <w:t>t</w:t>
      </w:r>
      <w:r>
        <w:t xml:space="preserve">hree times </w:t>
      </w:r>
      <w:r w:rsidR="0027524E">
        <w:t>as much efficient as</w:t>
      </w:r>
      <w:r>
        <w:t xml:space="preserve"> marginal </w:t>
      </w:r>
      <w:r w:rsidR="0027524E">
        <w:t xml:space="preserve">animal-based </w:t>
      </w:r>
      <w:r>
        <w:t xml:space="preserve">meat in terms of land use, seven in terms of GHG emissions and twenty in terms of water use. Effects of </w:t>
      </w:r>
      <w:r w:rsidR="00A11914">
        <w:t>contrasted future</w:t>
      </w:r>
      <w:r>
        <w:t xml:space="preserve"> </w:t>
      </w:r>
      <w:r w:rsidR="0027524E">
        <w:t>food systems scenarios</w:t>
      </w:r>
      <w:r>
        <w:t xml:space="preserve"> do not significantly </w:t>
      </w:r>
      <w:r w:rsidR="00A11914">
        <w:t>modify</w:t>
      </w:r>
      <w:r>
        <w:t xml:space="preserve"> the relative </w:t>
      </w:r>
      <w:r w:rsidR="00A11914">
        <w:t>LCA scores</w:t>
      </w:r>
      <w:r>
        <w:t xml:space="preserve"> of </w:t>
      </w:r>
      <w:r w:rsidR="00A11914">
        <w:t xml:space="preserve">marginal </w:t>
      </w:r>
      <w:r>
        <w:t>protein feed</w:t>
      </w:r>
      <w:r w:rsidR="00A11914">
        <w:t>s</w:t>
      </w:r>
      <w:r>
        <w:t xml:space="preserve"> and meat (either animal- or plant-based)</w:t>
      </w:r>
      <w:r w:rsidR="00A11914">
        <w:t xml:space="preserve"> suppliers,</w:t>
      </w:r>
      <w:r>
        <w:t xml:space="preserve"> as all these are paired.</w:t>
      </w:r>
      <w:r w:rsidR="00A11914">
        <w:t xml:space="preserve"> The LCA score of plant-based meat analogues as modeled here is likely underestimated</w:t>
      </w:r>
      <w:r>
        <w:t xml:space="preserve"> (</w:t>
      </w:r>
      <w:r w:rsidR="00A11914">
        <w:t>for example, the</w:t>
      </w:r>
      <w:r>
        <w:t xml:space="preserve"> need of nutritional fortification with some specific compounds</w:t>
      </w:r>
      <w:r w:rsidR="00A11914">
        <w:t xml:space="preserve"> was neglected</w:t>
      </w:r>
      <w:r>
        <w:t xml:space="preserve">), </w:t>
      </w:r>
      <w:r w:rsidR="00A11914">
        <w:t>but still</w:t>
      </w:r>
      <w:r>
        <w:t xml:space="preserve"> provide an order of magnitude of </w:t>
      </w:r>
      <w:r w:rsidR="00A11914">
        <w:t xml:space="preserve">the environmental credits which would be attributable to </w:t>
      </w:r>
      <w:r>
        <w:t>waste-to-food pathways if these miss the animal-based meat markets.</w:t>
      </w:r>
      <w:r w:rsidR="00360421">
        <w:rPr>
          <w:highlight w:val="yellow"/>
        </w:rPr>
        <w:br w:type="page"/>
      </w:r>
    </w:p>
    <w:p w14:paraId="42EBD222" w14:textId="3F66A2AB" w:rsidR="00360421" w:rsidRDefault="00360421" w:rsidP="000D06AA">
      <w:pPr>
        <w:pStyle w:val="Titre1"/>
        <w:numPr>
          <w:ilvl w:val="0"/>
          <w:numId w:val="31"/>
        </w:numPr>
      </w:pPr>
      <w:bookmarkStart w:id="41" w:name="_Toc155516866"/>
      <w:r w:rsidRPr="00AC14EB">
        <w:lastRenderedPageBreak/>
        <w:t>Global sensitivity analysis design</w:t>
      </w:r>
      <w:r w:rsidR="007E49B2">
        <w:t xml:space="preserve"> and implementation</w:t>
      </w:r>
      <w:bookmarkEnd w:id="41"/>
    </w:p>
    <w:p w14:paraId="6A1D397E" w14:textId="2FB9CFF9" w:rsidR="000D06AA" w:rsidRDefault="00360421" w:rsidP="007E49B2">
      <w:pPr>
        <w:contextualSpacing/>
        <w:jc w:val="both"/>
        <w:rPr>
          <w:rFonts w:eastAsia="SimSun"/>
        </w:rPr>
      </w:pPr>
      <w:r>
        <w:rPr>
          <w:rFonts w:eastAsia="SimSun"/>
        </w:rPr>
        <w:t>This section details the design</w:t>
      </w:r>
      <w:r w:rsidR="009A4B70">
        <w:rPr>
          <w:rFonts w:eastAsia="SimSun"/>
        </w:rPr>
        <w:t xml:space="preserve"> and </w:t>
      </w:r>
      <w:r>
        <w:rPr>
          <w:rFonts w:eastAsia="SimSun"/>
        </w:rPr>
        <w:t xml:space="preserve">implementation of the global sensitivity analysis (GSA) </w:t>
      </w:r>
      <w:r w:rsidR="00F77F51">
        <w:rPr>
          <w:rFonts w:eastAsia="SimSun"/>
        </w:rPr>
        <w:t>performed</w:t>
      </w:r>
      <w:r>
        <w:rPr>
          <w:rFonts w:eastAsia="SimSun"/>
        </w:rPr>
        <w:t xml:space="preserve"> to quantitatively compare and rank the environmental performances of </w:t>
      </w:r>
      <w:r w:rsidR="00F77F51">
        <w:rPr>
          <w:rFonts w:eastAsia="SimSun"/>
        </w:rPr>
        <w:t>several</w:t>
      </w:r>
      <w:r>
        <w:rPr>
          <w:rFonts w:eastAsia="SimSun"/>
        </w:rPr>
        <w:t xml:space="preserve"> </w:t>
      </w:r>
      <w:r w:rsidR="00F77F51">
        <w:rPr>
          <w:rFonts w:eastAsia="SimSun"/>
        </w:rPr>
        <w:t xml:space="preserve">waste </w:t>
      </w:r>
      <w:r>
        <w:rPr>
          <w:rFonts w:eastAsia="SimSun"/>
        </w:rPr>
        <w:t>valorization pathways under uncertain future technological performances and deployment</w:t>
      </w:r>
      <w:r w:rsidR="000D06AA">
        <w:rPr>
          <w:rFonts w:eastAsia="SimSun"/>
        </w:rPr>
        <w:t xml:space="preserve"> contexts</w:t>
      </w:r>
      <w:r>
        <w:rPr>
          <w:rFonts w:eastAsia="SimSun"/>
        </w:rPr>
        <w:t xml:space="preserve">. </w:t>
      </w:r>
      <w:r w:rsidR="00F77F51">
        <w:rPr>
          <w:rFonts w:eastAsia="SimSun"/>
        </w:rPr>
        <w:t>The GSA was also</w:t>
      </w:r>
      <w:r>
        <w:rPr>
          <w:rFonts w:eastAsia="SimSun"/>
        </w:rPr>
        <w:t xml:space="preserve"> designed to identify the sets of conditions influencing this ranking.</w:t>
      </w:r>
      <w:r w:rsidR="007E49B2">
        <w:rPr>
          <w:rFonts w:eastAsia="SimSun"/>
        </w:rPr>
        <w:t xml:space="preserve"> The other types of uncertainties were treated as follows</w:t>
      </w:r>
      <w:r w:rsidR="000D06AA">
        <w:rPr>
          <w:rFonts w:eastAsia="SimSun"/>
        </w:rPr>
        <w:t>:</w:t>
      </w:r>
    </w:p>
    <w:p w14:paraId="3B9A2D32" w14:textId="5424FDF1" w:rsidR="000D06AA" w:rsidRPr="00F77F51" w:rsidRDefault="007E49B2" w:rsidP="000D06AA">
      <w:pPr>
        <w:pStyle w:val="Paragraphedeliste"/>
        <w:numPr>
          <w:ilvl w:val="0"/>
          <w:numId w:val="32"/>
        </w:numPr>
        <w:jc w:val="both"/>
        <w:rPr>
          <w:rFonts w:eastAsia="SimSun"/>
        </w:rPr>
      </w:pPr>
      <w:r>
        <w:t xml:space="preserve">Reducing the LCA model uncertainty and unrepresentativeness of, for example, the mathematical relationships was developed by validating the </w:t>
      </w:r>
      <w:r w:rsidR="00F77F51">
        <w:t xml:space="preserve">inventory </w:t>
      </w:r>
      <w:r>
        <w:t>model</w:t>
      </w:r>
      <w:r w:rsidR="000D06AA">
        <w:t>s</w:t>
      </w:r>
      <w:r>
        <w:t xml:space="preserve"> against experimental data and similar studies whenever possible </w:t>
      </w:r>
      <w:r w:rsidRPr="00F77F51">
        <w:t>(done in</w:t>
      </w:r>
      <w:r w:rsidR="000D06AA" w:rsidRPr="00F77F51">
        <w:t xml:space="preserve"> Javourez et al., (202</w:t>
      </w:r>
      <w:r w:rsidR="00F77F51" w:rsidRPr="00F77F51">
        <w:t>4</w:t>
      </w:r>
      <w:r w:rsidR="000D06AA" w:rsidRPr="00F77F51">
        <w:t>)</w:t>
      </w:r>
      <w:r w:rsidR="000D06AA" w:rsidRPr="00F77F51">
        <w:fldChar w:fldCharType="begin"/>
      </w:r>
      <w:r w:rsidR="00CD084F" w:rsidRPr="00F77F51">
        <w:instrText xml:space="preserve"> ADDIN ZOTERO_ITEM CSL_CITATION {"citationID":"THEENexe","properties":{"formattedCitation":"\\super 3\\nosupersub{}","plainCitation":"3","noteIndex":0},"citationItems":[{"id":14333,"uris":["http://zotero.org/users/6423791/items/XCNA2SYX"],"itemData":{"id":14333,"type":"article","DOI":"10.21203/rs.3.rs-3626167/v2","genre":"preprint","publisher":"Research Square","title":"Setting the environmental performance threshold for diverting residual streams towards bioeconomy strategies","author":[{"family":"Javourez","given":"U."},{"family":"Karan","given":"S. K."},{"family":"Hamelin","given":"L."}],"issued":{"date-parts":[["2023",11,20]]}}}],"schema":"https://github.com/citation-style-language/schema/raw/master/csl-citation.json"} </w:instrText>
      </w:r>
      <w:r w:rsidR="000D06AA" w:rsidRPr="00F77F51">
        <w:fldChar w:fldCharType="separate"/>
      </w:r>
      <w:r w:rsidR="000D06AA" w:rsidRPr="00F77F51">
        <w:rPr>
          <w:rFonts w:ascii="Calibri" w:hAnsi="Calibri" w:cs="Calibri"/>
          <w:szCs w:val="24"/>
          <w:vertAlign w:val="superscript"/>
        </w:rPr>
        <w:t>3</w:t>
      </w:r>
      <w:r w:rsidR="000D06AA" w:rsidRPr="00F77F51">
        <w:fldChar w:fldCharType="end"/>
      </w:r>
      <w:r w:rsidR="000D06AA" w:rsidRPr="00F77F51">
        <w:t xml:space="preserve"> and Javourez et al., (202</w:t>
      </w:r>
      <w:r w:rsidR="00F77F51" w:rsidRPr="00F77F51">
        <w:t>4</w:t>
      </w:r>
      <w:r w:rsidR="000D06AA" w:rsidRPr="00F77F51">
        <w:t>)</w:t>
      </w:r>
      <w:r w:rsidR="000D06AA" w:rsidRPr="00F77F51">
        <w:fldChar w:fldCharType="begin"/>
      </w:r>
      <w:r w:rsidR="00CD084F" w:rsidRPr="00F77F51">
        <w:instrText xml:space="preserve"> ADDIN ZOTERO_ITEM CSL_CITATION {"citationID":"kL3whNrA","properties":{"formattedCitation":"\\super 1\\nosupersub{}","plainCitation":"1","noteIndex":0},"citationItems":[{"id":14334,"uris":["http://zotero.org/users/6423791/items/VWPZYH5Z"],"itemData":{"id":14334,"type":"article","DOI":"https://doi.org/10.21203/rs.3.rs-3671083/v1","genre":"preprint","publisher":"Research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pathways","author":[{"family":"Javourez","given":"U."},{"family":"Tiruta-Barna","given":"L."},{"family":"Hamelin","given":"L."}],"issued":{"date-parts":[["2023",11,20]]}}}],"schema":"https://github.com/citation-style-language/schema/raw/master/csl-citation.json"} </w:instrText>
      </w:r>
      <w:r w:rsidR="000D06AA" w:rsidRPr="00F77F51">
        <w:fldChar w:fldCharType="separate"/>
      </w:r>
      <w:r w:rsidR="000D06AA" w:rsidRPr="00F77F51">
        <w:rPr>
          <w:rFonts w:ascii="Calibri" w:hAnsi="Calibri" w:cs="Calibri"/>
          <w:szCs w:val="24"/>
          <w:vertAlign w:val="superscript"/>
        </w:rPr>
        <w:t>1</w:t>
      </w:r>
      <w:r w:rsidR="000D06AA" w:rsidRPr="00F77F51">
        <w:fldChar w:fldCharType="end"/>
      </w:r>
      <w:r w:rsidRPr="00F77F51">
        <w:t>).</w:t>
      </w:r>
      <w:r w:rsidR="000D06AA">
        <w:t xml:space="preserve"> T</w:t>
      </w:r>
      <w:r>
        <w:t>he models are transparently available and detailed</w:t>
      </w:r>
      <w:r w:rsidR="00F77F51">
        <w:t xml:space="preserve"> in aforementioned publications</w:t>
      </w:r>
      <w:r>
        <w:t xml:space="preserve"> so these can further be refined, enhanced or corrected</w:t>
      </w:r>
      <w:r w:rsidR="00F77F51">
        <w:t>, see:</w:t>
      </w:r>
    </w:p>
    <w:p w14:paraId="2A2EF17A" w14:textId="25AE1F47" w:rsidR="00F77F51" w:rsidRDefault="00955234" w:rsidP="00F77F51">
      <w:pPr>
        <w:pStyle w:val="Paragraphedeliste"/>
        <w:numPr>
          <w:ilvl w:val="1"/>
          <w:numId w:val="32"/>
        </w:numPr>
        <w:jc w:val="both"/>
        <w:rPr>
          <w:rFonts w:eastAsia="SimSun"/>
        </w:rPr>
      </w:pPr>
      <w:hyperlink r:id="rId9" w:history="1">
        <w:r w:rsidR="00F77F51" w:rsidRPr="009F3225">
          <w:rPr>
            <w:rStyle w:val="Lienhypertexte"/>
            <w:rFonts w:eastAsia="SimSun"/>
          </w:rPr>
          <w:t>https://doi.org/10.48531/JBRU.CALMIP/UJVBTR</w:t>
        </w:r>
      </w:hyperlink>
    </w:p>
    <w:p w14:paraId="72A18C77" w14:textId="47120DD5" w:rsidR="00F77F51" w:rsidRPr="000D06AA" w:rsidRDefault="00955234" w:rsidP="00F77F51">
      <w:pPr>
        <w:pStyle w:val="Paragraphedeliste"/>
        <w:numPr>
          <w:ilvl w:val="1"/>
          <w:numId w:val="32"/>
        </w:numPr>
        <w:jc w:val="both"/>
        <w:rPr>
          <w:rFonts w:eastAsia="SimSun"/>
        </w:rPr>
      </w:pPr>
      <w:hyperlink r:id="rId10" w:history="1">
        <w:r w:rsidR="00F77F51" w:rsidRPr="009F3225">
          <w:rPr>
            <w:rStyle w:val="Lienhypertexte"/>
          </w:rPr>
          <w:t>https://doi.org/10.17632/b9sx3h3584.3</w:t>
        </w:r>
      </w:hyperlink>
      <w:r w:rsidR="00F77F51">
        <w:rPr>
          <w:rStyle w:val="version-info-item"/>
        </w:rPr>
        <w:t xml:space="preserve"> </w:t>
      </w:r>
    </w:p>
    <w:p w14:paraId="689F58AD" w14:textId="28461244" w:rsidR="000D06AA" w:rsidRPr="000D06AA" w:rsidRDefault="00F77F51" w:rsidP="000D06AA">
      <w:pPr>
        <w:pStyle w:val="Paragraphedeliste"/>
        <w:numPr>
          <w:ilvl w:val="0"/>
          <w:numId w:val="32"/>
        </w:numPr>
        <w:jc w:val="both"/>
        <w:rPr>
          <w:rFonts w:eastAsia="SimSun"/>
        </w:rPr>
      </w:pPr>
      <w:r>
        <w:t xml:space="preserve">Aforementioned studies also characterized and discussed </w:t>
      </w:r>
      <w:r w:rsidR="007E49B2">
        <w:t>the normative uncertainties</w:t>
      </w:r>
      <w:r>
        <w:t xml:space="preserve"> such as the</w:t>
      </w:r>
      <w:r w:rsidR="007E49B2">
        <w:t xml:space="preserve"> assumptions, choices and rationales</w:t>
      </w:r>
      <w:r>
        <w:t xml:space="preserve"> underlying the goal, scope and method of the study (for exam</w:t>
      </w:r>
      <w:r w:rsidR="007E49B2">
        <w:t>ple, only the E.F. 3.0 LCIA methodology was used to run the LCA model</w:t>
      </w:r>
      <w:r>
        <w:t>)</w:t>
      </w:r>
      <w:r w:rsidR="007E49B2">
        <w:t>.</w:t>
      </w:r>
      <w:r>
        <w:t xml:space="preserve"> These were not further assessed.</w:t>
      </w:r>
    </w:p>
    <w:p w14:paraId="3D546265" w14:textId="4229DB17" w:rsidR="007E49B2" w:rsidRPr="000D06AA" w:rsidRDefault="007E49B2" w:rsidP="000D06AA">
      <w:pPr>
        <w:pStyle w:val="Paragraphedeliste"/>
        <w:numPr>
          <w:ilvl w:val="0"/>
          <w:numId w:val="32"/>
        </w:numPr>
        <w:jc w:val="both"/>
        <w:rPr>
          <w:rFonts w:eastAsia="SimSun"/>
        </w:rPr>
      </w:pPr>
      <w:r>
        <w:t>The influence of input streams</w:t>
      </w:r>
      <w:r w:rsidR="00F77F51">
        <w:t xml:space="preserve"> characteristics </w:t>
      </w:r>
      <w:r>
        <w:t>on the output</w:t>
      </w:r>
      <w:r w:rsidR="000D06AA">
        <w:t>s</w:t>
      </w:r>
      <w:r>
        <w:t xml:space="preserve"> of the </w:t>
      </w:r>
      <w:r w:rsidR="000D06AA">
        <w:t xml:space="preserve">LCA </w:t>
      </w:r>
      <w:r>
        <w:t>model (</w:t>
      </w:r>
      <w:r w:rsidR="000D06AA">
        <w:t>impacts scores</w:t>
      </w:r>
      <w:r>
        <w:t xml:space="preserve"> and pathways ranking) was assessed by screening a set of eleven representative residual biomass streams in terms of composition</w:t>
      </w:r>
      <w:r w:rsidR="000D06AA">
        <w:t xml:space="preserve">, </w:t>
      </w:r>
      <w:r>
        <w:t>generation site</w:t>
      </w:r>
      <w:r w:rsidR="000D06AA">
        <w:t xml:space="preserve"> and safety risks</w:t>
      </w:r>
      <w:r>
        <w:t xml:space="preserve"> (</w:t>
      </w:r>
      <w:r w:rsidR="000D06AA">
        <w:t xml:space="preserve">see </w:t>
      </w:r>
      <w:r w:rsidR="000D06AA" w:rsidRPr="00F77F51">
        <w:rPr>
          <w:b/>
        </w:rPr>
        <w:t xml:space="preserve">section </w:t>
      </w:r>
      <w:r w:rsidR="00F77F51">
        <w:rPr>
          <w:b/>
        </w:rPr>
        <w:t>SI</w:t>
      </w:r>
      <w:r w:rsidR="000D06AA" w:rsidRPr="00F77F51">
        <w:rPr>
          <w:b/>
        </w:rPr>
        <w:fldChar w:fldCharType="begin"/>
      </w:r>
      <w:r w:rsidR="000D06AA" w:rsidRPr="00F77F51">
        <w:rPr>
          <w:b/>
        </w:rPr>
        <w:instrText xml:space="preserve"> REF _Ref151708605 \r \h  \* MERGEFORMAT </w:instrText>
      </w:r>
      <w:r w:rsidR="000D06AA" w:rsidRPr="00F77F51">
        <w:rPr>
          <w:b/>
        </w:rPr>
      </w:r>
      <w:r w:rsidR="000D06AA" w:rsidRPr="00F77F51">
        <w:rPr>
          <w:b/>
        </w:rPr>
        <w:fldChar w:fldCharType="separate"/>
      </w:r>
      <w:r w:rsidR="000D06AA" w:rsidRPr="00F77F51">
        <w:rPr>
          <w:b/>
        </w:rPr>
        <w:t>1</w:t>
      </w:r>
      <w:r w:rsidR="000D06AA" w:rsidRPr="00F77F51">
        <w:rPr>
          <w:b/>
        </w:rPr>
        <w:fldChar w:fldCharType="end"/>
      </w:r>
      <w:r>
        <w:t xml:space="preserve">). Formulated as individual case studies (because </w:t>
      </w:r>
      <w:r w:rsidR="00F77F51">
        <w:t xml:space="preserve">separated </w:t>
      </w:r>
      <w:r>
        <w:t>functional unit</w:t>
      </w:r>
      <w:r w:rsidR="00F77F51">
        <w:t>s</w:t>
      </w:r>
      <w:r>
        <w:t xml:space="preserve">; FU; linked to </w:t>
      </w:r>
      <w:r w:rsidR="00F77F51">
        <w:t>each</w:t>
      </w:r>
      <w:r>
        <w:t xml:space="preserve"> input stream), these </w:t>
      </w:r>
      <w:r w:rsidR="000D06AA">
        <w:t>were</w:t>
      </w:r>
      <w:r>
        <w:t xml:space="preserve"> relatively compared </w:t>
      </w:r>
      <w:r w:rsidR="00F77F51">
        <w:t>to derive generic trends</w:t>
      </w:r>
      <w:r>
        <w:t>.</w:t>
      </w:r>
    </w:p>
    <w:p w14:paraId="4C315023" w14:textId="77777777" w:rsidR="00124E78" w:rsidRDefault="00124E78" w:rsidP="00ED24A2">
      <w:pPr>
        <w:pStyle w:val="Contenudetableau"/>
      </w:pPr>
    </w:p>
    <w:p w14:paraId="030DC8CA" w14:textId="59C0956D" w:rsidR="007E49B2" w:rsidRDefault="00124E78" w:rsidP="00124E78">
      <w:pPr>
        <w:pStyle w:val="Titre2"/>
      </w:pPr>
      <w:r>
        <w:t>GSA method selection</w:t>
      </w:r>
    </w:p>
    <w:p w14:paraId="788C6C80" w14:textId="70ABE7E0" w:rsidR="00360421" w:rsidRDefault="00360421" w:rsidP="007E49B2">
      <w:pPr>
        <w:contextualSpacing/>
        <w:jc w:val="both"/>
        <w:rPr>
          <w:rFonts w:eastAsia="SimSun"/>
        </w:rPr>
      </w:pPr>
      <w:r>
        <w:rPr>
          <w:rFonts w:eastAsia="SimSun"/>
        </w:rPr>
        <w:t xml:space="preserve">The wide panel of applicable </w:t>
      </w:r>
      <w:r w:rsidR="00124E78">
        <w:rPr>
          <w:rFonts w:eastAsia="SimSun"/>
        </w:rPr>
        <w:t xml:space="preserve">GSA </w:t>
      </w:r>
      <w:r>
        <w:rPr>
          <w:rFonts w:eastAsia="SimSun"/>
        </w:rPr>
        <w:t>methodologies used by LCA practitioners can be found elsewhere</w:t>
      </w:r>
      <w:r>
        <w:fldChar w:fldCharType="begin"/>
      </w:r>
      <w:r w:rsidR="00C61A9E">
        <w:instrText xml:space="preserve"> ADDIN ZOTERO_ITEM CSL_CITATION {"citationID":"MFZMyp28","properties":{"formattedCitation":"\\super 26,27\\nosupersub{}","plainCitation":"26,27","noteIndex":0},"citationItems":[{"id":12994,"uris":["http://zotero.org/users/6423791/items/VY2MJEEX"],"itemData":{"id":12994,"type":"article-journal","abstract":"Interpretation of comparative Life Cycle Assessment (LCA) results can be challenging in the presence of uncertainty. To aid in interpreting such results under the goal of any comparative LCA, we aim to provide guidance to practitioners by gaining insights into uncertainty-statistics methods (USMs). We review ﬁve USMs</w:instrText>
      </w:r>
      <w:r w:rsidR="00C61A9E">
        <w:rPr>
          <w:rFonts w:hint="eastAsia"/>
        </w:rPr>
        <w:instrText></w:instrText>
      </w:r>
      <w:r w:rsidR="00C61A9E">
        <w:instrText xml:space="preserve">discernibility analysis, impact category relevance, overlap area of probability distributions, null hypothesis signiﬁcance testing (NHST), and modiﬁed NHST− and provide a common notation, terminology, and calculation platform. We further cross-compare all USMs by applying them to a case study on electric cars. USMs belong to a conﬁrmatory or an exploratory statistics’ branch, each serving diﬀerent purposes to practitioners. Results highlight that common uncertainties and the magnitude of diﬀerences per impact are key in oﬀering reliable insights. Common uncertainties are particularly important as disregarding them can lead to incorrect recommendations. On the basis of these considerations, we recommend the modiﬁed NHST as a conﬁrmatory USM. We also recommend discernibility analysis as an exploratory USM along with recommendations for its improvement, as it disregards the magnitude of the diﬀerences. While further research is necessary to support our conclusions, the results and supporting material provided can help LCA practitioners in delivering a more robust basis for decision-making.","container-title":"Environmental Science &amp; Technology","DOI":"10.1021/acs.est.7b06365","ISSN":"0013-936X, 1520-5851","issue":"4","journalAbbreviation":"Environ. Sci. Technol.","language":"en","page":"2152-2161","source":"DOI.org (Crossref)","title":"Quantified Uncertainties in Comparative Life Cycle Assessment: What Can Be Concluded?","title-short":"Quantified Uncertainties in Comparative Life Cycle Assessment","volume":"52","author":[{"family":"Mendoza Beltran","given":"Angelica"},{"family":"Prado","given":"Valentina"},{"family":"Font Vivanco","given":"David"},{"family":"Henriksson","given":"Patrik J. G."},{"family":"Guinée","given":"Jeroen B."},{"family":"Heijungs","given":"Reinout"}],"issued":{"date-parts":[["2018",2,20]]}}},{"id":13936,"uris":["http://zotero.org/users/6423791/items/GBG6Y4QY"],"itemData":{"id":13936,"type":"thesis","event-place":"Eindhoven","number-of-pages":"225","publisher":"Technische Universiteit Eindhoven","publisher-place":"Eindhoven","title":"Development of an uncertainty analysis framework for modelbased consequential life cycle assessment","author":[{"literal":"Baustert, P. M."}],"issued":{"date-parts":[["2021"]]}}}],"schema":"https://github.com/citation-style-language/schema/raw/master/csl-citation.json"} </w:instrText>
      </w:r>
      <w:r>
        <w:fldChar w:fldCharType="separate"/>
      </w:r>
      <w:r w:rsidR="00C61A9E" w:rsidRPr="00C61A9E">
        <w:rPr>
          <w:rFonts w:ascii="Calibri" w:hAnsi="Calibri" w:cs="Calibri"/>
          <w:szCs w:val="24"/>
          <w:vertAlign w:val="superscript"/>
        </w:rPr>
        <w:t>26,27</w:t>
      </w:r>
      <w:r>
        <w:fldChar w:fldCharType="end"/>
      </w:r>
      <w:r w:rsidR="007E49B2">
        <w:t xml:space="preserve">, but the selected strategy </w:t>
      </w:r>
      <w:r w:rsidR="000B4BB9">
        <w:t>builds on</w:t>
      </w:r>
      <w:r w:rsidR="007E49B2">
        <w:t xml:space="preserve"> uncertainty-statistics methods.</w:t>
      </w:r>
      <w:r w:rsidR="000B4BB9">
        <w:t xml:space="preserve"> To screen the range of </w:t>
      </w:r>
      <w:r w:rsidR="00124E78">
        <w:t xml:space="preserve">environmental </w:t>
      </w:r>
      <w:r w:rsidR="000B4BB9">
        <w:t xml:space="preserve">performances achievable by the 27 </w:t>
      </w:r>
      <w:r w:rsidR="00124E78">
        <w:t>residual biomass</w:t>
      </w:r>
      <w:r w:rsidR="000B4BB9">
        <w:t xml:space="preserve"> </w:t>
      </w:r>
      <w:r w:rsidR="008A6EFE">
        <w:t>valorization</w:t>
      </w:r>
      <w:r w:rsidR="000B4BB9">
        <w:t xml:space="preserve"> pathways under unknown future technological performances, the LCA model was run on a randomized matrix covering the entire variation range of each technological parameter, for each</w:t>
      </w:r>
      <w:r w:rsidR="00124E78">
        <w:t xml:space="preserve"> </w:t>
      </w:r>
      <w:r w:rsidR="008A6EFE">
        <w:t xml:space="preserve">of the eleven </w:t>
      </w:r>
      <w:r w:rsidR="000B4BB9">
        <w:t>case stud</w:t>
      </w:r>
      <w:r w:rsidR="008A6EFE">
        <w:t>ies</w:t>
      </w:r>
      <w:r w:rsidR="000B4BB9">
        <w:t>. This means that the 27 pathways were simultaneously run on paired samples of their technolog</w:t>
      </w:r>
      <w:r w:rsidR="008A6EFE">
        <w:t>ical</w:t>
      </w:r>
      <w:r w:rsidR="000B4BB9">
        <w:t xml:space="preserve"> parameters, enabling pairwise comparison. Finally, this operation was repeated for each scenario (</w:t>
      </w:r>
      <w:r w:rsidR="00124E78">
        <w:t>a combination</w:t>
      </w:r>
      <w:r w:rsidR="000B4BB9">
        <w:t xml:space="preserve"> of </w:t>
      </w:r>
      <w:r w:rsidR="00124E78">
        <w:t xml:space="preserve">future exploratory </w:t>
      </w:r>
      <w:r w:rsidR="000B4BB9">
        <w:t xml:space="preserve">food and energy systems </w:t>
      </w:r>
      <w:r w:rsidR="00881E43">
        <w:t>scenarios</w:t>
      </w:r>
      <w:r w:rsidR="00C86BBF">
        <w:t xml:space="preserve">, see </w:t>
      </w:r>
      <w:r w:rsidR="00C86BBF" w:rsidRPr="00881E43">
        <w:rPr>
          <w:b/>
        </w:rPr>
        <w:t>main manuscript</w:t>
      </w:r>
      <w:r w:rsidR="000B4BB9">
        <w:t xml:space="preserve">). These aimed to </w:t>
      </w:r>
      <w:r w:rsidR="00124E78">
        <w:t>estimate</w:t>
      </w:r>
      <w:r w:rsidR="000B4BB9">
        <w:t xml:space="preserve"> </w:t>
      </w:r>
      <w:r w:rsidR="00124E78">
        <w:t xml:space="preserve">how uncertain future </w:t>
      </w:r>
      <w:r w:rsidR="00881E43">
        <w:t xml:space="preserve">food and feed </w:t>
      </w:r>
      <w:r w:rsidR="000B4BB9">
        <w:t xml:space="preserve">markets contexts </w:t>
      </w:r>
      <w:r w:rsidR="00881E43">
        <w:t>affect</w:t>
      </w:r>
      <w:r w:rsidR="00124E78">
        <w:t xml:space="preserve"> the relevance of implementing waste-to-nutrition pathways</w:t>
      </w:r>
      <w:r w:rsidR="00881E43">
        <w:t xml:space="preserve"> compared to other waste valorization strategies</w:t>
      </w:r>
      <w:r w:rsidR="000B4BB9">
        <w:t>.</w:t>
      </w:r>
    </w:p>
    <w:p w14:paraId="4297F344" w14:textId="77777777" w:rsidR="00360421" w:rsidRDefault="00360421" w:rsidP="00360421">
      <w:pPr>
        <w:contextualSpacing/>
        <w:jc w:val="both"/>
        <w:rPr>
          <w:rFonts w:eastAsia="SimSun"/>
        </w:rPr>
      </w:pPr>
    </w:p>
    <w:p w14:paraId="742E27E5" w14:textId="59516A41" w:rsidR="00360421" w:rsidRDefault="000B4BB9" w:rsidP="000B4BB9">
      <w:pPr>
        <w:jc w:val="both"/>
      </w:pPr>
      <w:r w:rsidRPr="007C083E">
        <w:t>For its computational efficiency and built-</w:t>
      </w:r>
      <w:r>
        <w:t>i</w:t>
      </w:r>
      <w:r w:rsidRPr="007C083E">
        <w:t xml:space="preserve">n </w:t>
      </w:r>
      <w:r>
        <w:t xml:space="preserve">indicators for </w:t>
      </w:r>
      <w:r w:rsidRPr="007C083E">
        <w:t xml:space="preserve">sensitivity </w:t>
      </w:r>
      <w:r>
        <w:t>analysis</w:t>
      </w:r>
      <w:r>
        <w:fldChar w:fldCharType="begin"/>
      </w:r>
      <w:r w:rsidR="00C61A9E">
        <w:instrText xml:space="preserve"> ADDIN ZOTERO_ITEM CSL_CITATION {"citationID":"MNKRtasC","properties":{"formattedCitation":"\\super 28\\nosupersub{}","plainCitation":"28","noteIndex":0},"citationItems":[{"id":13878,"uris":["http://zotero.org/users/6423791/items/2U3IXT9G"],"itemData":{"id":13878,"type":"article-journal","abstract":"Bottom-up–based life cycle assessment (LCA) approaches are used to assess the greenhouse gas emissions of various products such as transportation fuels. Bottom-up spreadsheet–based models include numerous calculations and assumed values that are uncertain. Currently, most LCAs provide point estimates with a simple one-at-a-time sensitivity analysis, which provides limited insight into how the model assumptions affect the results. Additionally, the LCA models are generally presented with a limited number of scenarios to avoid overwhelming the reader; however, this limits the usefulness of the work, as each reader will be interested in different scenarios. The goal of this work is to use a global sensitivity and regression to provide as much information to the reader as possible in an easily digestible form.","container-title":"The International Journal of Life Cycle Assessment","DOI":"10.1007/s11367-019-01674-y","ISSN":"1614-7502","issue":"2","journalAbbreviation":"Int J Life Cycle Assess","language":"en","page":"222-239","source":"Springer Link","title":"Extending sensitivity analysis using regression to effectively disseminate life cycle assessment results","volume":"25","author":[{"family":"Di Lullo","given":"Giovanni"},{"family":"Gemechu","given":"Eskinder"},{"family":"Oni","given":"Abayomi Olufemi"},{"family":"Kumar","given":"Amit"}],"issued":{"date-parts":[["2020",2,1]]}}}],"schema":"https://github.com/citation-style-language/schema/raw/master/csl-citation.json"} </w:instrText>
      </w:r>
      <w:r>
        <w:fldChar w:fldCharType="separate"/>
      </w:r>
      <w:r w:rsidR="00C61A9E" w:rsidRPr="00C61A9E">
        <w:rPr>
          <w:rFonts w:ascii="Calibri" w:hAnsi="Calibri" w:cs="Calibri"/>
          <w:szCs w:val="24"/>
          <w:vertAlign w:val="superscript"/>
        </w:rPr>
        <w:t>28</w:t>
      </w:r>
      <w:r>
        <w:fldChar w:fldCharType="end"/>
      </w:r>
      <w:r w:rsidRPr="007C083E">
        <w:t xml:space="preserve">, the Morris screening </w:t>
      </w:r>
      <w:r>
        <w:t xml:space="preserve">method </w:t>
      </w:r>
      <w:r w:rsidRPr="007C083E">
        <w:t>was</w:t>
      </w:r>
      <w:r>
        <w:t xml:space="preserve"> selected. Further detailed, this method is based on a one-at-the-time propagation of elementary effects within trajectories randomly covering the input space</w:t>
      </w:r>
      <w:r>
        <w:fldChar w:fldCharType="begin"/>
      </w:r>
      <w:r w:rsidR="00C61A9E">
        <w:instrText xml:space="preserve"> ADDIN ZOTERO_ITEM CSL_CITATION {"citationID":"cIDCXHJk","properties":{"formattedCitation":"\\super 26\\nosupersub{}","plainCitation":"26","noteIndex":0},"citationItems":[{"id":12994,"uris":["http://zotero.org/users/6423791/items/VY2MJEEX"],"itemData":{"id":12994,"type":"article-journal","abstract":"Interpretation of comparative Life Cycle Assessment (LCA) results can be challenging in the presence of uncertainty. To aid in interpreting such results under the goal of any comparative LCA, we aim to provide guidance to practitioners by gaining insights into uncertainty-statistics methods (USMs). We review ﬁve USMs</w:instrText>
      </w:r>
      <w:r w:rsidR="00C61A9E">
        <w:rPr>
          <w:rFonts w:hint="eastAsia"/>
        </w:rPr>
        <w:instrText></w:instrText>
      </w:r>
      <w:r w:rsidR="00C61A9E">
        <w:instrText xml:space="preserve">discernibility analysis, impact category relevance, overlap area of probability distributions, null hypothesis signiﬁcance testing (NHST), and modiﬁed NHST− and provide a common notation, terminology, and calculation platform. We further cross-compare all USMs by applying them to a case study on electric cars. USMs belong to a conﬁrmatory or an exploratory statistics’ branch, each serving diﬀerent purposes to practitioners. Results highlight that common uncertainties and the magnitude of diﬀerences per impact are key in oﬀering reliable insights. Common uncertainties are particularly important as disregarding them can lead to incorrect recommendations. On the basis of these considerations, we recommend the modiﬁed NHST as a conﬁrmatory USM. We also recommend discernibility analysis as an exploratory USM along with recommendations for its improvement, as it disregards the magnitude of the diﬀerences. While further research is necessary to support our conclusions, the results and supporting material provided can help LCA practitioners in delivering a more robust basis for decision-making.","container-title":"Environmental Science &amp; Technology","DOI":"10.1021/acs.est.7b06365","ISSN":"0013-936X, 1520-5851","issue":"4","journalAbbreviation":"Environ. Sci. Technol.","language":"en","page":"2152-2161","source":"DOI.org (Crossref)","title":"Quantified Uncertainties in Comparative Life Cycle Assessment: What Can Be Concluded?","title-short":"Quantified Uncertainties in Comparative Life Cycle Assessment","volume":"52","author":[{"family":"Mendoza Beltran","given":"Angelica"},{"family":"Prado","given":"Valentina"},{"family":"Font Vivanco","given":"David"},{"family":"Henriksson","given":"Patrik J. G."},{"family":"Guinée","given":"Jeroen B."},{"family":"Heijungs","given":"Reinout"}],"issued":{"date-parts":[["2018",2,20]]}}}],"schema":"https://github.com/citation-style-language/schema/raw/master/csl-citation.json"} </w:instrText>
      </w:r>
      <w:r>
        <w:fldChar w:fldCharType="separate"/>
      </w:r>
      <w:r w:rsidR="00C61A9E" w:rsidRPr="00C61A9E">
        <w:rPr>
          <w:rFonts w:ascii="Calibri" w:hAnsi="Calibri" w:cs="Calibri"/>
          <w:szCs w:val="24"/>
          <w:vertAlign w:val="superscript"/>
        </w:rPr>
        <w:t>26</w:t>
      </w:r>
      <w:r>
        <w:fldChar w:fldCharType="end"/>
      </w:r>
      <w:r>
        <w:t>. Al</w:t>
      </w:r>
      <w:r w:rsidR="00881E43">
        <w:t>though being</w:t>
      </w:r>
      <w:r>
        <w:t xml:space="preserve"> less used (in the LCA field) </w:t>
      </w:r>
      <w:r w:rsidR="00881E43">
        <w:t>compared to</w:t>
      </w:r>
      <w:r>
        <w:t xml:space="preserve"> other screening strategies such as e.g. Monte-Carlo, </w:t>
      </w:r>
      <w:r w:rsidR="00881E43">
        <w:t xml:space="preserve">the </w:t>
      </w:r>
      <w:r>
        <w:t>Morris method is nevertheless</w:t>
      </w:r>
      <w:r w:rsidRPr="00A57569">
        <w:t xml:space="preserve"> </w:t>
      </w:r>
      <w:r>
        <w:t>designed to develop GSA, is recommended when assessing large number of factors</w:t>
      </w:r>
      <w:r>
        <w:fldChar w:fldCharType="begin"/>
      </w:r>
      <w:r w:rsidR="00C61A9E">
        <w:instrText xml:space="preserve"> ADDIN ZOTERO_ITEM CSL_CITATION {"citationID":"hCxLr5sM","properties":{"formattedCitation":"\\super 29\\nosupersub{}","plainCitation":"29","noteIndex":0},"citationItems":[{"id":14062,"uris":["http://zotero.org/users/6423791/items/P973UU35"],"itemData":{"id":14062,"type":"article-journal","abstract":"This work illustrates available best practices to run a sensitivity analysis for ecological models. The properties of recommended methods and their ranges of application are illustrated by applying the sensitivity analysis techniques to two test cases. The ﬁrst one is a classic Lotka–Volterra model, while the second one is a study on a ﬁsh population dynamics. Both quantitative and qualitative approaches are applied and the differences between local and global techniques are highlighted by using the test cases.","container-title":"Ecological Modelling","DOI":"10.1016/j.ecolmodel.2005.10.045","ISSN":"03043800","issue":"1-2","journalAbbreviation":"Ecological Modelling","language":"en","page":"167-182","source":"DOI.org (Crossref)","title":"The role of sensitivity analysis in ecological modelling","volume":"203","author":[{"family":"Cariboni","given":"J."},{"family":"Gatelli","given":"D."},{"family":"Liska","given":"R."},{"family":"Saltelli","given":"A."}],"issued":{"date-parts":[["2007",4]]}}}],"schema":"https://github.com/citation-style-language/schema/raw/master/csl-citation.json"} </w:instrText>
      </w:r>
      <w:r>
        <w:fldChar w:fldCharType="separate"/>
      </w:r>
      <w:r w:rsidR="00C61A9E" w:rsidRPr="00C61A9E">
        <w:rPr>
          <w:rFonts w:ascii="Calibri" w:hAnsi="Calibri" w:cs="Calibri"/>
          <w:szCs w:val="24"/>
          <w:vertAlign w:val="superscript"/>
        </w:rPr>
        <w:t>29</w:t>
      </w:r>
      <w:r>
        <w:fldChar w:fldCharType="end"/>
      </w:r>
      <w:r>
        <w:t xml:space="preserve">, and its built-in indicators provide a proxy of </w:t>
      </w:r>
      <w:proofErr w:type="spellStart"/>
      <w:r>
        <w:t>Sobol’s</w:t>
      </w:r>
      <w:proofErr w:type="spellEnd"/>
      <w:r>
        <w:t xml:space="preserve"> first order sensitivity index requiring lower computing resources</w:t>
      </w:r>
      <w:r>
        <w:fldChar w:fldCharType="begin"/>
      </w:r>
      <w:r w:rsidR="00C61A9E">
        <w:instrText xml:space="preserve"> ADDIN ZOTERO_ITEM CSL_CITATION {"citationID":"BZ9tdIav","properties":{"formattedCitation":"\\super 30,31\\nosupersub{}","plainCitation":"30,31","noteIndex":0},"citationItems":[{"id":13693,"uris":["http://zotero.org/users/6423791/items/TM3FK8AY"],"itemData":{"id":13693,"type":"article-journal","abstract":"Global sensitivity analysis (GSA) aims at quantifying the effects of inputs on the output response globally. GSA is useful for identifying a few important inputs from a model with large number of inputs, which is critical for structural design and optimization. The method of Sobol’ and the Morris method are two popular GSA techniques, and they have been widely used in many areas of science and engineering. It was proved that the Morris index is a good proxy of the method of Sobol’ in some papers. However, some of the quantitative relationships between Morris index and Sobol’ index are established by only considering the input with standard uniform distribution. When the input does not follow standard uniform distribution, some relationships are no longer valid. Therefore, an enhanced Morris method is developed as a better proxy of the Sobol’ index for the input with arbitrary distribution, and it does not increase the model evaluations compared with the original Morris method. Test examples show the performance of the approximation and its usefulness in practice.","container-title":"Structural and Multidisciplinary Optimization","DOI":"10.1007/s00158-018-2071-7","ISSN":"1615-1488","issue":"2","journalAbbreviation":"Struct Multidisc Optim","language":"en","page":"373-387","source":"Springer Link","title":"Enhanced Morris method for global sensitivity analysis: good proxy of Sobol’ index","title-short":"Enhanced Morris method for global sensitivity analysis","volume":"59","author":[{"family":"Feng","given":"Kaixuan"},{"family":"Lu","given":"Zhenzhou"},{"family":"Yang","given":"Caiqiong"}],"issued":{"date-parts":[["2019",2,1]]}}},{"id":13876,"uris":["http://zotero.org/users/6423791/items/CX9AQGFM"],"itemData":{"id":13876,"type":"article-journal","abstract":"Complex environmental models typically require global sensitivity analysis (GSA) to account for non-linearities and parametric interactions. However, variance-based GSA is highly computationally expensive. While different screening methods can estimate GSA results, these techniques typically impose restrictions on sampling methods and input types. As an alternative, this work evaluates two decision tree-based methods to approximate GSA results: random forests, and Extra-Trees. These techniques are applicable with common sampling methods, and continuous or categorical inputs. The tree-based methods are compared to reference Sobol GSA and Morris screening techniques, for three cases: an Ishigami-Homma function, a H1N1 pandemic model, and the CDICE integrated assessment model. The Extra-Trees algorithm performs favorably compared to Morris elementary effects, accurately approximating the relative importance of Sobol total effect indices. Furthermore, Extra-Trees can estimate variable interaction importances using a pairwise permutation measure. As such, this approach could offer a user-friendly option for screening in models with inputs of mixed types.","container-title":"Environmental Modelling &amp; Software","DOI":"10.1016/j.envsoft.2018.06.011","ISSN":"1364-8152","journalAbbreviation":"Environmental Modelling &amp; Software","language":"en","page":"245-266","source":"ScienceDirect","title":"Tree-based ensemble methods for sensitivity analysis of environmental models: A performance comparison with Sobol and Morris techniques","title-short":"Tree-based ensemble methods for sensitivity analysis of environmental models","volume":"107","author":[{"family":"Jaxa-Rozen","given":"Marc"},{"family":"Kwakkel","given":"Jan"}],"issued":{"date-parts":[["2018",9,1]]}}}],"schema":"https://github.com/citation-style-language/schema/raw/master/csl-citation.json"} </w:instrText>
      </w:r>
      <w:r>
        <w:fldChar w:fldCharType="separate"/>
      </w:r>
      <w:r w:rsidR="00C61A9E" w:rsidRPr="00C61A9E">
        <w:rPr>
          <w:rFonts w:ascii="Calibri" w:hAnsi="Calibri" w:cs="Calibri"/>
          <w:szCs w:val="24"/>
          <w:vertAlign w:val="superscript"/>
        </w:rPr>
        <w:t>30,31</w:t>
      </w:r>
      <w:r>
        <w:fldChar w:fldCharType="end"/>
      </w:r>
      <w:r>
        <w:t>. Additionally, this method does not need to predefine any probability distribution</w:t>
      </w:r>
      <w:r w:rsidR="00881E43">
        <w:t>s</w:t>
      </w:r>
      <w:r>
        <w:t xml:space="preserve"> for the assessed factors, which is in line with the way </w:t>
      </w:r>
      <w:r w:rsidR="00881E43">
        <w:t xml:space="preserve">the </w:t>
      </w:r>
      <w:r>
        <w:t>technolog</w:t>
      </w:r>
      <w:r w:rsidR="00881E43">
        <w:t>ical</w:t>
      </w:r>
      <w:r>
        <w:t xml:space="preserve"> parameters were defined (</w:t>
      </w:r>
      <w:r w:rsidRPr="00881E43">
        <w:t>described in</w:t>
      </w:r>
      <w:r w:rsidR="00124E78" w:rsidRPr="00881E43">
        <w:rPr>
          <w:b/>
        </w:rPr>
        <w:t xml:space="preserve"> </w:t>
      </w:r>
      <w:r w:rsidR="00124E78" w:rsidRPr="00881E43">
        <w:t>Javourez et al., (202</w:t>
      </w:r>
      <w:r w:rsidR="00881E43">
        <w:t>4</w:t>
      </w:r>
      <w:r w:rsidR="00124E78" w:rsidRPr="00881E43">
        <w:t>)</w:t>
      </w:r>
      <w:r w:rsidR="00124E78" w:rsidRPr="00881E43">
        <w:fldChar w:fldCharType="begin"/>
      </w:r>
      <w:r w:rsidR="00CD084F" w:rsidRPr="00881E43">
        <w:instrText xml:space="preserve"> ADDIN ZOTERO_ITEM CSL_CITATION {"citationID":"AQehT5gU","properties":{"formattedCitation":"\\super 1\\nosupersub{}","plainCitation":"1","noteIndex":0},"citationItems":[{"id":14334,"uris":["http://zotero.org/users/6423791/items/VWPZYH5Z"],"itemData":{"id":14334,"type":"article","DOI":"https://doi.org/10.21203/rs.3.rs-3671083/v1","genre":"preprint","publisher":"Research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pathways","author":[{"family":"Javourez","given":"U."},{"family":"Tiruta-Barna","given":"L."},{"family":"Hamelin","given":"L."}],"issued":{"date-parts":[["2023",11,20]]}}}],"schema":"https://github.com/citation-style-language/schema/raw/master/csl-citation.json"} </w:instrText>
      </w:r>
      <w:r w:rsidR="00124E78" w:rsidRPr="00881E43">
        <w:fldChar w:fldCharType="separate"/>
      </w:r>
      <w:r w:rsidR="00124E78" w:rsidRPr="00881E43">
        <w:rPr>
          <w:rFonts w:ascii="Calibri" w:hAnsi="Calibri" w:cs="Calibri"/>
          <w:szCs w:val="24"/>
          <w:vertAlign w:val="superscript"/>
        </w:rPr>
        <w:t>1</w:t>
      </w:r>
      <w:r w:rsidR="00124E78" w:rsidRPr="00881E43">
        <w:fldChar w:fldCharType="end"/>
      </w:r>
      <w:r w:rsidR="00124E78" w:rsidRPr="00881E43">
        <w:t>)</w:t>
      </w:r>
      <w:r w:rsidRPr="00881E43">
        <w:t>.</w:t>
      </w:r>
      <w:r w:rsidRPr="00124E78">
        <w:t xml:space="preserve"> This</w:t>
      </w:r>
      <w:r>
        <w:t xml:space="preserve"> is not seen as a limitation because </w:t>
      </w:r>
      <w:r w:rsidR="00881E43">
        <w:t>results calculated over</w:t>
      </w:r>
      <w:r w:rsidR="00124E78">
        <w:t xml:space="preserve"> </w:t>
      </w:r>
      <w:r w:rsidR="00881E43">
        <w:t>a</w:t>
      </w:r>
      <w:r>
        <w:t xml:space="preserve"> large sets of independent </w:t>
      </w:r>
      <w:r w:rsidR="00124E78">
        <w:t xml:space="preserve">input </w:t>
      </w:r>
      <w:r>
        <w:t xml:space="preserve">variables will converge towards a normal distribution regardless </w:t>
      </w:r>
      <w:r>
        <w:lastRenderedPageBreak/>
        <w:t xml:space="preserve">of the individual </w:t>
      </w:r>
      <w:r w:rsidR="00124E78">
        <w:t xml:space="preserve">inputs’ </w:t>
      </w:r>
      <w:r>
        <w:t>distributions</w:t>
      </w:r>
      <w:r>
        <w:fldChar w:fldCharType="begin"/>
      </w:r>
      <w:r w:rsidR="00C61A9E">
        <w:instrText xml:space="preserve"> ADDIN ZOTERO_ITEM CSL_CITATION {"citationID":"P6Ry0qMm","properties":{"formattedCitation":"\\super 32\\nosupersub{}","plainCitation":"32","noteIndex":0},"citationItems":[{"id":13911,"uris":["http://zotero.org/users/6423791/items/LSAC5TUG"],"itemData":{"id":13911,"type":"report","abstract":"This report describes the general structure of the ecoinvent database developed by the Swiss Centre for Life Cycle Inventories. The database accommodates about 4’000 datasets for products, services and processes often used in LCA case studies.","event-place":"Dübendorf, CH","genre":"ecoinvent report No.","language":"en","number":"1","page":"77","publisher":"ecoinvent","publisher-place":"Dübendorf, CH","source":"Zotero","title":"Overview and Methodology Data v2.0","author":[{"family":"Althaus","given":"Hans-Jörg"},{"family":"Doka","given":"Gabor"},{"family":"Dones","given":"Roberto"},{"family":"Heck","given":"Thomas"},{"family":"Hellweg","given":"Stefanie"},{"family":"Hischier","given":"Roland"},{"family":"Nemecek","given":"Thomas"},{"family":"Rebitzer","given":"Gerald"},{"family":"Spielmann","given":"Michael"},{"family":"Wernet","given":"Gregor"}],"issued":{"date-parts":[["2007"]]}}}],"schema":"https://github.com/citation-style-language/schema/raw/master/csl-citation.json"} </w:instrText>
      </w:r>
      <w:r>
        <w:fldChar w:fldCharType="separate"/>
      </w:r>
      <w:r w:rsidR="00C61A9E" w:rsidRPr="00C61A9E">
        <w:rPr>
          <w:rFonts w:ascii="Calibri" w:hAnsi="Calibri" w:cs="Calibri"/>
          <w:szCs w:val="24"/>
          <w:vertAlign w:val="superscript"/>
        </w:rPr>
        <w:t>32</w:t>
      </w:r>
      <w:r>
        <w:fldChar w:fldCharType="end"/>
      </w:r>
      <w:r>
        <w:t>. Albeit usually seen as a prescreening procedure</w:t>
      </w:r>
      <w:r>
        <w:fldChar w:fldCharType="begin"/>
      </w:r>
      <w:r w:rsidR="00CD084F">
        <w:instrText xml:space="preserve"> ADDIN ZOTERO_ITEM CSL_CITATION {"citationID":"QZq8k9xZ","properties":{"formattedCitation":"\\super 16,33\\nosupersub{}","plainCitation":"16,33","noteIndex":0},"citationItems":[{"id":13930,"uris":["http://zotero.org/users/6423791/items/P28TEYKD"],"itemData":{"id":13930,"type":"book","publisher":"Publications Office of the European Union","title":"Prospective LCA methodology for novel and emerging technologies for bio-based products : the Planet Bio project","URL":"https://dx.doi.org/10.2760/167543","author":[{"literal":"European Commission"},{"literal":"Joint Research Centre"},{"literal":"Cucurachi, S."},{"literal":"Steubing, B."},{"literal":"Siebler, F."}],"issued":{"date-parts":[["2022"]]}}},{"id":13683,"uris":["http://zotero.org/users/6423791/items/69YAHCCN"],"itemData":{"id":13683,"type":"article-journal","abstract":"Input parameters required to quantify environmental impact in life cycle assessment (LCA) can be uncertain due to e.g. temporal variability or unknowns about the true value of emission factors. Uncertainty of environmental impact can be analysed by means of a global sensitivity analysis to gain more insight into output variance. This study aimed to (1) give insight into and (2) compare methods for global sensitivity analysis in life cycle assessment, with a focus on the inventory stage.","container-title":"The International Journal of Life Cycle Assessment","DOI":"10.1007/s11367-016-1217-3","ISSN":"1614-7502","issue":"7","journalAbbreviation":"Int J Life Cycle Assess","language":"en","page":"1125-1137","source":"Springer Link","title":"Methods for global sensitivity analysis in life cycle assessment","volume":"22","author":[{"family":"Groen","given":"Evelyne A."},{"family":"Bokkers","given":"Eddie A. M."},{"family":"Heijungs","given":"Reinout"},{"family":"Boer","given":"Imke J. M.","non-dropping-particle":"de"}],"issued":{"date-parts":[["2017",7,1]]}}}],"schema":"https://github.com/citation-style-language/schema/raw/master/csl-citation.json"} </w:instrText>
      </w:r>
      <w:r>
        <w:fldChar w:fldCharType="separate"/>
      </w:r>
      <w:r w:rsidR="00C61A9E" w:rsidRPr="00C61A9E">
        <w:rPr>
          <w:rFonts w:ascii="Calibri" w:hAnsi="Calibri" w:cs="Calibri"/>
          <w:szCs w:val="24"/>
          <w:vertAlign w:val="superscript"/>
        </w:rPr>
        <w:t>16,33</w:t>
      </w:r>
      <w:r>
        <w:fldChar w:fldCharType="end"/>
      </w:r>
      <w:r>
        <w:t>, the Morris screening granularity was adapted</w:t>
      </w:r>
      <w:r w:rsidR="00124E78">
        <w:t xml:space="preserve"> (see below)</w:t>
      </w:r>
      <w:r>
        <w:t xml:space="preserve"> and results </w:t>
      </w:r>
      <w:r w:rsidR="00124E78">
        <w:t>were</w:t>
      </w:r>
      <w:r>
        <w:t xml:space="preserve"> considered suitable to deploy uncertainty-statistics analysis. Applied to the 293 technolog</w:t>
      </w:r>
      <w:r w:rsidR="00881E43">
        <w:t>ical</w:t>
      </w:r>
      <w:r>
        <w:t xml:space="preserve"> parameters, </w:t>
      </w:r>
      <w:r w:rsidR="00124E78">
        <w:t xml:space="preserve">the </w:t>
      </w:r>
      <w:r>
        <w:t>variance</w:t>
      </w:r>
      <w:r w:rsidR="00124E78">
        <w:t>s</w:t>
      </w:r>
      <w:r>
        <w:t xml:space="preserve"> </w:t>
      </w:r>
      <w:r w:rsidR="00124E78">
        <w:t xml:space="preserve">of LCA scores </w:t>
      </w:r>
      <w:r w:rsidR="00881E43">
        <w:t xml:space="preserve">as estimated here </w:t>
      </w:r>
      <w:r w:rsidR="00124E78">
        <w:t>do not aim to represent</w:t>
      </w:r>
      <w:r w:rsidR="00881E43">
        <w:t xml:space="preserve"> the</w:t>
      </w:r>
      <w:r w:rsidR="00124E78">
        <w:t xml:space="preserve"> total</w:t>
      </w:r>
      <w:r>
        <w:t xml:space="preserve"> variance</w:t>
      </w:r>
      <w:r w:rsidR="00881E43">
        <w:t>s</w:t>
      </w:r>
      <w:r>
        <w:t xml:space="preserve"> </w:t>
      </w:r>
      <w:r w:rsidR="00881E43">
        <w:t xml:space="preserve">of the LCA scores </w:t>
      </w:r>
      <w:r>
        <w:t xml:space="preserve">at least because </w:t>
      </w:r>
      <w:r w:rsidR="00881E43">
        <w:t xml:space="preserve">the uncertainties related to the </w:t>
      </w:r>
      <w:r>
        <w:t>background</w:t>
      </w:r>
      <w:r w:rsidR="00881E43">
        <w:t xml:space="preserve"> </w:t>
      </w:r>
      <w:r>
        <w:t>system</w:t>
      </w:r>
      <w:r w:rsidR="00881E43">
        <w:t xml:space="preserve"> inventory (</w:t>
      </w:r>
      <w:proofErr w:type="spellStart"/>
      <w:r w:rsidR="00881E43">
        <w:t>ecoinvent</w:t>
      </w:r>
      <w:proofErr w:type="spellEnd"/>
      <w:r w:rsidR="00881E43">
        <w:t xml:space="preserve"> activities)</w:t>
      </w:r>
      <w:r>
        <w:t xml:space="preserve"> w</w:t>
      </w:r>
      <w:r w:rsidR="00881E43">
        <w:t>ere</w:t>
      </w:r>
      <w:r>
        <w:t xml:space="preserve"> neglected</w:t>
      </w:r>
      <w:r w:rsidR="00881E43">
        <w:t>,</w:t>
      </w:r>
      <w:r>
        <w:t xml:space="preserve"> and </w:t>
      </w:r>
      <w:r w:rsidR="00124E78">
        <w:t>because</w:t>
      </w:r>
      <w:r>
        <w:t xml:space="preserve"> </w:t>
      </w:r>
      <w:r w:rsidR="00124E78">
        <w:t>several factors</w:t>
      </w:r>
      <w:r>
        <w:t xml:space="preserve"> </w:t>
      </w:r>
      <w:r w:rsidR="00881E43">
        <w:t xml:space="preserve">used in the </w:t>
      </w:r>
      <w:r>
        <w:t xml:space="preserve">foreground </w:t>
      </w:r>
      <w:r w:rsidR="00881E43">
        <w:t xml:space="preserve">inventory </w:t>
      </w:r>
      <w:r>
        <w:t>model</w:t>
      </w:r>
      <w:r w:rsidR="00124E78">
        <w:t>s</w:t>
      </w:r>
      <w:r>
        <w:t xml:space="preserve"> were </w:t>
      </w:r>
      <w:r w:rsidR="00124E78">
        <w:t>fixed</w:t>
      </w:r>
      <w:r w:rsidR="00881E43">
        <w:t xml:space="preserve"> as constants</w:t>
      </w:r>
      <w:r w:rsidR="00124E78">
        <w:t xml:space="preserve"> (that is, not considered as</w:t>
      </w:r>
      <w:r>
        <w:t xml:space="preserve"> technolog</w:t>
      </w:r>
      <w:r w:rsidR="00881E43">
        <w:t>ical</w:t>
      </w:r>
      <w:r>
        <w:t xml:space="preserve"> parameters</w:t>
      </w:r>
      <w:r w:rsidR="00124E78">
        <w:t>),</w:t>
      </w:r>
      <w:r>
        <w:t xml:space="preserve"> based on own judgement</w:t>
      </w:r>
      <w:r w:rsidR="00881E43">
        <w:t xml:space="preserve"> in order</w:t>
      </w:r>
      <w:r>
        <w:t xml:space="preserve"> to reduce the size of the model</w:t>
      </w:r>
      <w:r w:rsidR="00124E78">
        <w:fldChar w:fldCharType="begin"/>
      </w:r>
      <w:r w:rsidR="00CD084F">
        <w:instrText xml:space="preserve"> ADDIN ZOTERO_ITEM CSL_CITATION {"citationID":"CKTkwFYT","properties":{"formattedCitation":"\\super 1\\nosupersub{}","plainCitation":"1","noteIndex":0},"citationItems":[{"id":14334,"uris":["http://zotero.org/users/6423791/items/VWPZYH5Z"],"itemData":{"id":14334,"type":"article","DOI":"https://doi.org/10.21203/rs.3.rs-3671083/v1","genre":"preprint","publisher":"Research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pathways","author":[{"family":"Javourez","given":"U."},{"family":"Tiruta-Barna","given":"L."},{"family":"Hamelin","given":"L."}],"issued":{"date-parts":[["2023",11,20]]}}}],"schema":"https://github.com/citation-style-language/schema/raw/master/csl-citation.json"} </w:instrText>
      </w:r>
      <w:r w:rsidR="00124E78">
        <w:fldChar w:fldCharType="separate"/>
      </w:r>
      <w:r w:rsidR="00124E78" w:rsidRPr="00124E78">
        <w:rPr>
          <w:rFonts w:ascii="Calibri" w:hAnsi="Calibri" w:cs="Calibri"/>
          <w:szCs w:val="24"/>
          <w:vertAlign w:val="superscript"/>
        </w:rPr>
        <w:t>1</w:t>
      </w:r>
      <w:r w:rsidR="00124E78">
        <w:fldChar w:fldCharType="end"/>
      </w:r>
      <w:r>
        <w:t>.</w:t>
      </w:r>
      <w:r w:rsidR="00657D9A">
        <w:t xml:space="preserve"> </w:t>
      </w:r>
      <w:r w:rsidR="00881E43">
        <w:t>The v</w:t>
      </w:r>
      <w:r w:rsidR="00657D9A">
        <w:t>ariation ranges for each of the parameter were taken as</w:t>
      </w:r>
      <w:r w:rsidR="00881E43">
        <w:t xml:space="preserve"> specified</w:t>
      </w:r>
      <w:r w:rsidR="00657D9A">
        <w:t xml:space="preserve"> in the </w:t>
      </w:r>
      <w:r w:rsidR="00657D9A" w:rsidRPr="00657D9A">
        <w:rPr>
          <w:b/>
        </w:rPr>
        <w:t>PhD thesis manuscript</w:t>
      </w:r>
      <w:r w:rsidR="00881E43">
        <w:t xml:space="preserve"> on which is based this work</w:t>
      </w:r>
      <w:r w:rsidR="00657D9A">
        <w:fldChar w:fldCharType="begin"/>
      </w:r>
      <w:r w:rsidR="00657D9A">
        <w:instrText xml:space="preserve"> ADDIN ZOTERO_ITEM CSL_CITATION {"citationID":"pSvYijqb","properties":{"formattedCitation":"\\super 34\\nosupersub{}","plainCitation":"34","noteIndex":0},"citationItems":[{"id":14134,"uris":["http://zotero.org/users/6423791/items/LU22SWNL"],"itemData":{"id":14134,"type":"thesis","event-place":"Toulouse","genre":"PhD","language":"fr","number-of-pages":"555","publisher":"INSA Toulouse","publisher-place":"Toulouse","source":"Root","title":"Transforming residual biomass into food and feed, towards an LCA optimization platform","URL":"https://dataverse.callisto.calmip.univ-toulouse.fr/dataset.xhtml?persistentId=doi:10.48531/JBRU.CALMIP/6NIPVB","author":[{"family":"Javourez","given":"U."}],"accessed":{"date-parts":[["2023",5,16]]},"issued":{"date-parts":[["2023",2,28]]}}}],"schema":"https://github.com/citation-style-language/schema/raw/master/csl-citation.json"} </w:instrText>
      </w:r>
      <w:r w:rsidR="00657D9A">
        <w:fldChar w:fldCharType="separate"/>
      </w:r>
      <w:r w:rsidR="00657D9A" w:rsidRPr="00657D9A">
        <w:rPr>
          <w:rFonts w:ascii="Calibri" w:hAnsi="Calibri" w:cs="Calibri"/>
          <w:szCs w:val="24"/>
          <w:vertAlign w:val="superscript"/>
        </w:rPr>
        <w:t>34</w:t>
      </w:r>
      <w:r w:rsidR="00657D9A">
        <w:fldChar w:fldCharType="end"/>
      </w:r>
      <w:r w:rsidR="00881E43">
        <w:t>, available upon request</w:t>
      </w:r>
      <w:r w:rsidR="00657D9A">
        <w:t>.</w:t>
      </w:r>
    </w:p>
    <w:p w14:paraId="5662EB96" w14:textId="77777777" w:rsidR="00124E78" w:rsidRPr="000B4BB9" w:rsidRDefault="00124E78" w:rsidP="000B4BB9">
      <w:pPr>
        <w:jc w:val="both"/>
      </w:pPr>
    </w:p>
    <w:p w14:paraId="29BD7AE6" w14:textId="77777777" w:rsidR="00360421" w:rsidRPr="00BA5716" w:rsidRDefault="00360421" w:rsidP="000B4BB9">
      <w:pPr>
        <w:pStyle w:val="Titre2"/>
      </w:pPr>
      <w:bookmarkStart w:id="42" w:name="_Toc134541531"/>
      <w:r w:rsidRPr="00BA5716">
        <w:t>Morris method implementation and metrics</w:t>
      </w:r>
      <w:bookmarkEnd w:id="42"/>
    </w:p>
    <w:p w14:paraId="65208306" w14:textId="439F5361" w:rsidR="00360421" w:rsidRDefault="00360421" w:rsidP="00124E78">
      <w:pPr>
        <w:jc w:val="both"/>
      </w:pPr>
      <w:r>
        <w:t>Morris method was initially designed as a prescreening tool</w:t>
      </w:r>
      <w:r>
        <w:fldChar w:fldCharType="begin"/>
      </w:r>
      <w:r w:rsidR="00657D9A">
        <w:instrText xml:space="preserve"> ADDIN ZOTERO_ITEM CSL_CITATION {"citationID":"j2gFnQhV","properties":{"formattedCitation":"\\super 35\\nosupersub{}","plainCitation":"35","noteIndex":0},"citationItems":[{"id":13914,"uris":["http://zotero.org/users/6423791/items/82L6FJ72"],"itemData":{"id":13914,"type":"article-journal","abstract":"A computational model is a representation of some physical or other system of interest, first expressed mathematically and then implemented in the form of a computer program; it may be viewed as a function of inputs that, when evaluated, produces outputs. Motivation for this article comes from computational models that are deterministic, complicated enough to make classical mathematical analysis impractical and that have a moderate-to-large number of inputs. The problem of designing computational experiments to determine which inputs have important effects on an output is considered. The proposed experimental plans are composed of individually randomized one-factor-at-a-time designs, and data analysis is based on the resulting random sample of observed elementary effects, those changes in an output due solely to changes in a particular input. Advantages of this approach include a lack of reliance on assumptions of relative sparsity of important inputs, monotonicity of outputs with respect to inputs, or adequacy of a low-order polynomial as an approximation to the computational model.","container-title":"Technometrics","DOI":"10.1080/00401706.1991.10484804","ISSN":"0040-1706","issue":"2","note":"publisher: Taylor &amp; Francis\n_eprint: https://www.tandfonline.com/doi/pdf/10.1080/00401706.1991.10484804","page":"161-174","source":"Taylor and Francis+NEJM","title":"Factorial Sampling Plans for Preliminary Computational Experiments","volume":"33","author":[{"family":"Morris","given":"Max D."}],"issued":{"date-parts":[["1991",5,1]]}}}],"schema":"https://github.com/citation-style-language/schema/raw/master/csl-citation.json"} </w:instrText>
      </w:r>
      <w:r>
        <w:fldChar w:fldCharType="separate"/>
      </w:r>
      <w:r w:rsidR="00657D9A" w:rsidRPr="00657D9A">
        <w:rPr>
          <w:rFonts w:ascii="Calibri" w:hAnsi="Calibri" w:cs="Calibri"/>
          <w:szCs w:val="24"/>
          <w:vertAlign w:val="superscript"/>
        </w:rPr>
        <w:t>35</w:t>
      </w:r>
      <w:r>
        <w:fldChar w:fldCharType="end"/>
      </w:r>
      <w:r>
        <w:t xml:space="preserve"> enabling to measure the global effects on the system’s outputs related to each individual input parameters (defined as continuous variables). Randomly moving the inputs one-at-the-time (</w:t>
      </w:r>
      <w:proofErr w:type="spellStart"/>
      <w:r>
        <w:t>OaT</w:t>
      </w:r>
      <w:proofErr w:type="spellEnd"/>
      <w:r>
        <w:t>) through aleatory trajectories in their variation ranges, this method not only enables to rank the parameters in terms of model’ sensitiveness, but also to characterize this sensitiveness (linear or non-linear effects, interactions between input parameters, etc.). Inputs only require to be defined with a min-max variation range, but should be defined as independent variables for unambiguous interpretation of the results. Morris method implementation and metrics are further described using the notations defined in</w:t>
      </w:r>
      <w:r w:rsidR="00450910">
        <w:t xml:space="preserve"> </w:t>
      </w:r>
      <w:r w:rsidR="00450910" w:rsidRPr="00450910">
        <w:rPr>
          <w:b/>
        </w:rPr>
        <w:fldChar w:fldCharType="begin"/>
      </w:r>
      <w:r w:rsidR="00450910" w:rsidRPr="00450910">
        <w:rPr>
          <w:b/>
        </w:rPr>
        <w:instrText xml:space="preserve"> REF _Ref151710718 \h </w:instrText>
      </w:r>
      <w:r w:rsidR="00450910">
        <w:rPr>
          <w:b/>
        </w:rPr>
        <w:instrText xml:space="preserve"> \* MERGEFORMAT </w:instrText>
      </w:r>
      <w:r w:rsidR="00450910" w:rsidRPr="00450910">
        <w:rPr>
          <w:b/>
        </w:rPr>
      </w:r>
      <w:r w:rsidR="00450910" w:rsidRPr="00450910">
        <w:rPr>
          <w:b/>
        </w:rPr>
        <w:fldChar w:fldCharType="separate"/>
      </w:r>
      <w:r w:rsidR="00450910" w:rsidRPr="00450910">
        <w:rPr>
          <w:b/>
        </w:rPr>
        <w:t>Table SI</w:t>
      </w:r>
      <w:r w:rsidR="00450910" w:rsidRPr="00450910">
        <w:rPr>
          <w:b/>
          <w:noProof/>
        </w:rPr>
        <w:t>17</w:t>
      </w:r>
      <w:r w:rsidR="00450910" w:rsidRPr="00450910">
        <w:rPr>
          <w:b/>
        </w:rPr>
        <w:fldChar w:fldCharType="end"/>
      </w:r>
      <w:r>
        <w:t>.</w:t>
      </w:r>
    </w:p>
    <w:p w14:paraId="2B4F633C" w14:textId="1440CD95" w:rsidR="00360421" w:rsidRPr="00A151D9" w:rsidRDefault="00450910" w:rsidP="00450910">
      <w:pPr>
        <w:pStyle w:val="Lgende"/>
        <w:jc w:val="left"/>
        <w:rPr>
          <w:highlight w:val="yellow"/>
        </w:rPr>
      </w:pPr>
      <w:bookmarkStart w:id="43" w:name="_Ref151710718"/>
      <w:bookmarkStart w:id="44" w:name="_Toc126679912"/>
      <w:bookmarkStart w:id="45" w:name="_Ref151710709"/>
      <w:bookmarkStart w:id="46" w:name="_Toc155516853"/>
      <w:r>
        <w:t>Table SI</w:t>
      </w:r>
      <w:r>
        <w:fldChar w:fldCharType="begin"/>
      </w:r>
      <w:r>
        <w:instrText xml:space="preserve"> SEQ Table \* ARABIC </w:instrText>
      </w:r>
      <w:r>
        <w:fldChar w:fldCharType="separate"/>
      </w:r>
      <w:r w:rsidR="00C65861">
        <w:rPr>
          <w:noProof/>
        </w:rPr>
        <w:t>17</w:t>
      </w:r>
      <w:r>
        <w:fldChar w:fldCharType="end"/>
      </w:r>
      <w:bookmarkEnd w:id="43"/>
      <w:r w:rsidR="00360421" w:rsidRPr="00A151D9">
        <w:t xml:space="preserve"> – Morris method notations and selected simulation parameters</w:t>
      </w:r>
      <w:bookmarkEnd w:id="44"/>
      <w:bookmarkEnd w:id="45"/>
      <w:bookmarkEnd w:id="46"/>
    </w:p>
    <w:tbl>
      <w:tblPr>
        <w:tblStyle w:val="Tableausimple2"/>
        <w:tblW w:w="0" w:type="auto"/>
        <w:tblLook w:val="04A0" w:firstRow="1" w:lastRow="0" w:firstColumn="1" w:lastColumn="0" w:noHBand="0" w:noVBand="1"/>
      </w:tblPr>
      <w:tblGrid>
        <w:gridCol w:w="883"/>
        <w:gridCol w:w="2631"/>
        <w:gridCol w:w="643"/>
        <w:gridCol w:w="4905"/>
      </w:tblGrid>
      <w:tr w:rsidR="00360421" w:rsidRPr="00450910" w14:paraId="3D39CA62" w14:textId="77777777" w:rsidTr="0045091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1F9EB769" w14:textId="77777777" w:rsidR="00360421" w:rsidRPr="00450910" w:rsidRDefault="00360421" w:rsidP="00450910">
            <w:pPr>
              <w:rPr>
                <w:sz w:val="18"/>
                <w:szCs w:val="18"/>
              </w:rPr>
            </w:pPr>
            <w:r w:rsidRPr="00450910">
              <w:rPr>
                <w:sz w:val="18"/>
                <w:szCs w:val="18"/>
              </w:rPr>
              <w:t>Notation</w:t>
            </w:r>
          </w:p>
        </w:tc>
        <w:tc>
          <w:tcPr>
            <w:tcW w:w="2631" w:type="dxa"/>
          </w:tcPr>
          <w:p w14:paraId="26EEFCFB" w14:textId="77777777" w:rsidR="00360421" w:rsidRPr="00450910" w:rsidRDefault="00360421" w:rsidP="00450910">
            <w:pPr>
              <w:cnfStyle w:val="100000000000" w:firstRow="1" w:lastRow="0" w:firstColumn="0" w:lastColumn="0" w:oddVBand="0" w:evenVBand="0" w:oddHBand="0" w:evenHBand="0" w:firstRowFirstColumn="0" w:firstRowLastColumn="0" w:lastRowFirstColumn="0" w:lastRowLastColumn="0"/>
              <w:rPr>
                <w:sz w:val="18"/>
                <w:szCs w:val="18"/>
              </w:rPr>
            </w:pPr>
            <w:r w:rsidRPr="00450910">
              <w:rPr>
                <w:sz w:val="18"/>
                <w:szCs w:val="18"/>
              </w:rPr>
              <w:t>Definition</w:t>
            </w:r>
          </w:p>
        </w:tc>
        <w:tc>
          <w:tcPr>
            <w:tcW w:w="643" w:type="dxa"/>
          </w:tcPr>
          <w:p w14:paraId="396BE7C0" w14:textId="77777777" w:rsidR="00360421" w:rsidRPr="00450910" w:rsidRDefault="00360421" w:rsidP="00450910">
            <w:pPr>
              <w:cnfStyle w:val="100000000000" w:firstRow="1" w:lastRow="0" w:firstColumn="0" w:lastColumn="0" w:oddVBand="0" w:evenVBand="0" w:oddHBand="0" w:evenHBand="0" w:firstRowFirstColumn="0" w:firstRowLastColumn="0" w:lastRowFirstColumn="0" w:lastRowLastColumn="0"/>
              <w:rPr>
                <w:sz w:val="18"/>
                <w:szCs w:val="18"/>
              </w:rPr>
            </w:pPr>
            <w:r w:rsidRPr="00450910">
              <w:rPr>
                <w:sz w:val="18"/>
                <w:szCs w:val="18"/>
              </w:rPr>
              <w:t>Value</w:t>
            </w:r>
          </w:p>
        </w:tc>
        <w:tc>
          <w:tcPr>
            <w:tcW w:w="4905" w:type="dxa"/>
          </w:tcPr>
          <w:p w14:paraId="7BA67DEC" w14:textId="77777777" w:rsidR="00360421" w:rsidRPr="00450910" w:rsidRDefault="00360421" w:rsidP="00450910">
            <w:pPr>
              <w:cnfStyle w:val="100000000000" w:firstRow="1" w:lastRow="0" w:firstColumn="0" w:lastColumn="0" w:oddVBand="0" w:evenVBand="0" w:oddHBand="0" w:evenHBand="0" w:firstRowFirstColumn="0" w:firstRowLastColumn="0" w:lastRowFirstColumn="0" w:lastRowLastColumn="0"/>
              <w:rPr>
                <w:sz w:val="18"/>
                <w:szCs w:val="18"/>
              </w:rPr>
            </w:pPr>
            <w:r w:rsidRPr="00450910">
              <w:rPr>
                <w:sz w:val="18"/>
                <w:szCs w:val="18"/>
              </w:rPr>
              <w:t>Comment</w:t>
            </w:r>
          </w:p>
        </w:tc>
      </w:tr>
      <w:tr w:rsidR="00360421" w:rsidRPr="00450910" w14:paraId="2A151E21" w14:textId="77777777" w:rsidTr="00450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6D15F0FC" w14:textId="77777777" w:rsidR="00360421" w:rsidRPr="00450910" w:rsidRDefault="00360421" w:rsidP="00450910">
            <w:pPr>
              <w:jc w:val="center"/>
              <w:rPr>
                <w:sz w:val="18"/>
                <w:szCs w:val="18"/>
              </w:rPr>
            </w:pPr>
            <w:r w:rsidRPr="00450910">
              <w:rPr>
                <w:sz w:val="18"/>
                <w:szCs w:val="18"/>
              </w:rPr>
              <w:t>p</w:t>
            </w:r>
          </w:p>
        </w:tc>
        <w:tc>
          <w:tcPr>
            <w:tcW w:w="2631" w:type="dxa"/>
          </w:tcPr>
          <w:p w14:paraId="7DCAD626"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b/>
                <w:sz w:val="18"/>
                <w:szCs w:val="18"/>
              </w:rPr>
            </w:pPr>
            <w:r w:rsidRPr="00450910">
              <w:rPr>
                <w:sz w:val="18"/>
                <w:szCs w:val="18"/>
              </w:rPr>
              <w:t>Number of parameters</w:t>
            </w:r>
          </w:p>
        </w:tc>
        <w:tc>
          <w:tcPr>
            <w:tcW w:w="643" w:type="dxa"/>
          </w:tcPr>
          <w:p w14:paraId="69867181"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b/>
                <w:sz w:val="18"/>
                <w:szCs w:val="18"/>
              </w:rPr>
            </w:pPr>
            <w:r w:rsidRPr="00450910">
              <w:rPr>
                <w:sz w:val="18"/>
                <w:szCs w:val="18"/>
              </w:rPr>
              <w:t>293</w:t>
            </w:r>
          </w:p>
        </w:tc>
        <w:tc>
          <w:tcPr>
            <w:tcW w:w="4905" w:type="dxa"/>
            <w:vMerge w:val="restart"/>
          </w:tcPr>
          <w:p w14:paraId="65BD4BE3" w14:textId="20163B5D"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r w:rsidRPr="00450910">
              <w:rPr>
                <w:sz w:val="18"/>
                <w:szCs w:val="18"/>
              </w:rPr>
              <w:t>Technology parameters as defined in</w:t>
            </w:r>
            <w:r w:rsidR="000B4BB9" w:rsidRPr="00450910">
              <w:rPr>
                <w:sz w:val="18"/>
                <w:szCs w:val="18"/>
              </w:rPr>
              <w:t xml:space="preserve"> </w:t>
            </w:r>
            <w:r w:rsidR="00450910" w:rsidRPr="00881E43">
              <w:rPr>
                <w:sz w:val="18"/>
                <w:szCs w:val="18"/>
              </w:rPr>
              <w:t>Javourez et al., (202</w:t>
            </w:r>
            <w:r w:rsidR="00881E43" w:rsidRPr="00881E43">
              <w:rPr>
                <w:sz w:val="18"/>
                <w:szCs w:val="18"/>
              </w:rPr>
              <w:t>4</w:t>
            </w:r>
            <w:r w:rsidR="00450910" w:rsidRPr="00881E43">
              <w:rPr>
                <w:sz w:val="18"/>
                <w:szCs w:val="18"/>
              </w:rPr>
              <w:t>)</w:t>
            </w:r>
            <w:r w:rsidR="00450910" w:rsidRPr="00881E43">
              <w:rPr>
                <w:sz w:val="18"/>
                <w:szCs w:val="18"/>
              </w:rPr>
              <w:fldChar w:fldCharType="begin"/>
            </w:r>
            <w:r w:rsidR="00CD084F" w:rsidRPr="00881E43">
              <w:rPr>
                <w:sz w:val="18"/>
                <w:szCs w:val="18"/>
              </w:rPr>
              <w:instrText xml:space="preserve"> ADDIN ZOTERO_ITEM CSL_CITATION {"citationID":"10k6mYJM","properties":{"formattedCitation":"\\super 1\\nosupersub{}","plainCitation":"1","noteIndex":0},"citationItems":[{"id":14334,"uris":["http://zotero.org/users/6423791/items/VWPZYH5Z"],"itemData":{"id":14334,"type":"article","DOI":"https://doi.org/10.21203/rs.3.rs-3671083/v1","genre":"preprint","publisher":"Research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pathways","author":[{"family":"Javourez","given":"U."},{"family":"Tiruta-Barna","given":"L."},{"family":"Hamelin","given":"L."}],"issued":{"date-parts":[["2023",11,20]]}}}],"schema":"https://github.com/citation-style-language/schema/raw/master/csl-citation.json"} </w:instrText>
            </w:r>
            <w:r w:rsidR="00450910" w:rsidRPr="00881E43">
              <w:rPr>
                <w:sz w:val="18"/>
                <w:szCs w:val="18"/>
              </w:rPr>
              <w:fldChar w:fldCharType="separate"/>
            </w:r>
            <w:r w:rsidR="00450910" w:rsidRPr="00881E43">
              <w:rPr>
                <w:rFonts w:ascii="Calibri" w:hAnsi="Calibri" w:cs="Calibri"/>
                <w:sz w:val="18"/>
                <w:szCs w:val="18"/>
                <w:vertAlign w:val="superscript"/>
              </w:rPr>
              <w:t>1</w:t>
            </w:r>
            <w:r w:rsidR="00450910" w:rsidRPr="00881E43">
              <w:rPr>
                <w:sz w:val="18"/>
                <w:szCs w:val="18"/>
              </w:rPr>
              <w:fldChar w:fldCharType="end"/>
            </w:r>
          </w:p>
        </w:tc>
      </w:tr>
      <w:tr w:rsidR="00360421" w:rsidRPr="00450910" w14:paraId="29D63E30" w14:textId="77777777" w:rsidTr="00450910">
        <w:tc>
          <w:tcPr>
            <w:cnfStyle w:val="001000000000" w:firstRow="0" w:lastRow="0" w:firstColumn="1" w:lastColumn="0" w:oddVBand="0" w:evenVBand="0" w:oddHBand="0" w:evenHBand="0" w:firstRowFirstColumn="0" w:firstRowLastColumn="0" w:lastRowFirstColumn="0" w:lastRowLastColumn="0"/>
            <w:tcW w:w="883" w:type="dxa"/>
          </w:tcPr>
          <w:p w14:paraId="0731A997" w14:textId="77777777" w:rsidR="00360421" w:rsidRPr="00450910" w:rsidRDefault="00360421" w:rsidP="00450910">
            <w:pPr>
              <w:jc w:val="center"/>
              <w:rPr>
                <w:sz w:val="18"/>
                <w:szCs w:val="18"/>
              </w:rPr>
            </w:pPr>
            <w:proofErr w:type="spellStart"/>
            <w:r w:rsidRPr="00450910">
              <w:rPr>
                <w:sz w:val="18"/>
                <w:szCs w:val="18"/>
              </w:rPr>
              <w:t>P</w:t>
            </w:r>
            <w:r w:rsidRPr="00450910">
              <w:rPr>
                <w:sz w:val="18"/>
                <w:szCs w:val="18"/>
                <w:vertAlign w:val="subscript"/>
              </w:rPr>
              <w:t>j</w:t>
            </w:r>
            <w:proofErr w:type="spellEnd"/>
          </w:p>
        </w:tc>
        <w:tc>
          <w:tcPr>
            <w:tcW w:w="2631" w:type="dxa"/>
          </w:tcPr>
          <w:p w14:paraId="1743B1EB"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 xml:space="preserve">Parameter number j </w:t>
            </w:r>
            <w:r w:rsidRPr="00450910">
              <w:rPr>
                <w:rFonts w:ascii="Cambria Math" w:hAnsi="Cambria Math" w:cs="Cambria Math"/>
                <w:sz w:val="18"/>
                <w:szCs w:val="18"/>
              </w:rPr>
              <w:t>∈</w:t>
            </w:r>
            <w:r w:rsidRPr="00450910">
              <w:rPr>
                <w:sz w:val="18"/>
                <w:szCs w:val="18"/>
              </w:rPr>
              <w:t xml:space="preserve"> [1, p]</w:t>
            </w:r>
          </w:p>
        </w:tc>
        <w:tc>
          <w:tcPr>
            <w:tcW w:w="643" w:type="dxa"/>
          </w:tcPr>
          <w:p w14:paraId="1B0D305B"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p>
        </w:tc>
        <w:tc>
          <w:tcPr>
            <w:tcW w:w="4905" w:type="dxa"/>
            <w:vMerge/>
          </w:tcPr>
          <w:p w14:paraId="6404DE6F"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p>
        </w:tc>
      </w:tr>
      <w:bookmarkStart w:id="47" w:name="_Hlk119596277"/>
      <w:tr w:rsidR="00360421" w:rsidRPr="00450910" w14:paraId="01A22CE7" w14:textId="77777777" w:rsidTr="00450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1B1C8690" w14:textId="77777777" w:rsidR="00360421" w:rsidRPr="00450910" w:rsidRDefault="00955234" w:rsidP="00450910">
            <w:pPr>
              <w:jc w:val="center"/>
              <w:rPr>
                <w:sz w:val="18"/>
                <w:szCs w:val="18"/>
              </w:rPr>
            </w:pPr>
            <m:oMathPara>
              <m:oMath>
                <m:sSub>
                  <m:sSubPr>
                    <m:ctrlPr>
                      <w:rPr>
                        <w:rFonts w:ascii="Cambria Math" w:hAnsi="Cambria Math"/>
                        <w:sz w:val="18"/>
                        <w:szCs w:val="18"/>
                      </w:rPr>
                    </m:ctrlPr>
                  </m:sSubPr>
                  <m:e>
                    <m:r>
                      <m:rPr>
                        <m:sty m:val="b"/>
                      </m:rPr>
                      <w:rPr>
                        <w:rFonts w:ascii="Cambria Math" w:hAnsi="Cambria Math"/>
                        <w:sz w:val="18"/>
                        <w:szCs w:val="18"/>
                      </w:rPr>
                      <m:t>∆P</m:t>
                    </m:r>
                  </m:e>
                  <m:sub>
                    <m:r>
                      <m:rPr>
                        <m:sty m:val="bi"/>
                      </m:rPr>
                      <w:rPr>
                        <w:rFonts w:ascii="Cambria Math" w:hAnsi="Cambria Math"/>
                        <w:sz w:val="18"/>
                        <w:szCs w:val="18"/>
                      </w:rPr>
                      <m:t>j</m:t>
                    </m:r>
                  </m:sub>
                </m:sSub>
              </m:oMath>
            </m:oMathPara>
            <w:bookmarkEnd w:id="47"/>
          </w:p>
        </w:tc>
        <w:tc>
          <w:tcPr>
            <w:tcW w:w="2631" w:type="dxa"/>
          </w:tcPr>
          <w:p w14:paraId="306314F6"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r w:rsidRPr="00450910">
              <w:rPr>
                <w:sz w:val="18"/>
                <w:szCs w:val="18"/>
              </w:rPr>
              <w:t xml:space="preserve">Variation range of </w:t>
            </w:r>
            <w:proofErr w:type="spellStart"/>
            <w:r w:rsidRPr="00450910">
              <w:rPr>
                <w:sz w:val="18"/>
                <w:szCs w:val="18"/>
              </w:rPr>
              <w:t>P</w:t>
            </w:r>
            <w:r w:rsidRPr="00450910">
              <w:rPr>
                <w:sz w:val="18"/>
                <w:szCs w:val="18"/>
                <w:vertAlign w:val="subscript"/>
              </w:rPr>
              <w:t>j</w:t>
            </w:r>
            <w:proofErr w:type="spellEnd"/>
          </w:p>
        </w:tc>
        <w:tc>
          <w:tcPr>
            <w:tcW w:w="643" w:type="dxa"/>
          </w:tcPr>
          <w:p w14:paraId="6427E241"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p>
        </w:tc>
        <w:tc>
          <w:tcPr>
            <w:tcW w:w="4905" w:type="dxa"/>
            <w:vMerge/>
          </w:tcPr>
          <w:p w14:paraId="691FBCFD"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p>
        </w:tc>
      </w:tr>
      <w:tr w:rsidR="00360421" w:rsidRPr="00450910" w14:paraId="43EE7DB5" w14:textId="77777777" w:rsidTr="00450910">
        <w:tc>
          <w:tcPr>
            <w:cnfStyle w:val="001000000000" w:firstRow="0" w:lastRow="0" w:firstColumn="1" w:lastColumn="0" w:oddVBand="0" w:evenVBand="0" w:oddHBand="0" w:evenHBand="0" w:firstRowFirstColumn="0" w:firstRowLastColumn="0" w:lastRowFirstColumn="0" w:lastRowLastColumn="0"/>
            <w:tcW w:w="883" w:type="dxa"/>
          </w:tcPr>
          <w:p w14:paraId="45A1381D" w14:textId="77777777" w:rsidR="00360421" w:rsidRPr="00450910" w:rsidRDefault="00360421" w:rsidP="00450910">
            <w:pPr>
              <w:jc w:val="center"/>
              <w:rPr>
                <w:sz w:val="18"/>
                <w:szCs w:val="18"/>
              </w:rPr>
            </w:pPr>
            <w:r w:rsidRPr="00450910">
              <w:rPr>
                <w:sz w:val="18"/>
                <w:szCs w:val="18"/>
              </w:rPr>
              <w:t>N</w:t>
            </w:r>
          </w:p>
        </w:tc>
        <w:tc>
          <w:tcPr>
            <w:tcW w:w="2631" w:type="dxa"/>
          </w:tcPr>
          <w:p w14:paraId="54F29218"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Total number of simulations</w:t>
            </w:r>
          </w:p>
        </w:tc>
        <w:tc>
          <w:tcPr>
            <w:tcW w:w="643" w:type="dxa"/>
          </w:tcPr>
          <w:p w14:paraId="78DB74B0"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8820</w:t>
            </w:r>
          </w:p>
        </w:tc>
        <w:tc>
          <w:tcPr>
            <w:tcW w:w="4905" w:type="dxa"/>
          </w:tcPr>
          <w:p w14:paraId="16187934" w14:textId="6F692B29"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Defined with</w:t>
            </w:r>
            <w:r w:rsidR="00450910">
              <w:rPr>
                <w:sz w:val="18"/>
                <w:szCs w:val="18"/>
              </w:rPr>
              <w:t xml:space="preserve"> </w:t>
            </w:r>
            <w:r w:rsidR="00450910" w:rsidRPr="00450910">
              <w:rPr>
                <w:b/>
                <w:sz w:val="18"/>
                <w:szCs w:val="18"/>
              </w:rPr>
              <w:fldChar w:fldCharType="begin"/>
            </w:r>
            <w:r w:rsidR="00450910" w:rsidRPr="00450910">
              <w:rPr>
                <w:b/>
                <w:sz w:val="18"/>
                <w:szCs w:val="18"/>
              </w:rPr>
              <w:instrText xml:space="preserve"> REF _Ref151710821 \h  \* MERGEFORMAT </w:instrText>
            </w:r>
            <w:r w:rsidR="00450910" w:rsidRPr="00450910">
              <w:rPr>
                <w:b/>
                <w:sz w:val="18"/>
                <w:szCs w:val="18"/>
              </w:rPr>
            </w:r>
            <w:r w:rsidR="00450910" w:rsidRPr="00450910">
              <w:rPr>
                <w:b/>
                <w:sz w:val="18"/>
                <w:szCs w:val="18"/>
              </w:rPr>
              <w:fldChar w:fldCharType="separate"/>
            </w:r>
            <w:r w:rsidR="00450910" w:rsidRPr="00450910">
              <w:rPr>
                <w:b/>
                <w:sz w:val="18"/>
                <w:szCs w:val="18"/>
              </w:rPr>
              <w:t xml:space="preserve">Equation </w:t>
            </w:r>
            <w:r w:rsidR="00450910" w:rsidRPr="00450910">
              <w:rPr>
                <w:b/>
                <w:noProof/>
                <w:sz w:val="18"/>
                <w:szCs w:val="18"/>
              </w:rPr>
              <w:t>1</w:t>
            </w:r>
            <w:r w:rsidR="00450910" w:rsidRPr="00450910">
              <w:rPr>
                <w:b/>
                <w:sz w:val="18"/>
                <w:szCs w:val="18"/>
              </w:rPr>
              <w:fldChar w:fldCharType="end"/>
            </w:r>
          </w:p>
        </w:tc>
      </w:tr>
      <w:tr w:rsidR="00360421" w:rsidRPr="00450910" w14:paraId="2CD9DC1E" w14:textId="77777777" w:rsidTr="00450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2F595CFA" w14:textId="77777777" w:rsidR="00360421" w:rsidRPr="00450910" w:rsidRDefault="00360421" w:rsidP="00450910">
            <w:pPr>
              <w:jc w:val="center"/>
              <w:rPr>
                <w:sz w:val="18"/>
                <w:szCs w:val="18"/>
              </w:rPr>
            </w:pPr>
            <w:r w:rsidRPr="00450910">
              <w:rPr>
                <w:sz w:val="18"/>
                <w:szCs w:val="18"/>
              </w:rPr>
              <w:t>r</w:t>
            </w:r>
          </w:p>
        </w:tc>
        <w:tc>
          <w:tcPr>
            <w:tcW w:w="2631" w:type="dxa"/>
          </w:tcPr>
          <w:p w14:paraId="12509C98"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r w:rsidRPr="00450910">
              <w:rPr>
                <w:sz w:val="18"/>
                <w:szCs w:val="18"/>
              </w:rPr>
              <w:t>Number of trajectories</w:t>
            </w:r>
          </w:p>
        </w:tc>
        <w:tc>
          <w:tcPr>
            <w:tcW w:w="643" w:type="dxa"/>
          </w:tcPr>
          <w:p w14:paraId="3994286B"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r w:rsidRPr="00450910">
              <w:rPr>
                <w:sz w:val="18"/>
                <w:szCs w:val="18"/>
              </w:rPr>
              <w:t>30</w:t>
            </w:r>
          </w:p>
        </w:tc>
        <w:tc>
          <w:tcPr>
            <w:tcW w:w="4905" w:type="dxa"/>
          </w:tcPr>
          <w:p w14:paraId="03DF695E" w14:textId="744C00C0"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r w:rsidRPr="00450910">
              <w:rPr>
                <w:sz w:val="18"/>
                <w:szCs w:val="18"/>
              </w:rPr>
              <w:t>Morris indicators are averaged over r trajectories (which are series of p+1 sample starting from a randomly generated P</w:t>
            </w:r>
            <w:r w:rsidRPr="00450910">
              <w:rPr>
                <w:sz w:val="18"/>
                <w:szCs w:val="18"/>
                <w:vertAlign w:val="superscript"/>
              </w:rPr>
              <w:t>i</w:t>
            </w:r>
            <w:r w:rsidRPr="00450910">
              <w:rPr>
                <w:sz w:val="18"/>
                <w:szCs w:val="18"/>
              </w:rPr>
              <w:t>). 10 is commonly mentioned as enough</w:t>
            </w:r>
            <w:r w:rsidRPr="00450910">
              <w:rPr>
                <w:sz w:val="18"/>
                <w:szCs w:val="18"/>
              </w:rPr>
              <w:fldChar w:fldCharType="begin"/>
            </w:r>
            <w:r w:rsidR="00657D9A">
              <w:rPr>
                <w:sz w:val="18"/>
                <w:szCs w:val="18"/>
              </w:rPr>
              <w:instrText xml:space="preserve"> ADDIN ZOTERO_ITEM CSL_CITATION {"citationID":"tjVfXnC7","properties":{"formattedCitation":"\\super 29,36\\nosupersub{}","plainCitation":"29,36","noteIndex":0},"citationItems":[{"id":14062,"uris":["http://zotero.org/users/6423791/items/P973UU35"],"itemData":{"id":14062,"type":"article-journal","abstract":"This work illustrates available best practices to run a sensitivity analysis for ecological models. The properties of recommended methods and their ranges of application are illustrated by applying the sensitivity analysis techniques to two test cases. The ﬁrst one is a classic Lotka–Volterra model, while the second one is a study on a ﬁsh population dynamics. Both quantitative and qualitative approaches are applied and the differences between local and global techniques are highlighted by using the test cases.","container-title":"Ecological Modelling","DOI":"10.1016/j.ecolmodel.2005.10.045","ISSN":"03043800","issue":"1-2","journalAbbreviation":"Ecological Modelling","language":"en","page":"167-182","source":"DOI.org (Crossref)","title":"The role of sensitivity analysis in ecological modelling","volume":"203","author":[{"family":"Cariboni","given":"J."},{"family":"Gatelli","given":"D."},{"family":"Liska","given":"R."},{"family":"Saltelli","given":"A."}],"issued":{"date-parts":[["2007",4]]}}},{"id":14057,"uris":["http://zotero.org/users/6423791/items/Q964FFYM"],"itemData":{"id":14057,"type":"thesis","event-place":"Toulouse","language":"fr","number-of-pages":"356","publisher":"Université de Toulouse","publisher-place":"Toulouse","title":"Development of an integrated tool for Process Modelling and Life Cycle Assessment - Ecodesign of process plants and application to drinking water treatment","author":[{"family":"Méry","given":"Yoann"}],"issued":{"date-parts":[["2012"]]}}}],"schema":"https://github.com/citation-style-language/schema/raw/master/csl-citation.json"} </w:instrText>
            </w:r>
            <w:r w:rsidRPr="00450910">
              <w:rPr>
                <w:sz w:val="18"/>
                <w:szCs w:val="18"/>
              </w:rPr>
              <w:fldChar w:fldCharType="separate"/>
            </w:r>
            <w:r w:rsidR="00657D9A" w:rsidRPr="00657D9A">
              <w:rPr>
                <w:rFonts w:ascii="Calibri" w:hAnsi="Calibri" w:cs="Calibri"/>
                <w:sz w:val="18"/>
                <w:szCs w:val="24"/>
                <w:vertAlign w:val="superscript"/>
              </w:rPr>
              <w:t>29,36</w:t>
            </w:r>
            <w:r w:rsidRPr="00450910">
              <w:rPr>
                <w:sz w:val="18"/>
                <w:szCs w:val="18"/>
              </w:rPr>
              <w:fldChar w:fldCharType="end"/>
            </w:r>
            <w:r w:rsidRPr="00450910">
              <w:rPr>
                <w:sz w:val="18"/>
                <w:szCs w:val="18"/>
              </w:rPr>
              <w:t xml:space="preserve">, but here 30 to ensure coverage of input space with a granularity enough for </w:t>
            </w:r>
            <w:r w:rsidR="000B4BB9" w:rsidRPr="00450910">
              <w:rPr>
                <w:sz w:val="18"/>
                <w:szCs w:val="18"/>
              </w:rPr>
              <w:t>thresholds identification</w:t>
            </w:r>
            <w:r w:rsidRPr="00450910">
              <w:rPr>
                <w:sz w:val="18"/>
                <w:szCs w:val="18"/>
              </w:rPr>
              <w:t>.</w:t>
            </w:r>
          </w:p>
        </w:tc>
      </w:tr>
      <w:tr w:rsidR="00360421" w:rsidRPr="00450910" w14:paraId="5717EFB8" w14:textId="77777777" w:rsidTr="00450910">
        <w:tc>
          <w:tcPr>
            <w:cnfStyle w:val="001000000000" w:firstRow="0" w:lastRow="0" w:firstColumn="1" w:lastColumn="0" w:oddVBand="0" w:evenVBand="0" w:oddHBand="0" w:evenHBand="0" w:firstRowFirstColumn="0" w:firstRowLastColumn="0" w:lastRowFirstColumn="0" w:lastRowLastColumn="0"/>
            <w:tcW w:w="883" w:type="dxa"/>
          </w:tcPr>
          <w:p w14:paraId="3CDE41BE" w14:textId="77777777" w:rsidR="00360421" w:rsidRPr="00450910" w:rsidRDefault="00360421" w:rsidP="00450910">
            <w:pPr>
              <w:jc w:val="center"/>
              <w:rPr>
                <w:sz w:val="18"/>
                <w:szCs w:val="18"/>
              </w:rPr>
            </w:pPr>
            <w:r w:rsidRPr="00450910">
              <w:rPr>
                <w:sz w:val="18"/>
                <w:szCs w:val="18"/>
              </w:rPr>
              <w:t>P</w:t>
            </w:r>
            <w:r w:rsidRPr="00450910">
              <w:rPr>
                <w:sz w:val="18"/>
                <w:szCs w:val="18"/>
                <w:vertAlign w:val="superscript"/>
              </w:rPr>
              <w:t>i</w:t>
            </w:r>
          </w:p>
        </w:tc>
        <w:tc>
          <w:tcPr>
            <w:tcW w:w="2631" w:type="dxa"/>
          </w:tcPr>
          <w:p w14:paraId="358CDD82"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b/>
                <w:sz w:val="18"/>
                <w:szCs w:val="18"/>
              </w:rPr>
            </w:pPr>
            <w:r w:rsidRPr="00450910">
              <w:rPr>
                <w:sz w:val="18"/>
                <w:szCs w:val="18"/>
              </w:rPr>
              <w:t xml:space="preserve">Sampled set of inputs used for simulation </w:t>
            </w:r>
            <w:proofErr w:type="spellStart"/>
            <w:r w:rsidRPr="00450910">
              <w:rPr>
                <w:sz w:val="18"/>
                <w:szCs w:val="18"/>
              </w:rPr>
              <w:t>i</w:t>
            </w:r>
            <w:proofErr w:type="spellEnd"/>
            <w:r w:rsidRPr="00450910">
              <w:rPr>
                <w:sz w:val="18"/>
                <w:szCs w:val="18"/>
              </w:rPr>
              <w:t xml:space="preserve"> </w:t>
            </w:r>
            <w:r w:rsidRPr="00450910">
              <w:rPr>
                <w:rFonts w:ascii="Cambria Math" w:hAnsi="Cambria Math" w:cs="Cambria Math"/>
                <w:sz w:val="18"/>
                <w:szCs w:val="18"/>
              </w:rPr>
              <w:t>∈</w:t>
            </w:r>
            <w:r w:rsidRPr="00450910">
              <w:rPr>
                <w:sz w:val="18"/>
                <w:szCs w:val="18"/>
              </w:rPr>
              <w:t xml:space="preserve"> [1, p+1]</w:t>
            </w:r>
          </w:p>
        </w:tc>
        <w:tc>
          <w:tcPr>
            <w:tcW w:w="643" w:type="dxa"/>
          </w:tcPr>
          <w:p w14:paraId="781A82A4"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b/>
                <w:sz w:val="18"/>
                <w:szCs w:val="18"/>
              </w:rPr>
            </w:pPr>
          </w:p>
        </w:tc>
        <w:tc>
          <w:tcPr>
            <w:tcW w:w="4905" w:type="dxa"/>
          </w:tcPr>
          <w:p w14:paraId="2C12B32F"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 xml:space="preserve">Corresponds to one “point-value” in a given trajectory, </w:t>
            </w:r>
          </w:p>
          <w:p w14:paraId="6470D13D"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b/>
                <w:sz w:val="18"/>
                <w:szCs w:val="18"/>
              </w:rPr>
            </w:pPr>
            <w:proofErr w:type="spellStart"/>
            <w:r w:rsidRPr="00450910">
              <w:rPr>
                <w:sz w:val="18"/>
                <w:szCs w:val="18"/>
              </w:rPr>
              <w:t>P</w:t>
            </w:r>
            <w:r w:rsidRPr="00450910">
              <w:rPr>
                <w:sz w:val="18"/>
                <w:szCs w:val="18"/>
                <w:vertAlign w:val="subscript"/>
              </w:rPr>
              <w:t>j</w:t>
            </w:r>
            <w:r w:rsidRPr="00450910">
              <w:rPr>
                <w:sz w:val="18"/>
                <w:szCs w:val="18"/>
                <w:vertAlign w:val="superscript"/>
              </w:rPr>
              <w:t>i</w:t>
            </w:r>
            <w:proofErr w:type="spellEnd"/>
            <w:r w:rsidRPr="00450910">
              <w:rPr>
                <w:sz w:val="18"/>
                <w:szCs w:val="18"/>
              </w:rPr>
              <w:t xml:space="preserve">, j </w:t>
            </w:r>
            <w:r w:rsidRPr="00450910">
              <w:rPr>
                <w:rFonts w:ascii="Cambria Math" w:hAnsi="Cambria Math" w:cs="Cambria Math"/>
                <w:sz w:val="18"/>
                <w:szCs w:val="18"/>
              </w:rPr>
              <w:t>∈</w:t>
            </w:r>
            <w:r w:rsidRPr="00450910">
              <w:rPr>
                <w:sz w:val="18"/>
                <w:szCs w:val="18"/>
              </w:rPr>
              <w:t xml:space="preserve"> [1, p]</w:t>
            </w:r>
          </w:p>
        </w:tc>
      </w:tr>
      <w:tr w:rsidR="00360421" w:rsidRPr="00450910" w14:paraId="1A3EFB1D" w14:textId="77777777" w:rsidTr="00450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4C544886" w14:textId="77777777" w:rsidR="00360421" w:rsidRPr="00450910" w:rsidRDefault="00360421" w:rsidP="00450910">
            <w:pPr>
              <w:jc w:val="center"/>
              <w:rPr>
                <w:sz w:val="18"/>
                <w:szCs w:val="18"/>
              </w:rPr>
            </w:pPr>
            <w:r w:rsidRPr="00450910">
              <w:rPr>
                <w:sz w:val="18"/>
                <w:szCs w:val="18"/>
              </w:rPr>
              <w:t>V</w:t>
            </w:r>
            <w:r w:rsidRPr="00450910">
              <w:rPr>
                <w:sz w:val="18"/>
                <w:szCs w:val="18"/>
                <w:vertAlign w:val="superscript"/>
              </w:rPr>
              <w:t>i</w:t>
            </w:r>
          </w:p>
        </w:tc>
        <w:tc>
          <w:tcPr>
            <w:tcW w:w="2631" w:type="dxa"/>
          </w:tcPr>
          <w:p w14:paraId="586F1EFC"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b/>
                <w:sz w:val="18"/>
                <w:szCs w:val="18"/>
              </w:rPr>
            </w:pPr>
            <w:r w:rsidRPr="00450910">
              <w:rPr>
                <w:sz w:val="18"/>
                <w:szCs w:val="18"/>
              </w:rPr>
              <w:t xml:space="preserve">Calculated results for simulation </w:t>
            </w:r>
            <w:proofErr w:type="spellStart"/>
            <w:r w:rsidRPr="00450910">
              <w:rPr>
                <w:sz w:val="18"/>
                <w:szCs w:val="18"/>
              </w:rPr>
              <w:t>i</w:t>
            </w:r>
            <w:proofErr w:type="spellEnd"/>
            <w:r w:rsidRPr="00450910">
              <w:rPr>
                <w:sz w:val="18"/>
                <w:szCs w:val="18"/>
              </w:rPr>
              <w:t xml:space="preserve"> </w:t>
            </w:r>
            <w:r w:rsidRPr="00450910">
              <w:rPr>
                <w:rFonts w:ascii="Cambria Math" w:hAnsi="Cambria Math" w:cs="Cambria Math"/>
                <w:sz w:val="18"/>
                <w:szCs w:val="18"/>
              </w:rPr>
              <w:t>∈</w:t>
            </w:r>
            <w:r w:rsidRPr="00450910">
              <w:rPr>
                <w:sz w:val="18"/>
                <w:szCs w:val="18"/>
              </w:rPr>
              <w:t xml:space="preserve"> [1, p+1] in a trajectory</w:t>
            </w:r>
          </w:p>
        </w:tc>
        <w:tc>
          <w:tcPr>
            <w:tcW w:w="643" w:type="dxa"/>
          </w:tcPr>
          <w:p w14:paraId="3A048F60"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b/>
                <w:sz w:val="18"/>
                <w:szCs w:val="18"/>
              </w:rPr>
            </w:pPr>
          </w:p>
        </w:tc>
        <w:tc>
          <w:tcPr>
            <w:tcW w:w="4905" w:type="dxa"/>
          </w:tcPr>
          <w:p w14:paraId="5BFD29F1"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r w:rsidRPr="00450910">
              <w:rPr>
                <w:sz w:val="18"/>
                <w:szCs w:val="18"/>
              </w:rPr>
              <w:t>Here, LCA results for the 27 pathways assessed on the five impact categories studied</w:t>
            </w:r>
          </w:p>
        </w:tc>
      </w:tr>
      <w:tr w:rsidR="00360421" w:rsidRPr="00450910" w14:paraId="656CFF1D" w14:textId="77777777" w:rsidTr="00450910">
        <w:tc>
          <w:tcPr>
            <w:cnfStyle w:val="001000000000" w:firstRow="0" w:lastRow="0" w:firstColumn="1" w:lastColumn="0" w:oddVBand="0" w:evenVBand="0" w:oddHBand="0" w:evenHBand="0" w:firstRowFirstColumn="0" w:firstRowLastColumn="0" w:lastRowFirstColumn="0" w:lastRowLastColumn="0"/>
            <w:tcW w:w="883" w:type="dxa"/>
          </w:tcPr>
          <w:p w14:paraId="7D3444F9" w14:textId="77777777" w:rsidR="00360421" w:rsidRPr="00450910" w:rsidRDefault="00360421" w:rsidP="00450910">
            <w:pPr>
              <w:jc w:val="center"/>
              <w:rPr>
                <w:sz w:val="18"/>
                <w:szCs w:val="18"/>
              </w:rPr>
            </w:pPr>
            <w:r w:rsidRPr="00450910">
              <w:rPr>
                <w:sz w:val="18"/>
                <w:szCs w:val="18"/>
              </w:rPr>
              <w:t>f</w:t>
            </w:r>
          </w:p>
        </w:tc>
        <w:tc>
          <w:tcPr>
            <w:tcW w:w="2631" w:type="dxa"/>
          </w:tcPr>
          <w:p w14:paraId="5947028F"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Studied system</w:t>
            </w:r>
          </w:p>
        </w:tc>
        <w:tc>
          <w:tcPr>
            <w:tcW w:w="643" w:type="dxa"/>
          </w:tcPr>
          <w:p w14:paraId="143A1CC4"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p>
        </w:tc>
        <w:tc>
          <w:tcPr>
            <w:tcW w:w="4905" w:type="dxa"/>
          </w:tcPr>
          <w:p w14:paraId="146E4580" w14:textId="4719F470"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 xml:space="preserve">Deterministic relation </w:t>
            </w:r>
            <m:oMath>
              <m:sSup>
                <m:sSupPr>
                  <m:ctrlPr>
                    <w:rPr>
                      <w:rFonts w:ascii="Cambria Math" w:hAnsi="Cambria Math"/>
                      <w:i/>
                      <w:sz w:val="18"/>
                      <w:szCs w:val="18"/>
                    </w:rPr>
                  </m:ctrlPr>
                </m:sSupPr>
                <m:e>
                  <m:r>
                    <w:rPr>
                      <w:rFonts w:ascii="Cambria Math" w:hAnsi="Cambria Math"/>
                      <w:sz w:val="18"/>
                      <w:szCs w:val="18"/>
                    </w:rPr>
                    <m:t>V</m:t>
                  </m:r>
                </m:e>
                <m:sup>
                  <m:r>
                    <w:rPr>
                      <w:rFonts w:ascii="Cambria Math" w:hAnsi="Cambria Math"/>
                      <w:sz w:val="18"/>
                      <w:szCs w:val="18"/>
                    </w:rPr>
                    <m:t>i</m:t>
                  </m:r>
                </m:sup>
              </m:sSup>
              <m:r>
                <w:rPr>
                  <w:rFonts w:ascii="Cambria Math" w:hAnsi="Cambria Math"/>
                  <w:sz w:val="18"/>
                  <w:szCs w:val="18"/>
                </w:rPr>
                <m:t>=f</m:t>
              </m:r>
              <m:d>
                <m:dPr>
                  <m:ctrlPr>
                    <w:rPr>
                      <w:rFonts w:ascii="Cambria Math" w:hAnsi="Cambria Math"/>
                      <w:i/>
                      <w:sz w:val="18"/>
                      <w:szCs w:val="18"/>
                    </w:rPr>
                  </m:ctrlPr>
                </m:dPr>
                <m:e>
                  <m:sSup>
                    <m:sSupPr>
                      <m:ctrlPr>
                        <w:rPr>
                          <w:rFonts w:ascii="Cambria Math" w:hAnsi="Cambria Math"/>
                          <w:i/>
                          <w:sz w:val="18"/>
                          <w:szCs w:val="18"/>
                        </w:rPr>
                      </m:ctrlPr>
                    </m:sSupPr>
                    <m:e>
                      <m:r>
                        <w:rPr>
                          <w:rFonts w:ascii="Cambria Math" w:hAnsi="Cambria Math"/>
                          <w:sz w:val="18"/>
                          <w:szCs w:val="18"/>
                        </w:rPr>
                        <m:t>P</m:t>
                      </m:r>
                    </m:e>
                    <m:sup>
                      <m:r>
                        <w:rPr>
                          <w:rFonts w:ascii="Cambria Math" w:hAnsi="Cambria Math"/>
                          <w:sz w:val="18"/>
                          <w:szCs w:val="18"/>
                        </w:rPr>
                        <m:t>i</m:t>
                      </m:r>
                    </m:sup>
                  </m:sSup>
                </m:e>
              </m:d>
            </m:oMath>
            <w:r w:rsidRPr="00450910">
              <w:rPr>
                <w:sz w:val="18"/>
                <w:szCs w:val="18"/>
              </w:rPr>
              <w:t>, LCA model</w:t>
            </w:r>
          </w:p>
        </w:tc>
      </w:tr>
      <w:tr w:rsidR="00360421" w:rsidRPr="00450910" w14:paraId="364AD54C" w14:textId="77777777" w:rsidTr="00450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2183DD8B" w14:textId="77777777" w:rsidR="00360421" w:rsidRPr="00450910" w:rsidRDefault="00360421" w:rsidP="00450910">
            <w:pPr>
              <w:jc w:val="center"/>
              <w:rPr>
                <w:sz w:val="18"/>
                <w:szCs w:val="18"/>
              </w:rPr>
            </w:pPr>
            <w:proofErr w:type="spellStart"/>
            <w:r w:rsidRPr="00450910">
              <w:rPr>
                <w:sz w:val="18"/>
                <w:szCs w:val="18"/>
              </w:rPr>
              <w:t>nP</w:t>
            </w:r>
            <w:r w:rsidRPr="00450910">
              <w:rPr>
                <w:sz w:val="18"/>
                <w:szCs w:val="18"/>
                <w:vertAlign w:val="superscript"/>
              </w:rPr>
              <w:t>i</w:t>
            </w:r>
            <w:proofErr w:type="spellEnd"/>
          </w:p>
        </w:tc>
        <w:tc>
          <w:tcPr>
            <w:tcW w:w="2631" w:type="dxa"/>
          </w:tcPr>
          <w:p w14:paraId="5AD6E773"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r w:rsidRPr="00450910">
              <w:rPr>
                <w:sz w:val="18"/>
                <w:szCs w:val="18"/>
              </w:rPr>
              <w:t xml:space="preserve">Normalized input for simulation </w:t>
            </w:r>
            <w:proofErr w:type="spellStart"/>
            <w:r w:rsidRPr="00450910">
              <w:rPr>
                <w:sz w:val="18"/>
                <w:szCs w:val="18"/>
              </w:rPr>
              <w:t>i</w:t>
            </w:r>
            <w:proofErr w:type="spellEnd"/>
            <w:r w:rsidRPr="00450910">
              <w:rPr>
                <w:sz w:val="18"/>
                <w:szCs w:val="18"/>
              </w:rPr>
              <w:t xml:space="preserve"> </w:t>
            </w:r>
            <w:r w:rsidRPr="00450910">
              <w:rPr>
                <w:rFonts w:ascii="Cambria Math" w:hAnsi="Cambria Math" w:cs="Cambria Math"/>
                <w:sz w:val="18"/>
                <w:szCs w:val="18"/>
              </w:rPr>
              <w:t>∈</w:t>
            </w:r>
            <w:r w:rsidRPr="00450910">
              <w:rPr>
                <w:sz w:val="18"/>
                <w:szCs w:val="18"/>
              </w:rPr>
              <w:t xml:space="preserve"> [1, p+1] in a trajectory</w:t>
            </w:r>
          </w:p>
        </w:tc>
        <w:tc>
          <w:tcPr>
            <w:tcW w:w="643" w:type="dxa"/>
          </w:tcPr>
          <w:p w14:paraId="017A0B56"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p>
        </w:tc>
        <w:tc>
          <w:tcPr>
            <w:tcW w:w="4905" w:type="dxa"/>
          </w:tcPr>
          <w:p w14:paraId="42118C94"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proofErr w:type="spellStart"/>
            <w:r w:rsidRPr="00450910">
              <w:rPr>
                <w:sz w:val="18"/>
                <w:szCs w:val="18"/>
              </w:rPr>
              <w:t>nP</w:t>
            </w:r>
            <w:r w:rsidRPr="00450910">
              <w:rPr>
                <w:sz w:val="18"/>
                <w:szCs w:val="18"/>
                <w:vertAlign w:val="subscript"/>
              </w:rPr>
              <w:t>j</w:t>
            </w:r>
            <w:r w:rsidRPr="00450910">
              <w:rPr>
                <w:sz w:val="18"/>
                <w:szCs w:val="18"/>
                <w:vertAlign w:val="superscript"/>
              </w:rPr>
              <w:t>i</w:t>
            </w:r>
            <w:proofErr w:type="spellEnd"/>
            <w:r w:rsidRPr="00450910">
              <w:rPr>
                <w:sz w:val="18"/>
                <w:szCs w:val="18"/>
              </w:rPr>
              <w:t xml:space="preserve"> </w:t>
            </w:r>
            <w:r w:rsidRPr="00450910">
              <w:rPr>
                <w:rFonts w:ascii="Cambria Math" w:hAnsi="Cambria Math" w:cs="Cambria Math"/>
                <w:sz w:val="18"/>
                <w:szCs w:val="18"/>
              </w:rPr>
              <w:t>∈</w:t>
            </w:r>
            <w:r w:rsidRPr="00450910">
              <w:rPr>
                <w:sz w:val="18"/>
                <w:szCs w:val="18"/>
              </w:rPr>
              <w:t xml:space="preserve"> [0, 1], j </w:t>
            </w:r>
            <w:r w:rsidRPr="00450910">
              <w:rPr>
                <w:rFonts w:ascii="Cambria Math" w:hAnsi="Cambria Math" w:cs="Cambria Math"/>
                <w:sz w:val="18"/>
                <w:szCs w:val="18"/>
              </w:rPr>
              <w:t>∈</w:t>
            </w:r>
            <w:r w:rsidRPr="00450910">
              <w:rPr>
                <w:sz w:val="18"/>
                <w:szCs w:val="18"/>
              </w:rPr>
              <w:t xml:space="preserve"> [1, p]</w:t>
            </w:r>
          </w:p>
        </w:tc>
      </w:tr>
      <w:tr w:rsidR="00360421" w:rsidRPr="00450910" w14:paraId="0E4BB5B9" w14:textId="77777777" w:rsidTr="00450910">
        <w:tc>
          <w:tcPr>
            <w:cnfStyle w:val="001000000000" w:firstRow="0" w:lastRow="0" w:firstColumn="1" w:lastColumn="0" w:oddVBand="0" w:evenVBand="0" w:oddHBand="0" w:evenHBand="0" w:firstRowFirstColumn="0" w:firstRowLastColumn="0" w:lastRowFirstColumn="0" w:lastRowLastColumn="0"/>
            <w:tcW w:w="883" w:type="dxa"/>
          </w:tcPr>
          <w:p w14:paraId="6FE58725" w14:textId="77777777" w:rsidR="00360421" w:rsidRPr="00450910" w:rsidRDefault="00360421" w:rsidP="00450910">
            <w:pPr>
              <w:jc w:val="center"/>
              <w:rPr>
                <w:sz w:val="18"/>
                <w:szCs w:val="18"/>
              </w:rPr>
            </w:pPr>
            <w:r w:rsidRPr="00450910">
              <w:rPr>
                <w:sz w:val="18"/>
                <w:szCs w:val="18"/>
              </w:rPr>
              <w:t>L</w:t>
            </w:r>
          </w:p>
        </w:tc>
        <w:tc>
          <w:tcPr>
            <w:tcW w:w="2631" w:type="dxa"/>
          </w:tcPr>
          <w:p w14:paraId="537E7BAB"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Discretization level</w:t>
            </w:r>
          </w:p>
        </w:tc>
        <w:tc>
          <w:tcPr>
            <w:tcW w:w="643" w:type="dxa"/>
          </w:tcPr>
          <w:p w14:paraId="365B383F"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6</w:t>
            </w:r>
          </w:p>
        </w:tc>
        <w:tc>
          <w:tcPr>
            <w:tcW w:w="4905" w:type="dxa"/>
          </w:tcPr>
          <w:p w14:paraId="64899CA8" w14:textId="5FD7625C"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 xml:space="preserve">Sets the discretization granularity of </w:t>
            </w:r>
            <m:oMath>
              <m:sSub>
                <m:sSubPr>
                  <m:ctrlPr>
                    <w:rPr>
                      <w:rFonts w:ascii="Cambria Math" w:hAnsi="Cambria Math"/>
                      <w:sz w:val="18"/>
                      <w:szCs w:val="18"/>
                    </w:rPr>
                  </m:ctrlPr>
                </m:sSubPr>
                <m:e>
                  <m:r>
                    <m:rPr>
                      <m:sty m:val="p"/>
                    </m:rPr>
                    <w:rPr>
                      <w:rFonts w:ascii="Cambria Math" w:hAnsi="Cambria Math"/>
                      <w:sz w:val="18"/>
                      <w:szCs w:val="18"/>
                    </w:rPr>
                    <m:t>∆P</m:t>
                  </m:r>
                </m:e>
                <m:sub>
                  <m:r>
                    <w:rPr>
                      <w:rFonts w:ascii="Cambria Math" w:hAnsi="Cambria Math"/>
                      <w:sz w:val="18"/>
                      <w:szCs w:val="18"/>
                    </w:rPr>
                    <m:t>j</m:t>
                  </m:r>
                </m:sub>
              </m:sSub>
            </m:oMath>
            <w:r w:rsidRPr="00450910">
              <w:rPr>
                <w:rFonts w:eastAsiaTheme="minorEastAsia"/>
                <w:sz w:val="18"/>
                <w:szCs w:val="18"/>
              </w:rPr>
              <w:t xml:space="preserve"> (fixes L input values uniformly covering the whole variation range). 4 to 6 commonly used by practitioners</w:t>
            </w:r>
            <w:r w:rsidRPr="00450910">
              <w:rPr>
                <w:rFonts w:eastAsiaTheme="minorEastAsia"/>
                <w:sz w:val="18"/>
                <w:szCs w:val="18"/>
              </w:rPr>
              <w:fldChar w:fldCharType="begin"/>
            </w:r>
            <w:r w:rsidR="00657D9A">
              <w:rPr>
                <w:rFonts w:eastAsiaTheme="minorEastAsia"/>
                <w:sz w:val="18"/>
                <w:szCs w:val="18"/>
              </w:rPr>
              <w:instrText xml:space="preserve"> ADDIN ZOTERO_ITEM CSL_CITATION {"citationID":"11eiVkom","properties":{"formattedCitation":"\\super 29,37\\nosupersub{}","plainCitation":"29,37","noteIndex":0},"citationItems":[{"id":14059,"uris":["http://zotero.org/users/6423791/items/Z69Y96WW"],"itemData":{"id":14059,"type":"thesis","language":"fr","number-of-pages":"198","publisher":"Université Bretagne Loire","title":"Étude de modèles d’évaluation environnementale à travers l’identification de paramètres d’interactions","author":[{"family":"Awad","given":"Majdi"}],"issued":{"date-parts":[["2021"]]}}},{"id":14062,"uris":["http://zotero.org/users/6423791/items/P973UU35"],"itemData":{"id":14062,"type":"article-journal","abstract":"This work illustrates available best practices to run a sensitivity analysis for ecological models. The properties of recommended methods and their ranges of application are illustrated by applying the sensitivity analysis techniques to two test cases. The ﬁrst one is a classic Lotka–Volterra model, while the second one is a study on a ﬁsh population dynamics. Both quantitative and qualitative approaches are applied and the differences between local and global techniques are highlighted by using the test cases.","container-title":"Ecological Modelling","DOI":"10.1016/j.ecolmodel.2005.10.045","ISSN":"03043800","issue":"1-2","journalAbbreviation":"Ecological Modelling","language":"en","page":"167-182","source":"DOI.org (Crossref)","title":"The role of sensitivity analysis in ecological modelling","volume":"203","author":[{"family":"Cariboni","given":"J."},{"family":"Gatelli","given":"D."},{"family":"Liska","given":"R."},{"family":"Saltelli","given":"A."}],"issued":{"date-parts":[["2007",4]]}}}],"schema":"https://github.com/citation-style-language/schema/raw/master/csl-citation.json"} </w:instrText>
            </w:r>
            <w:r w:rsidRPr="00450910">
              <w:rPr>
                <w:rFonts w:eastAsiaTheme="minorEastAsia"/>
                <w:sz w:val="18"/>
                <w:szCs w:val="18"/>
              </w:rPr>
              <w:fldChar w:fldCharType="separate"/>
            </w:r>
            <w:r w:rsidR="00657D9A" w:rsidRPr="00657D9A">
              <w:rPr>
                <w:rFonts w:ascii="Calibri" w:hAnsi="Calibri" w:cs="Calibri"/>
                <w:sz w:val="18"/>
                <w:szCs w:val="24"/>
                <w:vertAlign w:val="superscript"/>
              </w:rPr>
              <w:t>29,37</w:t>
            </w:r>
            <w:r w:rsidRPr="00450910">
              <w:rPr>
                <w:rFonts w:eastAsiaTheme="minorEastAsia"/>
                <w:sz w:val="18"/>
                <w:szCs w:val="18"/>
              </w:rPr>
              <w:fldChar w:fldCharType="end"/>
            </w:r>
            <w:r w:rsidRPr="00450910">
              <w:rPr>
                <w:rFonts w:eastAsiaTheme="minorEastAsia"/>
                <w:sz w:val="18"/>
                <w:szCs w:val="18"/>
              </w:rPr>
              <w:t>. Fixed.</w:t>
            </w:r>
          </w:p>
        </w:tc>
      </w:tr>
      <w:tr w:rsidR="00360421" w:rsidRPr="00450910" w14:paraId="228C3FE7" w14:textId="77777777" w:rsidTr="00450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098721C6" w14:textId="77777777" w:rsidR="00360421" w:rsidRPr="00450910" w:rsidRDefault="00360421" w:rsidP="00450910">
            <w:pPr>
              <w:jc w:val="center"/>
              <w:rPr>
                <w:sz w:val="18"/>
                <w:szCs w:val="18"/>
              </w:rPr>
            </w:pPr>
            <w:r w:rsidRPr="00450910">
              <w:rPr>
                <w:sz w:val="18"/>
                <w:szCs w:val="18"/>
              </w:rPr>
              <w:t>δ</w:t>
            </w:r>
          </w:p>
        </w:tc>
        <w:tc>
          <w:tcPr>
            <w:tcW w:w="2631" w:type="dxa"/>
          </w:tcPr>
          <w:p w14:paraId="202758D0"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r w:rsidRPr="00450910">
              <w:rPr>
                <w:sz w:val="18"/>
                <w:szCs w:val="18"/>
              </w:rPr>
              <w:t>Length of discretized sub-intervals</w:t>
            </w:r>
          </w:p>
        </w:tc>
        <w:tc>
          <w:tcPr>
            <w:tcW w:w="643" w:type="dxa"/>
          </w:tcPr>
          <w:p w14:paraId="2086D9AA"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r w:rsidRPr="00450910">
              <w:rPr>
                <w:sz w:val="18"/>
                <w:szCs w:val="18"/>
              </w:rPr>
              <w:t>20%</w:t>
            </w:r>
          </w:p>
        </w:tc>
        <w:tc>
          <w:tcPr>
            <w:tcW w:w="4905" w:type="dxa"/>
          </w:tcPr>
          <w:p w14:paraId="705907C7" w14:textId="77B650ED"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r w:rsidRPr="00450910">
              <w:rPr>
                <w:sz w:val="18"/>
                <w:szCs w:val="18"/>
              </w:rPr>
              <w:t>Gap between two discretization levels in the [0, 1] interval. Defined with</w:t>
            </w:r>
            <w:r w:rsidR="00450910">
              <w:rPr>
                <w:sz w:val="18"/>
                <w:szCs w:val="18"/>
              </w:rPr>
              <w:t xml:space="preserve"> </w:t>
            </w:r>
            <w:r w:rsidR="00450910" w:rsidRPr="00450910">
              <w:rPr>
                <w:b/>
                <w:sz w:val="18"/>
                <w:szCs w:val="18"/>
              </w:rPr>
              <w:fldChar w:fldCharType="begin"/>
            </w:r>
            <w:r w:rsidR="00450910" w:rsidRPr="00450910">
              <w:rPr>
                <w:b/>
                <w:sz w:val="18"/>
                <w:szCs w:val="18"/>
              </w:rPr>
              <w:instrText xml:space="preserve"> REF _Ref151711023 \h  \* MERGEFORMAT </w:instrText>
            </w:r>
            <w:r w:rsidR="00450910" w:rsidRPr="00450910">
              <w:rPr>
                <w:b/>
                <w:sz w:val="18"/>
                <w:szCs w:val="18"/>
              </w:rPr>
            </w:r>
            <w:r w:rsidR="00450910" w:rsidRPr="00450910">
              <w:rPr>
                <w:b/>
                <w:sz w:val="18"/>
                <w:szCs w:val="18"/>
              </w:rPr>
              <w:fldChar w:fldCharType="separate"/>
            </w:r>
            <w:r w:rsidR="00450910" w:rsidRPr="00450910">
              <w:rPr>
                <w:b/>
                <w:sz w:val="18"/>
                <w:szCs w:val="18"/>
              </w:rPr>
              <w:t xml:space="preserve">Equation </w:t>
            </w:r>
            <w:r w:rsidR="00450910" w:rsidRPr="00450910">
              <w:rPr>
                <w:b/>
                <w:noProof/>
                <w:sz w:val="18"/>
                <w:szCs w:val="18"/>
              </w:rPr>
              <w:t>2</w:t>
            </w:r>
            <w:r w:rsidR="00450910" w:rsidRPr="00450910">
              <w:rPr>
                <w:b/>
                <w:sz w:val="18"/>
                <w:szCs w:val="18"/>
              </w:rPr>
              <w:fldChar w:fldCharType="end"/>
            </w:r>
            <w:r w:rsidRPr="00450910">
              <w:rPr>
                <w:sz w:val="18"/>
                <w:szCs w:val="18"/>
              </w:rPr>
              <w:t>.</w:t>
            </w:r>
          </w:p>
        </w:tc>
      </w:tr>
      <w:tr w:rsidR="00360421" w:rsidRPr="00450910" w14:paraId="600D5F51" w14:textId="77777777" w:rsidTr="00450910">
        <w:tc>
          <w:tcPr>
            <w:cnfStyle w:val="001000000000" w:firstRow="0" w:lastRow="0" w:firstColumn="1" w:lastColumn="0" w:oddVBand="0" w:evenVBand="0" w:oddHBand="0" w:evenHBand="0" w:firstRowFirstColumn="0" w:firstRowLastColumn="0" w:lastRowFirstColumn="0" w:lastRowLastColumn="0"/>
            <w:tcW w:w="883" w:type="dxa"/>
          </w:tcPr>
          <w:p w14:paraId="797C35E4" w14:textId="77777777" w:rsidR="00360421" w:rsidRPr="00450910" w:rsidRDefault="00360421" w:rsidP="00450910">
            <w:pPr>
              <w:jc w:val="center"/>
              <w:rPr>
                <w:sz w:val="18"/>
                <w:szCs w:val="18"/>
              </w:rPr>
            </w:pPr>
            <w:proofErr w:type="spellStart"/>
            <w:r w:rsidRPr="00450910">
              <w:rPr>
                <w:sz w:val="18"/>
                <w:szCs w:val="18"/>
              </w:rPr>
              <w:t>dnP</w:t>
            </w:r>
            <w:proofErr w:type="spellEnd"/>
          </w:p>
        </w:tc>
        <w:tc>
          <w:tcPr>
            <w:tcW w:w="2631" w:type="dxa"/>
          </w:tcPr>
          <w:p w14:paraId="2D2C55C7"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Elementary perturbation</w:t>
            </w:r>
          </w:p>
        </w:tc>
        <w:tc>
          <w:tcPr>
            <w:tcW w:w="643" w:type="dxa"/>
          </w:tcPr>
          <w:p w14:paraId="18E38724"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60%</w:t>
            </w:r>
          </w:p>
        </w:tc>
        <w:tc>
          <w:tcPr>
            <w:tcW w:w="4905" w:type="dxa"/>
          </w:tcPr>
          <w:p w14:paraId="6BC42D5E" w14:textId="6F8901D4"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Fixed jump in the normalized grid performed between each simulation, recommended to be around 50%</w:t>
            </w:r>
            <w:r w:rsidRPr="00450910">
              <w:rPr>
                <w:sz w:val="18"/>
                <w:szCs w:val="18"/>
              </w:rPr>
              <w:fldChar w:fldCharType="begin"/>
            </w:r>
            <w:r w:rsidR="00657D9A">
              <w:rPr>
                <w:sz w:val="18"/>
                <w:szCs w:val="18"/>
              </w:rPr>
              <w:instrText xml:space="preserve"> ADDIN ZOTERO_ITEM CSL_CITATION {"citationID":"GcQJcoSg","properties":{"formattedCitation":"\\super 36\\nosupersub{}","plainCitation":"36","noteIndex":0},"citationItems":[{"id":14057,"uris":["http://zotero.org/users/6423791/items/Q964FFYM"],"itemData":{"id":14057,"type":"thesis","event-place":"Toulouse","language":"fr","number-of-pages":"356","publisher":"Université de Toulouse","publisher-place":"Toulouse","title":"Development of an integrated tool for Process Modelling and Life Cycle Assessment - Ecodesign of process plants and application to drinking water treatment","author":[{"family":"Méry","given":"Yoann"}],"issued":{"date-parts":[["2012"]]}}}],"schema":"https://github.com/citation-style-language/schema/raw/master/csl-citation.json"} </w:instrText>
            </w:r>
            <w:r w:rsidRPr="00450910">
              <w:rPr>
                <w:sz w:val="18"/>
                <w:szCs w:val="18"/>
              </w:rPr>
              <w:fldChar w:fldCharType="separate"/>
            </w:r>
            <w:r w:rsidR="00657D9A" w:rsidRPr="00657D9A">
              <w:rPr>
                <w:rFonts w:ascii="Calibri" w:hAnsi="Calibri" w:cs="Calibri"/>
                <w:sz w:val="18"/>
                <w:szCs w:val="24"/>
                <w:vertAlign w:val="superscript"/>
              </w:rPr>
              <w:t>36</w:t>
            </w:r>
            <w:r w:rsidRPr="00450910">
              <w:rPr>
                <w:sz w:val="18"/>
                <w:szCs w:val="18"/>
              </w:rPr>
              <w:fldChar w:fldCharType="end"/>
            </w:r>
            <w:r w:rsidRPr="00450910">
              <w:rPr>
                <w:sz w:val="18"/>
                <w:szCs w:val="18"/>
              </w:rPr>
              <w:t xml:space="preserve"> (</w:t>
            </w:r>
            <w:r w:rsidR="00450910" w:rsidRPr="00450910">
              <w:rPr>
                <w:b/>
                <w:sz w:val="18"/>
                <w:szCs w:val="18"/>
              </w:rPr>
              <w:fldChar w:fldCharType="begin"/>
            </w:r>
            <w:r w:rsidR="00450910" w:rsidRPr="00450910">
              <w:rPr>
                <w:b/>
                <w:sz w:val="18"/>
                <w:szCs w:val="18"/>
              </w:rPr>
              <w:instrText xml:space="preserve"> REF _Ref151711023 \h  \* MERGEFORMAT </w:instrText>
            </w:r>
            <w:r w:rsidR="00450910" w:rsidRPr="00450910">
              <w:rPr>
                <w:b/>
                <w:sz w:val="18"/>
                <w:szCs w:val="18"/>
              </w:rPr>
            </w:r>
            <w:r w:rsidR="00450910" w:rsidRPr="00450910">
              <w:rPr>
                <w:b/>
                <w:sz w:val="18"/>
                <w:szCs w:val="18"/>
              </w:rPr>
              <w:fldChar w:fldCharType="separate"/>
            </w:r>
            <w:r w:rsidR="00450910" w:rsidRPr="00450910">
              <w:rPr>
                <w:b/>
                <w:sz w:val="18"/>
                <w:szCs w:val="18"/>
              </w:rPr>
              <w:t xml:space="preserve">Equation </w:t>
            </w:r>
            <w:r w:rsidR="00450910" w:rsidRPr="00450910">
              <w:rPr>
                <w:b/>
                <w:noProof/>
                <w:sz w:val="18"/>
                <w:szCs w:val="18"/>
              </w:rPr>
              <w:t>2</w:t>
            </w:r>
            <w:r w:rsidR="00450910" w:rsidRPr="00450910">
              <w:rPr>
                <w:b/>
                <w:sz w:val="18"/>
                <w:szCs w:val="18"/>
              </w:rPr>
              <w:fldChar w:fldCharType="end"/>
            </w:r>
            <w:r w:rsidRPr="00450910">
              <w:rPr>
                <w:sz w:val="18"/>
                <w:szCs w:val="18"/>
              </w:rPr>
              <w:t>).</w:t>
            </w:r>
          </w:p>
        </w:tc>
      </w:tr>
      <w:tr w:rsidR="00360421" w:rsidRPr="00450910" w14:paraId="31E30CB8" w14:textId="77777777" w:rsidTr="00450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7C0E7D1D" w14:textId="77777777" w:rsidR="00360421" w:rsidRPr="00450910" w:rsidRDefault="00360421" w:rsidP="00450910">
            <w:pPr>
              <w:jc w:val="center"/>
              <w:rPr>
                <w:sz w:val="18"/>
                <w:szCs w:val="18"/>
              </w:rPr>
            </w:pPr>
            <w:proofErr w:type="spellStart"/>
            <w:r w:rsidRPr="00450910">
              <w:rPr>
                <w:sz w:val="18"/>
                <w:szCs w:val="18"/>
              </w:rPr>
              <w:t>dP</w:t>
            </w:r>
            <w:r w:rsidRPr="00450910">
              <w:rPr>
                <w:sz w:val="18"/>
                <w:szCs w:val="18"/>
                <w:vertAlign w:val="subscript"/>
              </w:rPr>
              <w:t>j</w:t>
            </w:r>
            <w:proofErr w:type="spellEnd"/>
          </w:p>
        </w:tc>
        <w:tc>
          <w:tcPr>
            <w:tcW w:w="2631" w:type="dxa"/>
          </w:tcPr>
          <w:p w14:paraId="52E2C7CE"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r w:rsidRPr="00450910">
              <w:rPr>
                <w:sz w:val="18"/>
                <w:szCs w:val="18"/>
              </w:rPr>
              <w:t>Perturbation</w:t>
            </w:r>
          </w:p>
        </w:tc>
        <w:tc>
          <w:tcPr>
            <w:tcW w:w="643" w:type="dxa"/>
          </w:tcPr>
          <w:p w14:paraId="611816DB"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p>
        </w:tc>
        <w:tc>
          <w:tcPr>
            <w:tcW w:w="4905" w:type="dxa"/>
          </w:tcPr>
          <w:p w14:paraId="7431B469"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r w:rsidRPr="00450910">
              <w:rPr>
                <w:sz w:val="18"/>
                <w:szCs w:val="18"/>
              </w:rPr>
              <w:t xml:space="preserve">Fixed jump of </w:t>
            </w:r>
            <w:proofErr w:type="spellStart"/>
            <w:r w:rsidRPr="00450910">
              <w:rPr>
                <w:sz w:val="18"/>
                <w:szCs w:val="18"/>
              </w:rPr>
              <w:t>P</w:t>
            </w:r>
            <w:r w:rsidRPr="00450910">
              <w:rPr>
                <w:sz w:val="18"/>
                <w:szCs w:val="18"/>
                <w:vertAlign w:val="subscript"/>
              </w:rPr>
              <w:t>j</w:t>
            </w:r>
            <w:proofErr w:type="spellEnd"/>
            <w:r w:rsidRPr="00450910">
              <w:rPr>
                <w:sz w:val="18"/>
                <w:szCs w:val="18"/>
              </w:rPr>
              <w:t xml:space="preserve"> within </w:t>
            </w:r>
            <m:oMath>
              <m:sSub>
                <m:sSubPr>
                  <m:ctrlPr>
                    <w:rPr>
                      <w:rFonts w:ascii="Cambria Math" w:hAnsi="Cambria Math"/>
                      <w:sz w:val="18"/>
                      <w:szCs w:val="18"/>
                    </w:rPr>
                  </m:ctrlPr>
                </m:sSubPr>
                <m:e>
                  <m:r>
                    <m:rPr>
                      <m:sty m:val="p"/>
                    </m:rPr>
                    <w:rPr>
                      <w:rFonts w:ascii="Cambria Math" w:hAnsi="Cambria Math"/>
                      <w:sz w:val="18"/>
                      <w:szCs w:val="18"/>
                    </w:rPr>
                    <m:t>∆P</m:t>
                  </m:r>
                </m:e>
                <m:sub>
                  <m:r>
                    <w:rPr>
                      <w:rFonts w:ascii="Cambria Math" w:hAnsi="Cambria Math"/>
                      <w:sz w:val="18"/>
                      <w:szCs w:val="18"/>
                    </w:rPr>
                    <m:t>j</m:t>
                  </m:r>
                </m:sub>
              </m:sSub>
            </m:oMath>
          </w:p>
        </w:tc>
      </w:tr>
      <w:tr w:rsidR="00360421" w:rsidRPr="00450910" w14:paraId="43A6BF35" w14:textId="77777777" w:rsidTr="00450910">
        <w:tc>
          <w:tcPr>
            <w:cnfStyle w:val="001000000000" w:firstRow="0" w:lastRow="0" w:firstColumn="1" w:lastColumn="0" w:oddVBand="0" w:evenVBand="0" w:oddHBand="0" w:evenHBand="0" w:firstRowFirstColumn="0" w:firstRowLastColumn="0" w:lastRowFirstColumn="0" w:lastRowLastColumn="0"/>
            <w:tcW w:w="883" w:type="dxa"/>
          </w:tcPr>
          <w:p w14:paraId="20B01B61" w14:textId="77777777" w:rsidR="00360421" w:rsidRPr="00450910" w:rsidRDefault="00955234" w:rsidP="00450910">
            <w:pPr>
              <w:jc w:val="center"/>
              <w:rPr>
                <w:sz w:val="18"/>
                <w:szCs w:val="18"/>
              </w:rPr>
            </w:pPr>
            <m:oMathPara>
              <m:oMath>
                <m:sSup>
                  <m:sSupPr>
                    <m:ctrlPr>
                      <w:rPr>
                        <w:rFonts w:ascii="Cambria Math" w:hAnsi="Cambria Math"/>
                        <w:i/>
                        <w:sz w:val="18"/>
                        <w:szCs w:val="18"/>
                      </w:rPr>
                    </m:ctrlPr>
                  </m:sSupPr>
                  <m:e>
                    <m:r>
                      <m:rPr>
                        <m:sty m:val="bi"/>
                      </m:rPr>
                      <w:rPr>
                        <w:rFonts w:ascii="Cambria Math" w:hAnsi="Cambria Math"/>
                        <w:sz w:val="18"/>
                        <w:szCs w:val="18"/>
                      </w:rPr>
                      <m:t>Z</m:t>
                    </m:r>
                  </m:e>
                  <m:sup>
                    <m:r>
                      <m:rPr>
                        <m:sty m:val="bi"/>
                      </m:rPr>
                      <w:rPr>
                        <w:rFonts w:ascii="Cambria Math" w:hAnsi="Cambria Math"/>
                        <w:sz w:val="18"/>
                        <w:szCs w:val="18"/>
                      </w:rPr>
                      <m:t>j,k</m:t>
                    </m:r>
                  </m:sup>
                </m:sSup>
              </m:oMath>
            </m:oMathPara>
          </w:p>
        </w:tc>
        <w:tc>
          <w:tcPr>
            <w:tcW w:w="2631" w:type="dxa"/>
          </w:tcPr>
          <w:p w14:paraId="1F171203"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 xml:space="preserve">Standardized elementary effects of </w:t>
            </w:r>
            <w:proofErr w:type="spellStart"/>
            <w:r w:rsidRPr="00450910">
              <w:rPr>
                <w:sz w:val="18"/>
                <w:szCs w:val="18"/>
              </w:rPr>
              <w:t>P</w:t>
            </w:r>
            <w:r w:rsidRPr="00450910">
              <w:rPr>
                <w:sz w:val="18"/>
                <w:szCs w:val="18"/>
                <w:vertAlign w:val="subscript"/>
              </w:rPr>
              <w:t>j</w:t>
            </w:r>
            <w:proofErr w:type="spellEnd"/>
            <w:r w:rsidRPr="00450910">
              <w:rPr>
                <w:sz w:val="18"/>
                <w:szCs w:val="18"/>
              </w:rPr>
              <w:t xml:space="preserve"> on V within trajectory k </w:t>
            </w:r>
            <w:r w:rsidRPr="00450910">
              <w:rPr>
                <w:rFonts w:ascii="Cambria Math" w:hAnsi="Cambria Math" w:cs="Cambria Math"/>
                <w:sz w:val="18"/>
                <w:szCs w:val="18"/>
              </w:rPr>
              <w:t>∈</w:t>
            </w:r>
            <w:r w:rsidRPr="00450910">
              <w:rPr>
                <w:sz w:val="18"/>
                <w:szCs w:val="18"/>
              </w:rPr>
              <w:t xml:space="preserve"> [1, r]</w:t>
            </w:r>
          </w:p>
        </w:tc>
        <w:tc>
          <w:tcPr>
            <w:tcW w:w="643" w:type="dxa"/>
          </w:tcPr>
          <w:p w14:paraId="531AB24A"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p>
        </w:tc>
        <w:tc>
          <w:tcPr>
            <w:tcW w:w="4905" w:type="dxa"/>
          </w:tcPr>
          <w:p w14:paraId="42369960" w14:textId="33D6EB44"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Calculated with</w:t>
            </w:r>
            <w:r w:rsidR="00450910" w:rsidRPr="00450910">
              <w:rPr>
                <w:sz w:val="18"/>
                <w:szCs w:val="18"/>
              </w:rPr>
              <w:t xml:space="preserve"> </w:t>
            </w:r>
            <w:r w:rsidR="00450910" w:rsidRPr="00450910">
              <w:rPr>
                <w:b/>
                <w:sz w:val="18"/>
                <w:szCs w:val="18"/>
              </w:rPr>
              <w:fldChar w:fldCharType="begin"/>
            </w:r>
            <w:r w:rsidR="00450910" w:rsidRPr="00450910">
              <w:rPr>
                <w:b/>
                <w:sz w:val="18"/>
                <w:szCs w:val="18"/>
              </w:rPr>
              <w:instrText xml:space="preserve"> REF _Ref151711109 \h  \* MERGEFORMAT </w:instrText>
            </w:r>
            <w:r w:rsidR="00450910" w:rsidRPr="00450910">
              <w:rPr>
                <w:b/>
                <w:sz w:val="18"/>
                <w:szCs w:val="18"/>
              </w:rPr>
            </w:r>
            <w:r w:rsidR="00450910" w:rsidRPr="00450910">
              <w:rPr>
                <w:b/>
                <w:sz w:val="18"/>
                <w:szCs w:val="18"/>
              </w:rPr>
              <w:fldChar w:fldCharType="separate"/>
            </w:r>
            <w:r w:rsidR="00450910" w:rsidRPr="00450910">
              <w:rPr>
                <w:b/>
                <w:sz w:val="18"/>
                <w:szCs w:val="18"/>
              </w:rPr>
              <w:t xml:space="preserve">Equation </w:t>
            </w:r>
            <w:r w:rsidR="00450910" w:rsidRPr="00450910">
              <w:rPr>
                <w:b/>
                <w:noProof/>
                <w:sz w:val="18"/>
                <w:szCs w:val="18"/>
              </w:rPr>
              <w:t>4</w:t>
            </w:r>
            <w:r w:rsidR="00450910" w:rsidRPr="00450910">
              <w:rPr>
                <w:b/>
                <w:sz w:val="18"/>
                <w:szCs w:val="18"/>
              </w:rPr>
              <w:fldChar w:fldCharType="end"/>
            </w:r>
            <w:r w:rsidRPr="00450910">
              <w:rPr>
                <w:sz w:val="18"/>
                <w:szCs w:val="18"/>
              </w:rPr>
              <w:t xml:space="preserve">. </w:t>
            </w:r>
            <w:proofErr w:type="spellStart"/>
            <w:r w:rsidRPr="00450910">
              <w:rPr>
                <w:sz w:val="18"/>
                <w:szCs w:val="18"/>
              </w:rPr>
              <w:t>i</w:t>
            </w:r>
            <w:proofErr w:type="spellEnd"/>
            <w:r w:rsidRPr="00450910">
              <w:rPr>
                <w:sz w:val="18"/>
                <w:szCs w:val="18"/>
              </w:rPr>
              <w:t xml:space="preserve"> and j are associated as a consequence of the Morris </w:t>
            </w:r>
            <w:proofErr w:type="spellStart"/>
            <w:r w:rsidRPr="00450910">
              <w:rPr>
                <w:sz w:val="18"/>
                <w:szCs w:val="18"/>
              </w:rPr>
              <w:t>OaT</w:t>
            </w:r>
            <w:proofErr w:type="spellEnd"/>
            <w:r w:rsidRPr="00450910">
              <w:rPr>
                <w:sz w:val="18"/>
                <w:szCs w:val="18"/>
              </w:rPr>
              <w:t xml:space="preserve"> sampling design.</w:t>
            </w:r>
          </w:p>
        </w:tc>
      </w:tr>
      <w:tr w:rsidR="00360421" w:rsidRPr="00450910" w14:paraId="0412C551" w14:textId="77777777" w:rsidTr="0045091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883" w:type="dxa"/>
          </w:tcPr>
          <w:p w14:paraId="6F022B18" w14:textId="77777777" w:rsidR="00360421" w:rsidRPr="00450910" w:rsidRDefault="00955234" w:rsidP="00450910">
            <w:pPr>
              <w:jc w:val="center"/>
              <w:rPr>
                <w:rFonts w:ascii="Calibri" w:eastAsia="Calibri" w:hAnsi="Calibri" w:cs="Times New Roman"/>
                <w:sz w:val="18"/>
                <w:szCs w:val="18"/>
              </w:rPr>
            </w:pPr>
            <m:oMathPara>
              <m:oMath>
                <m:sSubSup>
                  <m:sSubSupPr>
                    <m:ctrlPr>
                      <w:rPr>
                        <w:rFonts w:ascii="Cambria Math" w:hAnsi="Cambria Math"/>
                        <w:i/>
                        <w:sz w:val="18"/>
                        <w:szCs w:val="18"/>
                      </w:rPr>
                    </m:ctrlPr>
                  </m:sSubSupPr>
                  <m:e>
                    <m:r>
                      <m:rPr>
                        <m:sty m:val="bi"/>
                      </m:rPr>
                      <w:rPr>
                        <w:rFonts w:ascii="Cambria Math" w:hAnsi="Cambria Math"/>
                        <w:sz w:val="18"/>
                        <w:szCs w:val="18"/>
                      </w:rPr>
                      <m:t>μ</m:t>
                    </m:r>
                  </m:e>
                  <m:sub>
                    <m:r>
                      <m:rPr>
                        <m:sty m:val="bi"/>
                      </m:rPr>
                      <w:rPr>
                        <w:rFonts w:ascii="Cambria Math" w:hAnsi="Cambria Math"/>
                        <w:sz w:val="18"/>
                        <w:szCs w:val="18"/>
                      </w:rPr>
                      <m:t>j</m:t>
                    </m:r>
                  </m:sub>
                  <m:sup>
                    <m:r>
                      <m:rPr>
                        <m:sty m:val="bi"/>
                      </m:rPr>
                      <w:rPr>
                        <w:rFonts w:ascii="Cambria Math" w:hAnsi="Cambria Math"/>
                        <w:sz w:val="18"/>
                        <w:szCs w:val="18"/>
                      </w:rPr>
                      <m:t>*</m:t>
                    </m:r>
                  </m:sup>
                </m:sSubSup>
              </m:oMath>
            </m:oMathPara>
          </w:p>
        </w:tc>
        <w:tc>
          <w:tcPr>
            <w:tcW w:w="2631" w:type="dxa"/>
          </w:tcPr>
          <w:p w14:paraId="413C2590"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r w:rsidRPr="00450910">
              <w:rPr>
                <w:sz w:val="18"/>
                <w:szCs w:val="18"/>
              </w:rPr>
              <w:t xml:space="preserve">Mean of </w:t>
            </w:r>
            <m:oMath>
              <m:sSup>
                <m:sSupPr>
                  <m:ctrlPr>
                    <w:rPr>
                      <w:rFonts w:ascii="Cambria Math" w:hAnsi="Cambria Math"/>
                      <w:bCs/>
                      <w:i/>
                      <w:sz w:val="18"/>
                      <w:szCs w:val="18"/>
                    </w:rPr>
                  </m:ctrlPr>
                </m:sSupPr>
                <m:e>
                  <m:r>
                    <w:rPr>
                      <w:rFonts w:ascii="Cambria Math" w:hAnsi="Cambria Math"/>
                      <w:sz w:val="18"/>
                      <w:szCs w:val="18"/>
                    </w:rPr>
                    <m:t>Z</m:t>
                  </m:r>
                </m:e>
                <m:sup>
                  <m:r>
                    <w:rPr>
                      <w:rFonts w:ascii="Cambria Math" w:hAnsi="Cambria Math"/>
                      <w:sz w:val="18"/>
                      <w:szCs w:val="18"/>
                    </w:rPr>
                    <m:t>j,k</m:t>
                  </m:r>
                </m:sup>
              </m:sSup>
              <m:r>
                <m:rPr>
                  <m:sty m:val="bi"/>
                </m:rPr>
                <w:rPr>
                  <w:rFonts w:ascii="Cambria Math" w:hAnsi="Cambria Math"/>
                  <w:sz w:val="18"/>
                  <w:szCs w:val="18"/>
                </w:rPr>
                <m:t xml:space="preserve">. </m:t>
              </m:r>
            </m:oMath>
            <w:r w:rsidRPr="00450910">
              <w:rPr>
                <w:sz w:val="18"/>
                <w:szCs w:val="18"/>
              </w:rPr>
              <w:t xml:space="preserve">Estimation of the sensitivity of V related to </w:t>
            </w:r>
            <w:proofErr w:type="spellStart"/>
            <w:r w:rsidRPr="00450910">
              <w:rPr>
                <w:sz w:val="18"/>
                <w:szCs w:val="18"/>
              </w:rPr>
              <w:t>P</w:t>
            </w:r>
            <w:r w:rsidRPr="00450910">
              <w:rPr>
                <w:sz w:val="18"/>
                <w:szCs w:val="18"/>
                <w:vertAlign w:val="subscript"/>
              </w:rPr>
              <w:t>j</w:t>
            </w:r>
            <w:proofErr w:type="spellEnd"/>
            <w:r w:rsidRPr="00450910">
              <w:rPr>
                <w:sz w:val="18"/>
                <w:szCs w:val="18"/>
              </w:rPr>
              <w:t xml:space="preserve"> </w:t>
            </w:r>
          </w:p>
        </w:tc>
        <w:tc>
          <w:tcPr>
            <w:tcW w:w="643" w:type="dxa"/>
          </w:tcPr>
          <w:p w14:paraId="3B79EA3E" w14:textId="77777777"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p>
        </w:tc>
        <w:tc>
          <w:tcPr>
            <w:tcW w:w="4905" w:type="dxa"/>
            <w:vMerge w:val="restart"/>
          </w:tcPr>
          <w:p w14:paraId="4F1C19B3" w14:textId="75A3C8F5" w:rsidR="00360421" w:rsidRPr="00450910" w:rsidRDefault="00360421" w:rsidP="00450910">
            <w:pPr>
              <w:cnfStyle w:val="000000100000" w:firstRow="0" w:lastRow="0" w:firstColumn="0" w:lastColumn="0" w:oddVBand="0" w:evenVBand="0" w:oddHBand="1" w:evenHBand="0" w:firstRowFirstColumn="0" w:firstRowLastColumn="0" w:lastRowFirstColumn="0" w:lastRowLastColumn="0"/>
              <w:rPr>
                <w:sz w:val="18"/>
                <w:szCs w:val="18"/>
              </w:rPr>
            </w:pPr>
            <w:r w:rsidRPr="00450910">
              <w:rPr>
                <w:sz w:val="18"/>
                <w:szCs w:val="18"/>
              </w:rPr>
              <w:t>Calculated with</w:t>
            </w:r>
            <w:r w:rsidR="00450910">
              <w:rPr>
                <w:sz w:val="18"/>
                <w:szCs w:val="18"/>
              </w:rPr>
              <w:t xml:space="preserve"> </w:t>
            </w:r>
            <w:r w:rsidR="00450910" w:rsidRPr="00450910">
              <w:rPr>
                <w:b/>
                <w:sz w:val="18"/>
                <w:szCs w:val="18"/>
              </w:rPr>
              <w:fldChar w:fldCharType="begin"/>
            </w:r>
            <w:r w:rsidR="00450910" w:rsidRPr="00450910">
              <w:rPr>
                <w:b/>
                <w:sz w:val="18"/>
                <w:szCs w:val="18"/>
              </w:rPr>
              <w:instrText xml:space="preserve"> REF _Ref151711132 \h  \* MERGEFORMAT </w:instrText>
            </w:r>
            <w:r w:rsidR="00450910" w:rsidRPr="00450910">
              <w:rPr>
                <w:b/>
                <w:sz w:val="18"/>
                <w:szCs w:val="18"/>
              </w:rPr>
            </w:r>
            <w:r w:rsidR="00450910" w:rsidRPr="00450910">
              <w:rPr>
                <w:b/>
                <w:sz w:val="18"/>
                <w:szCs w:val="18"/>
              </w:rPr>
              <w:fldChar w:fldCharType="separate"/>
            </w:r>
            <w:r w:rsidR="00450910" w:rsidRPr="00450910">
              <w:rPr>
                <w:b/>
                <w:sz w:val="18"/>
                <w:szCs w:val="18"/>
              </w:rPr>
              <w:t xml:space="preserve">Equation </w:t>
            </w:r>
            <w:r w:rsidR="00450910" w:rsidRPr="00450910">
              <w:rPr>
                <w:b/>
                <w:noProof/>
                <w:sz w:val="18"/>
                <w:szCs w:val="18"/>
              </w:rPr>
              <w:t>5</w:t>
            </w:r>
            <w:r w:rsidR="00450910" w:rsidRPr="00450910">
              <w:rPr>
                <w:b/>
                <w:sz w:val="18"/>
                <w:szCs w:val="18"/>
              </w:rPr>
              <w:fldChar w:fldCharType="end"/>
            </w:r>
            <w:r w:rsidRPr="00450910">
              <w:rPr>
                <w:sz w:val="18"/>
                <w:szCs w:val="18"/>
              </w:rPr>
              <w:t xml:space="preserve">. and </w:t>
            </w:r>
            <w:r w:rsidR="00450910" w:rsidRPr="00450910">
              <w:rPr>
                <w:sz w:val="18"/>
                <w:szCs w:val="18"/>
                <w:highlight w:val="yellow"/>
              </w:rPr>
              <w:fldChar w:fldCharType="begin"/>
            </w:r>
            <w:r w:rsidR="00450910" w:rsidRPr="00450910">
              <w:rPr>
                <w:sz w:val="18"/>
                <w:szCs w:val="18"/>
              </w:rPr>
              <w:instrText xml:space="preserve"> REF _Ref151711143 \h </w:instrText>
            </w:r>
            <w:r w:rsidR="00450910" w:rsidRPr="00450910">
              <w:rPr>
                <w:sz w:val="18"/>
                <w:szCs w:val="18"/>
                <w:highlight w:val="yellow"/>
              </w:rPr>
              <w:instrText xml:space="preserve"> \* MERGEFORMAT </w:instrText>
            </w:r>
            <w:r w:rsidR="00450910" w:rsidRPr="00450910">
              <w:rPr>
                <w:sz w:val="18"/>
                <w:szCs w:val="18"/>
                <w:highlight w:val="yellow"/>
              </w:rPr>
            </w:r>
            <w:r w:rsidR="00450910" w:rsidRPr="00450910">
              <w:rPr>
                <w:sz w:val="18"/>
                <w:szCs w:val="18"/>
                <w:highlight w:val="yellow"/>
              </w:rPr>
              <w:fldChar w:fldCharType="separate"/>
            </w:r>
            <w:r w:rsidR="00450910" w:rsidRPr="00450910">
              <w:rPr>
                <w:sz w:val="18"/>
                <w:szCs w:val="18"/>
              </w:rPr>
              <w:t xml:space="preserve">Equation </w:t>
            </w:r>
            <w:r w:rsidR="00450910" w:rsidRPr="00450910">
              <w:rPr>
                <w:noProof/>
                <w:sz w:val="18"/>
                <w:szCs w:val="18"/>
              </w:rPr>
              <w:t>6</w:t>
            </w:r>
            <w:r w:rsidR="00450910" w:rsidRPr="00450910">
              <w:rPr>
                <w:sz w:val="18"/>
                <w:szCs w:val="18"/>
                <w:highlight w:val="yellow"/>
              </w:rPr>
              <w:fldChar w:fldCharType="end"/>
            </w:r>
            <w:r w:rsidRPr="00450910">
              <w:rPr>
                <w:sz w:val="18"/>
                <w:szCs w:val="18"/>
              </w:rPr>
              <w:t xml:space="preserve">. One value per (impact category; pathway) combinations, for each parameter </w:t>
            </w:r>
            <w:proofErr w:type="spellStart"/>
            <w:r w:rsidRPr="00450910">
              <w:rPr>
                <w:sz w:val="18"/>
                <w:szCs w:val="18"/>
              </w:rPr>
              <w:t>P</w:t>
            </w:r>
            <w:r w:rsidRPr="00450910">
              <w:rPr>
                <w:sz w:val="18"/>
                <w:szCs w:val="18"/>
                <w:vertAlign w:val="subscript"/>
              </w:rPr>
              <w:t>j</w:t>
            </w:r>
            <w:proofErr w:type="spellEnd"/>
            <w:r w:rsidRPr="00450910">
              <w:rPr>
                <w:sz w:val="18"/>
                <w:szCs w:val="18"/>
              </w:rPr>
              <w:t>.</w:t>
            </w:r>
          </w:p>
        </w:tc>
      </w:tr>
      <w:tr w:rsidR="00360421" w:rsidRPr="00450910" w14:paraId="0E5C7D3A" w14:textId="77777777" w:rsidTr="00450910">
        <w:tc>
          <w:tcPr>
            <w:cnfStyle w:val="001000000000" w:firstRow="0" w:lastRow="0" w:firstColumn="1" w:lastColumn="0" w:oddVBand="0" w:evenVBand="0" w:oddHBand="0" w:evenHBand="0" w:firstRowFirstColumn="0" w:firstRowLastColumn="0" w:lastRowFirstColumn="0" w:lastRowLastColumn="0"/>
            <w:tcW w:w="883" w:type="dxa"/>
          </w:tcPr>
          <w:p w14:paraId="5F286D5F" w14:textId="77777777" w:rsidR="00360421" w:rsidRPr="00450910" w:rsidRDefault="00955234" w:rsidP="00450910">
            <w:pPr>
              <w:jc w:val="center"/>
              <w:rPr>
                <w:rFonts w:ascii="Calibri" w:eastAsia="Calibri" w:hAnsi="Calibri" w:cs="Times New Roman"/>
                <w:sz w:val="18"/>
                <w:szCs w:val="18"/>
              </w:rPr>
            </w:pPr>
            <m:oMathPara>
              <m:oMath>
                <m:sSub>
                  <m:sSubPr>
                    <m:ctrlPr>
                      <w:rPr>
                        <w:rFonts w:ascii="Cambria Math" w:hAnsi="Cambria Math"/>
                        <w:i/>
                        <w:sz w:val="18"/>
                        <w:szCs w:val="18"/>
                      </w:rPr>
                    </m:ctrlPr>
                  </m:sSubPr>
                  <m:e>
                    <m:r>
                      <m:rPr>
                        <m:sty m:val="bi"/>
                      </m:rPr>
                      <w:rPr>
                        <w:rFonts w:ascii="Cambria Math" w:hAnsi="Cambria Math"/>
                        <w:sz w:val="18"/>
                        <w:szCs w:val="18"/>
                      </w:rPr>
                      <m:t>σ</m:t>
                    </m:r>
                  </m:e>
                  <m:sub>
                    <m:r>
                      <m:rPr>
                        <m:sty m:val="bi"/>
                      </m:rPr>
                      <w:rPr>
                        <w:rFonts w:ascii="Cambria Math" w:hAnsi="Cambria Math"/>
                        <w:sz w:val="18"/>
                        <w:szCs w:val="18"/>
                      </w:rPr>
                      <m:t xml:space="preserve">j </m:t>
                    </m:r>
                  </m:sub>
                </m:sSub>
              </m:oMath>
            </m:oMathPara>
          </w:p>
        </w:tc>
        <w:tc>
          <w:tcPr>
            <w:tcW w:w="2631" w:type="dxa"/>
          </w:tcPr>
          <w:p w14:paraId="2CF8B127"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r w:rsidRPr="00450910">
              <w:rPr>
                <w:sz w:val="18"/>
                <w:szCs w:val="18"/>
              </w:rPr>
              <w:t xml:space="preserve">Estimation of the dispersion of </w:t>
            </w:r>
            <m:oMath>
              <m:sSup>
                <m:sSupPr>
                  <m:ctrlPr>
                    <w:rPr>
                      <w:rFonts w:ascii="Cambria Math" w:hAnsi="Cambria Math"/>
                      <w:bCs/>
                      <w:i/>
                      <w:sz w:val="18"/>
                      <w:szCs w:val="18"/>
                    </w:rPr>
                  </m:ctrlPr>
                </m:sSupPr>
                <m:e>
                  <m:r>
                    <w:rPr>
                      <w:rFonts w:ascii="Cambria Math" w:hAnsi="Cambria Math"/>
                      <w:sz w:val="18"/>
                      <w:szCs w:val="18"/>
                    </w:rPr>
                    <m:t>Z</m:t>
                  </m:r>
                </m:e>
                <m:sup>
                  <m:r>
                    <w:rPr>
                      <w:rFonts w:ascii="Cambria Math" w:hAnsi="Cambria Math"/>
                      <w:sz w:val="18"/>
                      <w:szCs w:val="18"/>
                    </w:rPr>
                    <m:t>j,k</m:t>
                  </m:r>
                </m:sup>
              </m:sSup>
            </m:oMath>
          </w:p>
        </w:tc>
        <w:tc>
          <w:tcPr>
            <w:tcW w:w="643" w:type="dxa"/>
          </w:tcPr>
          <w:p w14:paraId="5BB0DE43"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p>
        </w:tc>
        <w:tc>
          <w:tcPr>
            <w:tcW w:w="4905" w:type="dxa"/>
            <w:vMerge/>
          </w:tcPr>
          <w:p w14:paraId="2B4B99EA" w14:textId="77777777" w:rsidR="00360421" w:rsidRPr="00450910" w:rsidRDefault="00360421" w:rsidP="00450910">
            <w:pPr>
              <w:cnfStyle w:val="000000000000" w:firstRow="0" w:lastRow="0" w:firstColumn="0" w:lastColumn="0" w:oddVBand="0" w:evenVBand="0" w:oddHBand="0" w:evenHBand="0" w:firstRowFirstColumn="0" w:firstRowLastColumn="0" w:lastRowFirstColumn="0" w:lastRowLastColumn="0"/>
              <w:rPr>
                <w:sz w:val="18"/>
                <w:szCs w:val="18"/>
              </w:rPr>
            </w:pPr>
          </w:p>
        </w:tc>
      </w:tr>
    </w:tbl>
    <w:p w14:paraId="731EA914" w14:textId="0F894FED" w:rsidR="00360421" w:rsidRPr="003D7789" w:rsidRDefault="00450910" w:rsidP="00360421">
      <w:pPr>
        <w:jc w:val="both"/>
      </w:pPr>
      <w:r>
        <w:lastRenderedPageBreak/>
        <w:t>A</w:t>
      </w:r>
      <w:r w:rsidR="00360421">
        <w:t xml:space="preserve">n </w:t>
      </w:r>
      <w:proofErr w:type="spellStart"/>
      <w:r w:rsidR="00360421">
        <w:t>OaT</w:t>
      </w:r>
      <w:proofErr w:type="spellEnd"/>
      <w:r w:rsidR="00360421">
        <w:t xml:space="preserve"> sampling is applied starting from a randomly generated nP</w:t>
      </w:r>
      <w:r w:rsidR="00360421">
        <w:rPr>
          <w:vertAlign w:val="superscript"/>
        </w:rPr>
        <w:t>1</w:t>
      </w:r>
      <w:r w:rsidR="00360421">
        <w:t xml:space="preserve"> vector (starting value for the p parameters). In turn, p+1 </w:t>
      </w:r>
      <w:proofErr w:type="gramStart"/>
      <w:r w:rsidR="00360421">
        <w:t>samples</w:t>
      </w:r>
      <w:proofErr w:type="gramEnd"/>
      <w:r w:rsidR="00360421">
        <w:t xml:space="preserve"> are required to ensure each parameter has been perturbated once. The </w:t>
      </w:r>
      <w:proofErr w:type="spellStart"/>
      <w:r w:rsidR="00360421">
        <w:t>OaT</w:t>
      </w:r>
      <w:proofErr w:type="spellEnd"/>
      <w:r w:rsidR="00360421">
        <w:t xml:space="preserve"> p+1 sample set corresponds to one trajectory. This implies that within a trajectory, each </w:t>
      </w:r>
      <w:proofErr w:type="spellStart"/>
      <w:r w:rsidR="00360421">
        <w:t>nP</w:t>
      </w:r>
      <w:r w:rsidR="00360421" w:rsidRPr="001C5344">
        <w:rPr>
          <w:vertAlign w:val="superscript"/>
        </w:rPr>
        <w:t>i</w:t>
      </w:r>
      <w:proofErr w:type="spellEnd"/>
      <w:r w:rsidR="00360421">
        <w:t xml:space="preserve">, </w:t>
      </w:r>
      <w:proofErr w:type="spellStart"/>
      <w:r w:rsidR="00360421">
        <w:t>i</w:t>
      </w:r>
      <w:proofErr w:type="spellEnd"/>
      <w:r w:rsidR="00360421">
        <w:t xml:space="preserve"> </w:t>
      </w:r>
      <w:r w:rsidR="00360421" w:rsidRPr="00A93F37">
        <w:rPr>
          <w:rFonts w:ascii="Cambria Math" w:hAnsi="Cambria Math" w:cs="Cambria Math"/>
        </w:rPr>
        <w:t>∈</w:t>
      </w:r>
      <w:r w:rsidR="00360421" w:rsidRPr="00A93F37">
        <w:t xml:space="preserve"> [</w:t>
      </w:r>
      <w:r w:rsidR="00360421">
        <w:t>1</w:t>
      </w:r>
      <w:r w:rsidR="00360421" w:rsidRPr="00A93F37">
        <w:t xml:space="preserve">, </w:t>
      </w:r>
      <w:r w:rsidR="00360421">
        <w:t>p+1</w:t>
      </w:r>
      <w:r w:rsidR="00360421" w:rsidRPr="00A93F37">
        <w:t>]</w:t>
      </w:r>
      <w:r w:rsidR="00360421">
        <w:t xml:space="preserve"> is unique, but that </w:t>
      </w:r>
      <w:proofErr w:type="spellStart"/>
      <w:r w:rsidR="00360421">
        <w:t>nP</w:t>
      </w:r>
      <w:r w:rsidR="00360421" w:rsidRPr="004E2171">
        <w:rPr>
          <w:vertAlign w:val="superscript"/>
        </w:rPr>
        <w:t>i</w:t>
      </w:r>
      <w:proofErr w:type="spellEnd"/>
      <w:r w:rsidR="00360421">
        <w:t xml:space="preserve"> and nP</w:t>
      </w:r>
      <w:r w:rsidR="00360421" w:rsidRPr="004E2171">
        <w:rPr>
          <w:vertAlign w:val="superscript"/>
        </w:rPr>
        <w:t xml:space="preserve">i+1 </w:t>
      </w:r>
      <w:r w:rsidR="00360421">
        <w:t xml:space="preserve">only differ for a single </w:t>
      </w:r>
      <w:proofErr w:type="spellStart"/>
      <w:r w:rsidR="00360421">
        <w:t>nP</w:t>
      </w:r>
      <w:r w:rsidR="00360421" w:rsidRPr="004E2171">
        <w:rPr>
          <w:vertAlign w:val="subscript"/>
        </w:rPr>
        <w:t>j</w:t>
      </w:r>
      <w:proofErr w:type="spellEnd"/>
      <w:r w:rsidR="00360421">
        <w:t xml:space="preserve">, j </w:t>
      </w:r>
      <w:r w:rsidR="00360421" w:rsidRPr="00A93F37">
        <w:rPr>
          <w:rFonts w:ascii="Cambria Math" w:hAnsi="Cambria Math" w:cs="Cambria Math"/>
        </w:rPr>
        <w:t>∈</w:t>
      </w:r>
      <w:r w:rsidR="00360421" w:rsidRPr="00A93F37">
        <w:t xml:space="preserve"> [</w:t>
      </w:r>
      <w:r w:rsidR="00360421">
        <w:t>1</w:t>
      </w:r>
      <w:r w:rsidR="00360421" w:rsidRPr="00A93F37">
        <w:t xml:space="preserve">, </w:t>
      </w:r>
      <w:r w:rsidR="00360421">
        <w:t>p</w:t>
      </w:r>
      <w:r w:rsidR="00360421" w:rsidRPr="00A93F37">
        <w:t>]</w:t>
      </w:r>
      <w:r w:rsidR="00360421">
        <w:t>. As a result, at the end of a trajectory, the final vector was completely modified compared to the starting one. The specificity of the Morris method sampling lies in the constant elementary perturbation</w:t>
      </w:r>
      <w:r w:rsidR="00881E43">
        <w:t xml:space="preserve"> step</w:t>
      </w:r>
      <w:r w:rsidR="00360421">
        <w:t xml:space="preserve"> </w:t>
      </w:r>
      <w:proofErr w:type="spellStart"/>
      <w:r w:rsidR="00360421">
        <w:t>dnP</w:t>
      </w:r>
      <w:proofErr w:type="spellEnd"/>
      <w:r w:rsidR="00360421">
        <w:t xml:space="preserve"> between two successive simulation within the same trajectory. This means that the normalized sampling grid is uniformly covered. This </w:t>
      </w:r>
      <w:proofErr w:type="spellStart"/>
      <w:r w:rsidR="00360421">
        <w:t>OaT</w:t>
      </w:r>
      <w:proofErr w:type="spellEnd"/>
      <w:r w:rsidR="00360421">
        <w:t xml:space="preserve"> sampling is further repeated r times, starting from r different (randomly generated) nP</w:t>
      </w:r>
      <w:r w:rsidR="00360421">
        <w:rPr>
          <w:vertAlign w:val="superscript"/>
        </w:rPr>
        <w:t>1</w:t>
      </w:r>
      <w:r w:rsidR="00360421">
        <w:t xml:space="preserve"> vectors, providing r different trajectories. Accordingly, the total number of simulations N is equal to the number of simulation points per trajectory (p+1) multiplied by the number of trajectories r (</w:t>
      </w:r>
      <w:r w:rsidRPr="00450910">
        <w:rPr>
          <w:b/>
          <w:highlight w:val="yellow"/>
        </w:rPr>
        <w:fldChar w:fldCharType="begin"/>
      </w:r>
      <w:r w:rsidRPr="00450910">
        <w:rPr>
          <w:b/>
        </w:rPr>
        <w:instrText xml:space="preserve"> REF _Ref151710821 \h </w:instrText>
      </w:r>
      <w:r w:rsidRPr="00450910">
        <w:rPr>
          <w:b/>
          <w:highlight w:val="yellow"/>
        </w:rPr>
        <w:instrText xml:space="preserve"> \* MERGEFORMAT </w:instrText>
      </w:r>
      <w:r w:rsidRPr="00450910">
        <w:rPr>
          <w:b/>
          <w:highlight w:val="yellow"/>
        </w:rPr>
      </w:r>
      <w:r w:rsidRPr="00450910">
        <w:rPr>
          <w:b/>
          <w:highlight w:val="yellow"/>
        </w:rPr>
        <w:fldChar w:fldCharType="separate"/>
      </w:r>
      <w:r w:rsidRPr="00450910">
        <w:rPr>
          <w:b/>
        </w:rPr>
        <w:t xml:space="preserve">Equation </w:t>
      </w:r>
      <w:r w:rsidRPr="00450910">
        <w:rPr>
          <w:b/>
          <w:noProof/>
        </w:rPr>
        <w:t>1</w:t>
      </w:r>
      <w:r w:rsidRPr="00450910">
        <w:rPr>
          <w:b/>
          <w:highlight w:val="yellow"/>
        </w:rPr>
        <w:fldChar w:fldCharType="end"/>
      </w:r>
      <w:r w:rsidR="00360421" w:rsidRPr="00562D18">
        <w:t xml:space="preserve">). </w:t>
      </w:r>
      <w:r w:rsidR="00360421">
        <w:t>The generated normalized simulation matrix [nP</w:t>
      </w:r>
      <w:r w:rsidR="00360421">
        <w:rPr>
          <w:vertAlign w:val="superscript"/>
        </w:rPr>
        <w:t>1</w:t>
      </w:r>
      <w:r w:rsidR="00360421">
        <w:t>…</w:t>
      </w:r>
      <w:proofErr w:type="spellStart"/>
      <w:r w:rsidR="00360421">
        <w:t>nP</w:t>
      </w:r>
      <w:r w:rsidR="00360421" w:rsidRPr="00A50531">
        <w:rPr>
          <w:vertAlign w:val="superscript"/>
        </w:rPr>
        <w:t>N</w:t>
      </w:r>
      <w:proofErr w:type="spellEnd"/>
      <w:r w:rsidR="00360421">
        <w:t>] is finally scaled back to P’s dimension [P</w:t>
      </w:r>
      <w:r w:rsidR="00360421">
        <w:rPr>
          <w:vertAlign w:val="superscript"/>
        </w:rPr>
        <w:t>1</w:t>
      </w:r>
      <w:r w:rsidR="00360421">
        <w:t>…P</w:t>
      </w:r>
      <w:r w:rsidR="00360421">
        <w:rPr>
          <w:vertAlign w:val="superscript"/>
        </w:rPr>
        <w:t>N</w:t>
      </w:r>
      <w:r w:rsidR="00360421">
        <w:t xml:space="preserve">] and can directly iteratively feed the model. This last stage can induce distortions on the scaled sampling grid in case of important relative differences between </w:t>
      </w:r>
      <w:r w:rsidR="00360421" w:rsidRPr="005B0537">
        <w:t xml:space="preserve">the </w:t>
      </w:r>
      <m:oMath>
        <m:sSub>
          <m:sSubPr>
            <m:ctrlPr>
              <w:rPr>
                <w:rFonts w:ascii="Cambria Math" w:hAnsi="Cambria Math"/>
              </w:rPr>
            </m:ctrlPr>
          </m:sSubPr>
          <m:e>
            <m:r>
              <m:rPr>
                <m:sty m:val="p"/>
              </m:rPr>
              <w:rPr>
                <w:rFonts w:ascii="Cambria Math" w:hAnsi="Cambria Math"/>
              </w:rPr>
              <m:t>∆P</m:t>
            </m:r>
          </m:e>
          <m:sub>
            <m:r>
              <w:rPr>
                <w:rFonts w:ascii="Cambria Math" w:hAnsi="Cambria Math"/>
              </w:rPr>
              <m:t>j</m:t>
            </m:r>
          </m:sub>
        </m:sSub>
      </m:oMath>
      <w:r w:rsidR="00360421">
        <w:rPr>
          <w:rFonts w:eastAsiaTheme="minorEastAsia"/>
        </w:rPr>
        <w:t xml:space="preserve"> , which is the case </w:t>
      </w:r>
      <w:r>
        <w:rPr>
          <w:rFonts w:eastAsiaTheme="minorEastAsia"/>
        </w:rPr>
        <w:t>for this model (see technological parameter’s variation ranges</w:t>
      </w:r>
      <w:r>
        <w:rPr>
          <w:rFonts w:eastAsiaTheme="minorEastAsia"/>
        </w:rPr>
        <w:fldChar w:fldCharType="begin"/>
      </w:r>
      <w:r w:rsidR="00CD084F">
        <w:rPr>
          <w:rFonts w:eastAsiaTheme="minorEastAsia"/>
        </w:rPr>
        <w:instrText xml:space="preserve"> ADDIN ZOTERO_ITEM CSL_CITATION {"citationID":"5eBsTvQo","properties":{"formattedCitation":"\\super 1\\nosupersub{}","plainCitation":"1","noteIndex":0},"citationItems":[{"id":14334,"uris":["http://zotero.org/users/6423791/items/VWPZYH5Z"],"itemData":{"id":14334,"type":"article","DOI":"https://doi.org/10.21203/rs.3.rs-3671083/v1","genre":"preprint","publisher":"Research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pathways","author":[{"family":"Javourez","given":"U."},{"family":"Tiruta-Barna","given":"L."},{"family":"Hamelin","given":"L."}],"issued":{"date-parts":[["2023",11,20]]}}}],"schema":"https://github.com/citation-style-language/schema/raw/master/csl-citation.json"} </w:instrText>
      </w:r>
      <w:r>
        <w:rPr>
          <w:rFonts w:eastAsiaTheme="minorEastAsia"/>
        </w:rPr>
        <w:fldChar w:fldCharType="separate"/>
      </w:r>
      <w:r w:rsidR="00531900" w:rsidRPr="00531900">
        <w:rPr>
          <w:rFonts w:ascii="Calibri" w:hAnsi="Calibri" w:cs="Calibri"/>
          <w:szCs w:val="24"/>
          <w:vertAlign w:val="superscript"/>
        </w:rPr>
        <w:t>1</w:t>
      </w:r>
      <w:r>
        <w:rPr>
          <w:rFonts w:eastAsiaTheme="minorEastAsia"/>
        </w:rPr>
        <w:fldChar w:fldCharType="end"/>
      </w:r>
      <w:r>
        <w:rPr>
          <w:rFonts w:eastAsiaTheme="minorEastAsia"/>
        </w:rPr>
        <w:t>)</w:t>
      </w:r>
      <w:r w:rsidR="00360421">
        <w:rPr>
          <w:rFonts w:eastAsiaTheme="minorEastAsia"/>
        </w:rPr>
        <w:t>. This was corrected by standardizing the elementary effects</w:t>
      </w:r>
      <w:r w:rsidR="00360421">
        <w:rPr>
          <w:rFonts w:eastAsiaTheme="minorEastAsia"/>
        </w:rPr>
        <w:fldChar w:fldCharType="begin"/>
      </w:r>
      <w:r w:rsidR="00657D9A">
        <w:rPr>
          <w:rFonts w:eastAsiaTheme="minorEastAsia"/>
        </w:rPr>
        <w:instrText xml:space="preserve"> ADDIN ZOTERO_ITEM CSL_CITATION {"citationID":"vLQ2cLGS","properties":{"formattedCitation":"\\super 38\\nosupersub{}","plainCitation":"38","noteIndex":0},"citationItems":[{"id":14063,"uris":["http://zotero.org/users/6423791/items/T539LB36"],"itemData":{"id":14063,"type":"paper-conference","abstract":"The parameter importance ranking in the Morris method is based on elementary effects calculated at some randomly selected points in the input space. When applying this method to a complex dynamic fermentation model, the parameter significance ranking was observed to be dependent on the units of the factors used in the model hence leading to erroneous ranking results. To overcome this problem, this study argues to rank the factors’ importance on the scaled elementary effects. This solution was shown to correctly identify the important factors, thereby improving the resilience of the Morris method to type I error (the error committed when the statistical method identifies an input parameter as significant when in fact it is not). Overall we strongly suggest the use of a non-dimensional measure of elementary effects when using the Morris method to ensure a reliable screening of important factors in complex models.","container-title":"19th European Symposium on Computer Aided Process Engineering","DOI":"10.1016/S1570-7946(09)70154-3","ISBN":"978-0-444-53433-0","language":"en","page":"925-930","publisher":"Elsevier","source":"DOI.org (Crossref)","title":"Improving the Morris method for sensitivity analysis by scaling the elementary effects","URL":"https://linkinghub.elsevier.com/retrieve/pii/S1570794609701543","volume":"26","author":[{"family":"Sin","given":"Gürkan"},{"family":"Gernaey","given":"Krist V."}],"accessed":{"date-parts":[["2023",2,2]]},"issued":{"date-parts":[["2009"]]}}}],"schema":"https://github.com/citation-style-language/schema/raw/master/csl-citation.json"} </w:instrText>
      </w:r>
      <w:r w:rsidR="00360421">
        <w:rPr>
          <w:rFonts w:eastAsiaTheme="minorEastAsia"/>
        </w:rPr>
        <w:fldChar w:fldCharType="separate"/>
      </w:r>
      <w:r w:rsidR="00657D9A" w:rsidRPr="00657D9A">
        <w:rPr>
          <w:rFonts w:ascii="Calibri" w:hAnsi="Calibri" w:cs="Calibri"/>
          <w:szCs w:val="24"/>
          <w:vertAlign w:val="superscript"/>
        </w:rPr>
        <w:t>38</w:t>
      </w:r>
      <w:r w:rsidR="00360421">
        <w:rPr>
          <w:rFonts w:eastAsiaTheme="minorEastAsia"/>
        </w:rPr>
        <w:fldChar w:fldCharType="end"/>
      </w:r>
      <w:r w:rsidR="00360421">
        <w:rPr>
          <w:rFonts w:eastAsiaTheme="minorEastAsia"/>
        </w:rPr>
        <w:t xml:space="preserve">, </w:t>
      </w:r>
      <w:r w:rsidR="00360421" w:rsidRPr="00531900">
        <w:rPr>
          <w:rFonts w:eastAsiaTheme="minorEastAsia"/>
        </w:rPr>
        <w:t>see</w:t>
      </w:r>
      <w:r w:rsidR="00531900" w:rsidRPr="00531900">
        <w:rPr>
          <w:rFonts w:eastAsiaTheme="minorEastAsia"/>
        </w:rPr>
        <w:t xml:space="preserve"> </w:t>
      </w:r>
      <w:r w:rsidR="00531900" w:rsidRPr="00531900">
        <w:rPr>
          <w:rFonts w:eastAsiaTheme="minorEastAsia"/>
          <w:b/>
        </w:rPr>
        <w:fldChar w:fldCharType="begin"/>
      </w:r>
      <w:r w:rsidR="00531900" w:rsidRPr="00531900">
        <w:rPr>
          <w:rFonts w:eastAsiaTheme="minorEastAsia"/>
          <w:b/>
        </w:rPr>
        <w:instrText xml:space="preserve"> REF _Ref151711109 \h  \* MERGEFORMAT </w:instrText>
      </w:r>
      <w:r w:rsidR="00531900" w:rsidRPr="00531900">
        <w:rPr>
          <w:rFonts w:eastAsiaTheme="minorEastAsia"/>
          <w:b/>
        </w:rPr>
      </w:r>
      <w:r w:rsidR="00531900" w:rsidRPr="00531900">
        <w:rPr>
          <w:rFonts w:eastAsiaTheme="minorEastAsia"/>
          <w:b/>
        </w:rPr>
        <w:fldChar w:fldCharType="separate"/>
      </w:r>
      <w:r w:rsidR="00531900" w:rsidRPr="00531900">
        <w:rPr>
          <w:b/>
        </w:rPr>
        <w:t xml:space="preserve">Equation </w:t>
      </w:r>
      <w:r w:rsidR="00531900" w:rsidRPr="00531900">
        <w:rPr>
          <w:b/>
          <w:noProof/>
        </w:rPr>
        <w:t>4</w:t>
      </w:r>
      <w:r w:rsidR="00531900" w:rsidRPr="00531900">
        <w:rPr>
          <w:rFonts w:eastAsiaTheme="minorEastAsia"/>
          <w:b/>
        </w:rPr>
        <w:fldChar w:fldCharType="end"/>
      </w:r>
      <w:r w:rsidR="00360421" w:rsidRPr="00531900">
        <w:rPr>
          <w:rFonts w:eastAsiaTheme="minorEastAsia"/>
        </w:rPr>
        <w:t xml:space="preserve">. </w:t>
      </w:r>
      <w:r w:rsidR="00360421" w:rsidRPr="00531900">
        <w:t>Importantly</w:t>
      </w:r>
      <w:r w:rsidR="00360421">
        <w:t xml:space="preserve">, each parameter is modified only once per trajectory (therefore, r times in total). The order in which the p parameters are modified in each trajectory is aleatory. For a simulation i+1 in a given trajectory k, parameter </w:t>
      </w:r>
      <w:proofErr w:type="spellStart"/>
      <w:r w:rsidR="00360421">
        <w:t>P</w:t>
      </w:r>
      <w:r w:rsidR="00360421" w:rsidRPr="00E6474B">
        <w:rPr>
          <w:vertAlign w:val="subscript"/>
        </w:rPr>
        <w:t>j</w:t>
      </w:r>
      <w:proofErr w:type="spellEnd"/>
      <w:r w:rsidR="00360421">
        <w:t xml:space="preserve"> will change its value by </w:t>
      </w:r>
      <w:proofErr w:type="spellStart"/>
      <w:r w:rsidR="00360421">
        <w:t>dP</w:t>
      </w:r>
      <w:proofErr w:type="spellEnd"/>
      <w:r w:rsidR="00360421">
        <w:t>. The impact value change i.e. (</w:t>
      </w:r>
      <w:r w:rsidR="00360421">
        <w:rPr>
          <w:rFonts w:eastAsiaTheme="minorEastAsia"/>
        </w:rPr>
        <w:t>V</w:t>
      </w:r>
      <w:r w:rsidR="00360421" w:rsidRPr="00E6474B">
        <w:rPr>
          <w:rFonts w:eastAsiaTheme="minorEastAsia"/>
          <w:vertAlign w:val="superscript"/>
        </w:rPr>
        <w:t>i</w:t>
      </w:r>
      <w:r w:rsidR="00360421">
        <w:rPr>
          <w:rFonts w:eastAsiaTheme="minorEastAsia"/>
          <w:vertAlign w:val="superscript"/>
        </w:rPr>
        <w:t>+1</w:t>
      </w:r>
      <w:r w:rsidR="00360421">
        <w:rPr>
          <w:rFonts w:eastAsiaTheme="minorEastAsia"/>
        </w:rPr>
        <w:t xml:space="preserve"> - V</w:t>
      </w:r>
      <w:r w:rsidR="00360421" w:rsidRPr="00E6474B">
        <w:rPr>
          <w:rFonts w:eastAsiaTheme="minorEastAsia"/>
          <w:vertAlign w:val="superscript"/>
        </w:rPr>
        <w:t>i</w:t>
      </w:r>
      <w:r w:rsidR="00360421">
        <w:rPr>
          <w:rFonts w:eastAsiaTheme="minorEastAsia"/>
        </w:rPr>
        <w:t xml:space="preserve">) can be noted </w:t>
      </w:r>
      <w:r w:rsidR="00360421">
        <w:t>(</w:t>
      </w:r>
      <w:r w:rsidR="00360421">
        <w:rPr>
          <w:rFonts w:eastAsiaTheme="minorEastAsia"/>
        </w:rPr>
        <w:t>V</w:t>
      </w:r>
      <w:r w:rsidR="00360421" w:rsidRPr="00E6474B">
        <w:rPr>
          <w:rFonts w:eastAsiaTheme="minorEastAsia"/>
          <w:vertAlign w:val="superscript"/>
        </w:rPr>
        <w:t>i</w:t>
      </w:r>
      <w:r w:rsidR="00360421">
        <w:rPr>
          <w:rFonts w:eastAsiaTheme="minorEastAsia"/>
          <w:vertAlign w:val="superscript"/>
        </w:rPr>
        <w:t>+1</w:t>
      </w:r>
      <w:r w:rsidR="00360421">
        <w:rPr>
          <w:rFonts w:eastAsiaTheme="minorEastAsia"/>
        </w:rPr>
        <w:t xml:space="preserve"> - V</w:t>
      </w:r>
      <w:r w:rsidR="00360421" w:rsidRPr="00E6474B">
        <w:rPr>
          <w:rFonts w:eastAsiaTheme="minorEastAsia"/>
          <w:vertAlign w:val="superscript"/>
        </w:rPr>
        <w:t>i</w:t>
      </w:r>
      <w:r w:rsidR="00360421">
        <w:rPr>
          <w:rFonts w:eastAsiaTheme="minorEastAsia"/>
        </w:rPr>
        <w:t>)</w:t>
      </w:r>
      <w:proofErr w:type="spellStart"/>
      <w:r w:rsidR="00360421">
        <w:rPr>
          <w:rFonts w:eastAsiaTheme="minorEastAsia"/>
          <w:vertAlign w:val="superscript"/>
        </w:rPr>
        <w:t>j,k</w:t>
      </w:r>
      <w:proofErr w:type="spellEnd"/>
      <w:r w:rsidR="00360421">
        <w:rPr>
          <w:rFonts w:eastAsiaTheme="minorEastAsia"/>
        </w:rPr>
        <w:t xml:space="preserve"> (</w:t>
      </w:r>
      <w:r w:rsidR="00531900" w:rsidRPr="00531900">
        <w:rPr>
          <w:rFonts w:eastAsiaTheme="minorEastAsia"/>
          <w:b/>
        </w:rPr>
        <w:fldChar w:fldCharType="begin"/>
      </w:r>
      <w:r w:rsidR="00531900" w:rsidRPr="00531900">
        <w:rPr>
          <w:rFonts w:eastAsiaTheme="minorEastAsia"/>
          <w:b/>
        </w:rPr>
        <w:instrText xml:space="preserve"> REF _Ref151711334 \h </w:instrText>
      </w:r>
      <w:r w:rsidR="00531900">
        <w:rPr>
          <w:rFonts w:eastAsiaTheme="minorEastAsia"/>
          <w:b/>
        </w:rPr>
        <w:instrText xml:space="preserve"> \* MERGEFORMAT </w:instrText>
      </w:r>
      <w:r w:rsidR="00531900" w:rsidRPr="00531900">
        <w:rPr>
          <w:rFonts w:eastAsiaTheme="minorEastAsia"/>
          <w:b/>
        </w:rPr>
      </w:r>
      <w:r w:rsidR="00531900" w:rsidRPr="00531900">
        <w:rPr>
          <w:rFonts w:eastAsiaTheme="minorEastAsia"/>
          <w:b/>
        </w:rPr>
        <w:fldChar w:fldCharType="separate"/>
      </w:r>
      <w:r w:rsidR="00531900" w:rsidRPr="00531900">
        <w:rPr>
          <w:b/>
        </w:rPr>
        <w:t xml:space="preserve">Equation </w:t>
      </w:r>
      <w:r w:rsidR="00531900" w:rsidRPr="00531900">
        <w:rPr>
          <w:b/>
          <w:noProof/>
        </w:rPr>
        <w:t>3</w:t>
      </w:r>
      <w:r w:rsidR="00531900" w:rsidRPr="00531900">
        <w:rPr>
          <w:rFonts w:eastAsiaTheme="minorEastAsia"/>
          <w:b/>
        </w:rPr>
        <w:fldChar w:fldCharType="end"/>
      </w:r>
      <w:r w:rsidR="00360421">
        <w:rPr>
          <w:rFonts w:eastAsiaTheme="minorEastAsia"/>
        </w:rPr>
        <w:t>), and several  sensitivity metrics for each parameters can be calculated over all the trajectories (</w:t>
      </w:r>
      <w:r w:rsidR="00531900" w:rsidRPr="00531900">
        <w:rPr>
          <w:rFonts w:eastAsiaTheme="minorEastAsia"/>
          <w:b/>
        </w:rPr>
        <w:fldChar w:fldCharType="begin"/>
      </w:r>
      <w:r w:rsidR="00531900" w:rsidRPr="00531900">
        <w:rPr>
          <w:rFonts w:eastAsiaTheme="minorEastAsia"/>
          <w:b/>
        </w:rPr>
        <w:instrText xml:space="preserve"> REF _Ref151711109 \h </w:instrText>
      </w:r>
      <w:r w:rsidR="00531900">
        <w:rPr>
          <w:rFonts w:eastAsiaTheme="minorEastAsia"/>
          <w:b/>
        </w:rPr>
        <w:instrText xml:space="preserve"> \* MERGEFORMAT </w:instrText>
      </w:r>
      <w:r w:rsidR="00531900" w:rsidRPr="00531900">
        <w:rPr>
          <w:rFonts w:eastAsiaTheme="minorEastAsia"/>
          <w:b/>
        </w:rPr>
      </w:r>
      <w:r w:rsidR="00531900" w:rsidRPr="00531900">
        <w:rPr>
          <w:rFonts w:eastAsiaTheme="minorEastAsia"/>
          <w:b/>
        </w:rPr>
        <w:fldChar w:fldCharType="separate"/>
      </w:r>
      <w:r w:rsidR="00531900" w:rsidRPr="00531900">
        <w:rPr>
          <w:b/>
        </w:rPr>
        <w:t xml:space="preserve">Equation </w:t>
      </w:r>
      <w:r w:rsidR="00531900" w:rsidRPr="00531900">
        <w:rPr>
          <w:b/>
          <w:noProof/>
        </w:rPr>
        <w:t>4</w:t>
      </w:r>
      <w:r w:rsidR="00531900" w:rsidRPr="00531900">
        <w:rPr>
          <w:rFonts w:eastAsiaTheme="minorEastAsia"/>
          <w:b/>
        </w:rPr>
        <w:fldChar w:fldCharType="end"/>
      </w:r>
      <w:r w:rsidR="00531900">
        <w:rPr>
          <w:rFonts w:eastAsiaTheme="minorEastAsia"/>
        </w:rPr>
        <w:t xml:space="preserve">, </w:t>
      </w:r>
      <w:r w:rsidR="00531900" w:rsidRPr="00531900">
        <w:rPr>
          <w:rFonts w:eastAsiaTheme="minorEastAsia"/>
          <w:b/>
        </w:rPr>
        <w:fldChar w:fldCharType="begin"/>
      </w:r>
      <w:r w:rsidR="00531900" w:rsidRPr="00531900">
        <w:rPr>
          <w:rFonts w:eastAsiaTheme="minorEastAsia"/>
          <w:b/>
        </w:rPr>
        <w:instrText xml:space="preserve"> REF _Ref151711132 \h </w:instrText>
      </w:r>
      <w:r w:rsidR="00531900">
        <w:rPr>
          <w:rFonts w:eastAsiaTheme="minorEastAsia"/>
          <w:b/>
        </w:rPr>
        <w:instrText xml:space="preserve"> \* MERGEFORMAT </w:instrText>
      </w:r>
      <w:r w:rsidR="00531900" w:rsidRPr="00531900">
        <w:rPr>
          <w:rFonts w:eastAsiaTheme="minorEastAsia"/>
          <w:b/>
        </w:rPr>
      </w:r>
      <w:r w:rsidR="00531900" w:rsidRPr="00531900">
        <w:rPr>
          <w:rFonts w:eastAsiaTheme="minorEastAsia"/>
          <w:b/>
        </w:rPr>
        <w:fldChar w:fldCharType="separate"/>
      </w:r>
      <w:r w:rsidR="00531900" w:rsidRPr="00531900">
        <w:rPr>
          <w:b/>
        </w:rPr>
        <w:t xml:space="preserve">Equation </w:t>
      </w:r>
      <w:r w:rsidR="00531900" w:rsidRPr="00531900">
        <w:rPr>
          <w:b/>
          <w:noProof/>
        </w:rPr>
        <w:t>5</w:t>
      </w:r>
      <w:r w:rsidR="00531900" w:rsidRPr="00531900">
        <w:rPr>
          <w:rFonts w:eastAsiaTheme="minorEastAsia"/>
          <w:b/>
        </w:rPr>
        <w:fldChar w:fldCharType="end"/>
      </w:r>
      <w:r w:rsidR="00531900">
        <w:rPr>
          <w:rFonts w:eastAsiaTheme="minorEastAsia"/>
        </w:rPr>
        <w:t xml:space="preserve"> and </w:t>
      </w:r>
      <w:r w:rsidR="00531900" w:rsidRPr="00531900">
        <w:rPr>
          <w:rFonts w:eastAsiaTheme="minorEastAsia"/>
          <w:b/>
        </w:rPr>
        <w:fldChar w:fldCharType="begin"/>
      </w:r>
      <w:r w:rsidR="00531900" w:rsidRPr="00531900">
        <w:rPr>
          <w:rFonts w:eastAsiaTheme="minorEastAsia"/>
          <w:b/>
        </w:rPr>
        <w:instrText xml:space="preserve"> REF _Ref151711143 \h </w:instrText>
      </w:r>
      <w:r w:rsidR="00531900">
        <w:rPr>
          <w:rFonts w:eastAsiaTheme="minorEastAsia"/>
          <w:b/>
        </w:rPr>
        <w:instrText xml:space="preserve"> \* MERGEFORMAT </w:instrText>
      </w:r>
      <w:r w:rsidR="00531900" w:rsidRPr="00531900">
        <w:rPr>
          <w:rFonts w:eastAsiaTheme="minorEastAsia"/>
          <w:b/>
        </w:rPr>
      </w:r>
      <w:r w:rsidR="00531900" w:rsidRPr="00531900">
        <w:rPr>
          <w:rFonts w:eastAsiaTheme="minorEastAsia"/>
          <w:b/>
        </w:rPr>
        <w:fldChar w:fldCharType="separate"/>
      </w:r>
      <w:r w:rsidR="00531900" w:rsidRPr="00531900">
        <w:rPr>
          <w:b/>
        </w:rPr>
        <w:t xml:space="preserve">Equation </w:t>
      </w:r>
      <w:r w:rsidR="00531900" w:rsidRPr="00531900">
        <w:rPr>
          <w:b/>
          <w:noProof/>
        </w:rPr>
        <w:t>6</w:t>
      </w:r>
      <w:r w:rsidR="00531900" w:rsidRPr="00531900">
        <w:rPr>
          <w:rFonts w:eastAsiaTheme="minorEastAsia"/>
          <w:b/>
        </w:rPr>
        <w:fldChar w:fldCharType="end"/>
      </w:r>
      <w:r w:rsidR="00360421">
        <w:rPr>
          <w:rFonts w:eastAsiaTheme="minorEastAsia"/>
        </w:rPr>
        <w:t>).</w:t>
      </w:r>
    </w:p>
    <w:p w14:paraId="7A494BBD" w14:textId="079768D8" w:rsidR="00360421" w:rsidRPr="003E0F52" w:rsidRDefault="00450910" w:rsidP="00531900">
      <w:pPr>
        <w:pStyle w:val="Lgende"/>
        <w:jc w:val="left"/>
        <w:rPr>
          <w:b w:val="0"/>
        </w:rPr>
      </w:pPr>
      <w:bookmarkStart w:id="48" w:name="_Ref151710821"/>
      <w:r>
        <w:t xml:space="preserve">Equation </w:t>
      </w:r>
      <w:r>
        <w:fldChar w:fldCharType="begin"/>
      </w:r>
      <w:r>
        <w:instrText xml:space="preserve"> SEQ Equation \* ARABIC </w:instrText>
      </w:r>
      <w:r>
        <w:fldChar w:fldCharType="separate"/>
      </w:r>
      <w:r w:rsidR="00531900">
        <w:rPr>
          <w:noProof/>
        </w:rPr>
        <w:t>1</w:t>
      </w:r>
      <w:r>
        <w:fldChar w:fldCharType="end"/>
      </w:r>
      <w:bookmarkEnd w:id="48"/>
    </w:p>
    <w:p w14:paraId="68EB8C04" w14:textId="77777777" w:rsidR="00360421" w:rsidRPr="00531900" w:rsidRDefault="00360421" w:rsidP="00531900">
      <w:pPr>
        <w:rPr>
          <w:rFonts w:eastAsiaTheme="minorEastAsia"/>
        </w:rPr>
      </w:pPr>
      <m:oMathPara>
        <m:oMathParaPr>
          <m:jc m:val="left"/>
        </m:oMathParaPr>
        <m:oMath>
          <m:r>
            <w:rPr>
              <w:rFonts w:ascii="Cambria Math" w:hAnsi="Cambria Math"/>
            </w:rPr>
            <m:t xml:space="preserve">N=r × </m:t>
          </m:r>
          <m:d>
            <m:dPr>
              <m:ctrlPr>
                <w:rPr>
                  <w:rFonts w:ascii="Cambria Math" w:hAnsi="Cambria Math"/>
                  <w:i/>
                </w:rPr>
              </m:ctrlPr>
            </m:dPr>
            <m:e>
              <m:r>
                <w:rPr>
                  <w:rFonts w:ascii="Cambria Math" w:hAnsi="Cambria Math"/>
                </w:rPr>
                <m:t>p+1</m:t>
              </m:r>
            </m:e>
          </m:d>
        </m:oMath>
      </m:oMathPara>
    </w:p>
    <w:p w14:paraId="2CEBD8CB" w14:textId="28520A20" w:rsidR="00360421" w:rsidRPr="003E0F52" w:rsidRDefault="00450910" w:rsidP="00531900">
      <w:pPr>
        <w:pStyle w:val="Lgende"/>
        <w:jc w:val="left"/>
        <w:rPr>
          <w:b w:val="0"/>
        </w:rPr>
      </w:pPr>
      <w:bookmarkStart w:id="49" w:name="_Ref151711023"/>
      <w:r>
        <w:t xml:space="preserve">Equation </w:t>
      </w:r>
      <w:r>
        <w:fldChar w:fldCharType="begin"/>
      </w:r>
      <w:r>
        <w:instrText xml:space="preserve"> SEQ Equation \* ARABIC </w:instrText>
      </w:r>
      <w:r>
        <w:fldChar w:fldCharType="separate"/>
      </w:r>
      <w:r w:rsidR="00531900">
        <w:rPr>
          <w:noProof/>
        </w:rPr>
        <w:t>2</w:t>
      </w:r>
      <w:r>
        <w:fldChar w:fldCharType="end"/>
      </w:r>
      <w:bookmarkEnd w:id="49"/>
    </w:p>
    <w:p w14:paraId="6EE8B6FD" w14:textId="77777777" w:rsidR="00360421" w:rsidRPr="00531900" w:rsidRDefault="00360421" w:rsidP="00531900">
      <w:pPr>
        <w:rPr>
          <w:rFonts w:eastAsiaTheme="minorEastAsia"/>
        </w:rPr>
      </w:pPr>
      <m:oMathPara>
        <m:oMathParaPr>
          <m:jc m:val="left"/>
        </m:oMathParaPr>
        <m:oMath>
          <m:r>
            <m:rPr>
              <m:sty m:val="p"/>
            </m:rPr>
            <w:rPr>
              <w:rFonts w:ascii="Cambria Math" w:hAnsi="Cambria Math"/>
            </w:rPr>
            <m:t>dnP=3×δ=3×</m:t>
          </m:r>
          <m:f>
            <m:fPr>
              <m:ctrlPr>
                <w:rPr>
                  <w:rFonts w:ascii="Cambria Math" w:hAnsi="Cambria Math"/>
                </w:rPr>
              </m:ctrlPr>
            </m:fPr>
            <m:num>
              <m:r>
                <w:rPr>
                  <w:rFonts w:ascii="Cambria Math" w:hAnsi="Cambria Math"/>
                </w:rPr>
                <m:t>1</m:t>
              </m:r>
            </m:num>
            <m:den>
              <m:r>
                <w:rPr>
                  <w:rFonts w:ascii="Cambria Math" w:hAnsi="Cambria Math"/>
                </w:rPr>
                <m:t>L-1</m:t>
              </m:r>
            </m:den>
          </m:f>
        </m:oMath>
      </m:oMathPara>
    </w:p>
    <w:p w14:paraId="70C1008B" w14:textId="571622D1" w:rsidR="00360421" w:rsidRDefault="00531900" w:rsidP="00531900">
      <w:pPr>
        <w:rPr>
          <w:rFonts w:eastAsiaTheme="minorEastAsia"/>
          <w:sz w:val="18"/>
        </w:rPr>
      </w:pPr>
      <w:r>
        <w:rPr>
          <w:rFonts w:eastAsiaTheme="minorEastAsia"/>
          <w:sz w:val="18"/>
        </w:rPr>
        <w:t>“</w:t>
      </w:r>
      <w:r w:rsidR="00360421">
        <w:rPr>
          <w:rFonts w:eastAsiaTheme="minorEastAsia"/>
          <w:sz w:val="18"/>
        </w:rPr>
        <w:t>3</w:t>
      </w:r>
      <w:r>
        <w:rPr>
          <w:rFonts w:eastAsiaTheme="minorEastAsia"/>
          <w:sz w:val="18"/>
        </w:rPr>
        <w:t>” was</w:t>
      </w:r>
      <w:r w:rsidR="00360421">
        <w:rPr>
          <w:rFonts w:eastAsiaTheme="minorEastAsia"/>
          <w:sz w:val="18"/>
        </w:rPr>
        <w:t xml:space="preserve"> selected so that </w:t>
      </w:r>
      <w:proofErr w:type="spellStart"/>
      <w:r w:rsidR="00360421">
        <w:rPr>
          <w:rFonts w:eastAsiaTheme="minorEastAsia"/>
          <w:sz w:val="18"/>
        </w:rPr>
        <w:t>dnP</w:t>
      </w:r>
      <w:proofErr w:type="spellEnd"/>
      <w:r w:rsidR="00360421">
        <w:rPr>
          <w:rFonts w:eastAsiaTheme="minorEastAsia"/>
          <w:sz w:val="18"/>
        </w:rPr>
        <w:t xml:space="preserve"> close to 50%.</w:t>
      </w:r>
    </w:p>
    <w:p w14:paraId="7D424D80" w14:textId="7D5DB574" w:rsidR="00360421" w:rsidRPr="003D7789" w:rsidRDefault="00450910" w:rsidP="00531900">
      <w:pPr>
        <w:pStyle w:val="Lgende"/>
        <w:jc w:val="left"/>
        <w:rPr>
          <w:rFonts w:eastAsiaTheme="minorEastAsia"/>
          <w:b w:val="0"/>
        </w:rPr>
      </w:pPr>
      <w:bookmarkStart w:id="50" w:name="_Ref151711334"/>
      <w:r>
        <w:t xml:space="preserve">Equation </w:t>
      </w:r>
      <w:r>
        <w:fldChar w:fldCharType="begin"/>
      </w:r>
      <w:r>
        <w:instrText xml:space="preserve"> SEQ Equation \* ARABIC </w:instrText>
      </w:r>
      <w:r>
        <w:fldChar w:fldCharType="separate"/>
      </w:r>
      <w:r w:rsidR="00531900">
        <w:rPr>
          <w:noProof/>
        </w:rPr>
        <w:t>3</w:t>
      </w:r>
      <w:r>
        <w:fldChar w:fldCharType="end"/>
      </w:r>
      <w:bookmarkEnd w:id="50"/>
    </w:p>
    <w:p w14:paraId="73A41B56" w14:textId="77777777" w:rsidR="00360421" w:rsidRPr="00531900" w:rsidRDefault="00955234" w:rsidP="00531900">
      <w:pPr>
        <w:rPr>
          <w:rFonts w:eastAsiaTheme="minorEastAsia"/>
        </w:rPr>
      </w:pPr>
      <m:oMathPara>
        <m:oMathParaPr>
          <m:jc m:val="left"/>
        </m:oMathParaPr>
        <m:oMath>
          <m:sSup>
            <m:sSupPr>
              <m:ctrlPr>
                <w:rPr>
                  <w:rFonts w:ascii="Cambria Math" w:hAnsi="Cambria Math"/>
                  <w:i/>
                  <w:szCs w:val="18"/>
                </w:rPr>
              </m:ctrlPr>
            </m:sSupPr>
            <m:e>
              <m:r>
                <w:rPr>
                  <w:rFonts w:ascii="Cambria Math" w:hAnsi="Cambria Math"/>
                  <w:szCs w:val="18"/>
                </w:rPr>
                <m:t>V</m:t>
              </m:r>
            </m:e>
            <m:sup>
              <m:r>
                <w:rPr>
                  <w:rFonts w:ascii="Cambria Math" w:hAnsi="Cambria Math"/>
                  <w:szCs w:val="18"/>
                </w:rPr>
                <m:t>i</m:t>
              </m:r>
            </m:sup>
          </m:sSup>
          <m:r>
            <w:rPr>
              <w:rFonts w:ascii="Cambria Math" w:hAnsi="Cambria Math"/>
              <w:szCs w:val="18"/>
            </w:rPr>
            <m:t>=f</m:t>
          </m:r>
          <m:d>
            <m:dPr>
              <m:ctrlPr>
                <w:rPr>
                  <w:rFonts w:ascii="Cambria Math" w:hAnsi="Cambria Math"/>
                  <w:i/>
                  <w:szCs w:val="18"/>
                </w:rPr>
              </m:ctrlPr>
            </m:dPr>
            <m:e>
              <m:sSubSup>
                <m:sSubSupPr>
                  <m:ctrlPr>
                    <w:rPr>
                      <w:rFonts w:ascii="Cambria Math" w:hAnsi="Cambria Math"/>
                      <w:i/>
                      <w:szCs w:val="18"/>
                    </w:rPr>
                  </m:ctrlPr>
                </m:sSubSupPr>
                <m:e>
                  <m:r>
                    <w:rPr>
                      <w:rFonts w:ascii="Cambria Math" w:hAnsi="Cambria Math"/>
                      <w:szCs w:val="18"/>
                    </w:rPr>
                    <m:t>P</m:t>
                  </m:r>
                </m:e>
                <m:sub>
                  <m:r>
                    <w:rPr>
                      <w:rFonts w:ascii="Cambria Math" w:hAnsi="Cambria Math"/>
                      <w:szCs w:val="18"/>
                    </w:rPr>
                    <m:t>1</m:t>
                  </m:r>
                </m:sub>
                <m:sup>
                  <m:r>
                    <w:rPr>
                      <w:rFonts w:ascii="Cambria Math" w:hAnsi="Cambria Math"/>
                      <w:szCs w:val="18"/>
                    </w:rPr>
                    <m:t>i</m:t>
                  </m:r>
                </m:sup>
              </m:sSubSup>
              <m:r>
                <w:rPr>
                  <w:rFonts w:ascii="Cambria Math" w:hAnsi="Cambria Math"/>
                  <w:szCs w:val="18"/>
                </w:rPr>
                <m:t xml:space="preserve">, </m:t>
              </m:r>
              <m:sSubSup>
                <m:sSubSupPr>
                  <m:ctrlPr>
                    <w:rPr>
                      <w:rFonts w:ascii="Cambria Math" w:hAnsi="Cambria Math"/>
                      <w:i/>
                      <w:szCs w:val="18"/>
                    </w:rPr>
                  </m:ctrlPr>
                </m:sSubSupPr>
                <m:e>
                  <m:r>
                    <w:rPr>
                      <w:rFonts w:ascii="Cambria Math" w:hAnsi="Cambria Math"/>
                      <w:szCs w:val="18"/>
                    </w:rPr>
                    <m:t>P</m:t>
                  </m:r>
                </m:e>
                <m:sub>
                  <m:r>
                    <w:rPr>
                      <w:rFonts w:ascii="Cambria Math" w:hAnsi="Cambria Math"/>
                      <w:szCs w:val="18"/>
                    </w:rPr>
                    <m:t>2</m:t>
                  </m:r>
                </m:sub>
                <m:sup>
                  <m:r>
                    <w:rPr>
                      <w:rFonts w:ascii="Cambria Math" w:hAnsi="Cambria Math"/>
                      <w:szCs w:val="18"/>
                    </w:rPr>
                    <m:t>i</m:t>
                  </m:r>
                </m:sup>
              </m:sSubSup>
              <m:r>
                <w:rPr>
                  <w:rFonts w:ascii="Cambria Math" w:hAnsi="Cambria Math"/>
                  <w:szCs w:val="18"/>
                </w:rPr>
                <m:t xml:space="preserve">,… </m:t>
              </m:r>
              <m:sSubSup>
                <m:sSubSupPr>
                  <m:ctrlPr>
                    <w:rPr>
                      <w:rFonts w:ascii="Cambria Math" w:hAnsi="Cambria Math"/>
                      <w:i/>
                      <w:szCs w:val="18"/>
                    </w:rPr>
                  </m:ctrlPr>
                </m:sSubSupPr>
                <m:e>
                  <m:r>
                    <w:rPr>
                      <w:rFonts w:ascii="Cambria Math" w:hAnsi="Cambria Math"/>
                      <w:szCs w:val="18"/>
                    </w:rPr>
                    <m:t>P</m:t>
                  </m:r>
                </m:e>
                <m:sub>
                  <m:r>
                    <w:rPr>
                      <w:rFonts w:ascii="Cambria Math" w:hAnsi="Cambria Math"/>
                      <w:szCs w:val="18"/>
                    </w:rPr>
                    <m:t>j</m:t>
                  </m:r>
                </m:sub>
                <m:sup>
                  <m:r>
                    <w:rPr>
                      <w:rFonts w:ascii="Cambria Math" w:hAnsi="Cambria Math"/>
                      <w:szCs w:val="18"/>
                    </w:rPr>
                    <m:t>i</m:t>
                  </m:r>
                </m:sup>
              </m:sSubSup>
              <m:r>
                <w:rPr>
                  <w:rFonts w:ascii="Cambria Math" w:hAnsi="Cambria Math"/>
                  <w:szCs w:val="18"/>
                </w:rPr>
                <m:t xml:space="preserve">,…, </m:t>
              </m:r>
              <m:sSubSup>
                <m:sSubSupPr>
                  <m:ctrlPr>
                    <w:rPr>
                      <w:rFonts w:ascii="Cambria Math" w:hAnsi="Cambria Math"/>
                      <w:i/>
                      <w:szCs w:val="18"/>
                    </w:rPr>
                  </m:ctrlPr>
                </m:sSubSupPr>
                <m:e>
                  <m:r>
                    <w:rPr>
                      <w:rFonts w:ascii="Cambria Math" w:hAnsi="Cambria Math"/>
                      <w:szCs w:val="18"/>
                    </w:rPr>
                    <m:t>P</m:t>
                  </m:r>
                </m:e>
                <m:sub>
                  <m:r>
                    <w:rPr>
                      <w:rFonts w:ascii="Cambria Math" w:hAnsi="Cambria Math"/>
                      <w:szCs w:val="18"/>
                    </w:rPr>
                    <m:t>p</m:t>
                  </m:r>
                </m:sub>
                <m:sup>
                  <m:r>
                    <w:rPr>
                      <w:rFonts w:ascii="Cambria Math" w:hAnsi="Cambria Math"/>
                      <w:szCs w:val="18"/>
                    </w:rPr>
                    <m:t>i</m:t>
                  </m:r>
                </m:sup>
              </m:sSubSup>
              <m:r>
                <w:rPr>
                  <w:rFonts w:ascii="Cambria Math" w:hAnsi="Cambria Math"/>
                  <w:szCs w:val="18"/>
                </w:rPr>
                <m:t xml:space="preserve">  </m:t>
              </m:r>
            </m:e>
          </m:d>
          <m:r>
            <w:rPr>
              <w:rFonts w:ascii="Cambria Math" w:hAnsi="Cambria Math"/>
              <w:szCs w:val="18"/>
            </w:rPr>
            <m:t xml:space="preserve">; </m:t>
          </m:r>
          <m:sSup>
            <m:sSupPr>
              <m:ctrlPr>
                <w:rPr>
                  <w:rFonts w:ascii="Cambria Math" w:hAnsi="Cambria Math"/>
                  <w:i/>
                  <w:szCs w:val="18"/>
                </w:rPr>
              </m:ctrlPr>
            </m:sSupPr>
            <m:e>
              <m:r>
                <w:rPr>
                  <w:rFonts w:ascii="Cambria Math" w:hAnsi="Cambria Math"/>
                  <w:szCs w:val="18"/>
                </w:rPr>
                <m:t>V</m:t>
              </m:r>
            </m:e>
            <m:sup>
              <m:r>
                <w:rPr>
                  <w:rFonts w:ascii="Cambria Math" w:hAnsi="Cambria Math"/>
                  <w:szCs w:val="18"/>
                </w:rPr>
                <m:t>i+1</m:t>
              </m:r>
            </m:sup>
          </m:sSup>
          <m:r>
            <w:rPr>
              <w:rFonts w:ascii="Cambria Math" w:hAnsi="Cambria Math"/>
              <w:szCs w:val="18"/>
            </w:rPr>
            <m:t>=f</m:t>
          </m:r>
          <m:d>
            <m:dPr>
              <m:ctrlPr>
                <w:rPr>
                  <w:rFonts w:ascii="Cambria Math" w:hAnsi="Cambria Math"/>
                  <w:i/>
                  <w:szCs w:val="18"/>
                </w:rPr>
              </m:ctrlPr>
            </m:dPr>
            <m:e>
              <m:sSubSup>
                <m:sSubSupPr>
                  <m:ctrlPr>
                    <w:rPr>
                      <w:rFonts w:ascii="Cambria Math" w:hAnsi="Cambria Math"/>
                      <w:i/>
                      <w:szCs w:val="18"/>
                    </w:rPr>
                  </m:ctrlPr>
                </m:sSubSupPr>
                <m:e>
                  <m:r>
                    <w:rPr>
                      <w:rFonts w:ascii="Cambria Math" w:hAnsi="Cambria Math"/>
                      <w:szCs w:val="18"/>
                    </w:rPr>
                    <m:t>P</m:t>
                  </m:r>
                </m:e>
                <m:sub>
                  <m:r>
                    <w:rPr>
                      <w:rFonts w:ascii="Cambria Math" w:hAnsi="Cambria Math"/>
                      <w:szCs w:val="18"/>
                    </w:rPr>
                    <m:t>1</m:t>
                  </m:r>
                </m:sub>
                <m:sup>
                  <m:r>
                    <w:rPr>
                      <w:rFonts w:ascii="Cambria Math" w:hAnsi="Cambria Math"/>
                      <w:szCs w:val="18"/>
                    </w:rPr>
                    <m:t>i</m:t>
                  </m:r>
                </m:sup>
              </m:sSubSup>
              <m:r>
                <w:rPr>
                  <w:rFonts w:ascii="Cambria Math" w:hAnsi="Cambria Math"/>
                  <w:szCs w:val="18"/>
                </w:rPr>
                <m:t xml:space="preserve">, </m:t>
              </m:r>
              <m:sSubSup>
                <m:sSubSupPr>
                  <m:ctrlPr>
                    <w:rPr>
                      <w:rFonts w:ascii="Cambria Math" w:hAnsi="Cambria Math"/>
                      <w:i/>
                      <w:szCs w:val="18"/>
                    </w:rPr>
                  </m:ctrlPr>
                </m:sSubSupPr>
                <m:e>
                  <m:r>
                    <w:rPr>
                      <w:rFonts w:ascii="Cambria Math" w:hAnsi="Cambria Math"/>
                      <w:szCs w:val="18"/>
                    </w:rPr>
                    <m:t>P</m:t>
                  </m:r>
                </m:e>
                <m:sub>
                  <m:r>
                    <w:rPr>
                      <w:rFonts w:ascii="Cambria Math" w:hAnsi="Cambria Math"/>
                      <w:szCs w:val="18"/>
                    </w:rPr>
                    <m:t>2</m:t>
                  </m:r>
                </m:sub>
                <m:sup>
                  <m:r>
                    <w:rPr>
                      <w:rFonts w:ascii="Cambria Math" w:hAnsi="Cambria Math"/>
                      <w:szCs w:val="18"/>
                    </w:rPr>
                    <m:t>i</m:t>
                  </m:r>
                </m:sup>
              </m:sSubSup>
              <m:r>
                <w:rPr>
                  <w:rFonts w:ascii="Cambria Math" w:hAnsi="Cambria Math"/>
                  <w:szCs w:val="18"/>
                </w:rPr>
                <m:t xml:space="preserve">,… </m:t>
              </m:r>
              <m:sSubSup>
                <m:sSubSupPr>
                  <m:ctrlPr>
                    <w:rPr>
                      <w:rFonts w:ascii="Cambria Math" w:hAnsi="Cambria Math"/>
                      <w:i/>
                      <w:szCs w:val="18"/>
                    </w:rPr>
                  </m:ctrlPr>
                </m:sSubSupPr>
                <m:e>
                  <m:r>
                    <w:rPr>
                      <w:rFonts w:ascii="Cambria Math" w:hAnsi="Cambria Math"/>
                      <w:szCs w:val="18"/>
                    </w:rPr>
                    <m:t>P</m:t>
                  </m:r>
                </m:e>
                <m:sub>
                  <m:r>
                    <w:rPr>
                      <w:rFonts w:ascii="Cambria Math" w:hAnsi="Cambria Math"/>
                      <w:szCs w:val="18"/>
                    </w:rPr>
                    <m:t>j</m:t>
                  </m:r>
                </m:sub>
                <m:sup>
                  <m:r>
                    <w:rPr>
                      <w:rFonts w:ascii="Cambria Math" w:hAnsi="Cambria Math"/>
                      <w:szCs w:val="18"/>
                    </w:rPr>
                    <m:t>i+1</m:t>
                  </m:r>
                </m:sup>
              </m:sSubSup>
              <m:r>
                <w:rPr>
                  <w:rFonts w:ascii="Cambria Math" w:hAnsi="Cambria Math"/>
                  <w:szCs w:val="18"/>
                </w:rPr>
                <m:t xml:space="preserve">,…, </m:t>
              </m:r>
              <m:sSubSup>
                <m:sSubSupPr>
                  <m:ctrlPr>
                    <w:rPr>
                      <w:rFonts w:ascii="Cambria Math" w:hAnsi="Cambria Math"/>
                      <w:i/>
                      <w:szCs w:val="18"/>
                    </w:rPr>
                  </m:ctrlPr>
                </m:sSubSupPr>
                <m:e>
                  <m:r>
                    <w:rPr>
                      <w:rFonts w:ascii="Cambria Math" w:hAnsi="Cambria Math"/>
                      <w:szCs w:val="18"/>
                    </w:rPr>
                    <m:t>P</m:t>
                  </m:r>
                </m:e>
                <m:sub>
                  <m:r>
                    <w:rPr>
                      <w:rFonts w:ascii="Cambria Math" w:hAnsi="Cambria Math"/>
                      <w:szCs w:val="18"/>
                    </w:rPr>
                    <m:t>p</m:t>
                  </m:r>
                </m:sub>
                <m:sup>
                  <m:r>
                    <w:rPr>
                      <w:rFonts w:ascii="Cambria Math" w:hAnsi="Cambria Math"/>
                      <w:szCs w:val="18"/>
                    </w:rPr>
                    <m:t>i</m:t>
                  </m:r>
                </m:sup>
              </m:sSubSup>
              <m:r>
                <w:rPr>
                  <w:rFonts w:ascii="Cambria Math" w:hAnsi="Cambria Math"/>
                  <w:szCs w:val="18"/>
                </w:rPr>
                <m:t xml:space="preserve">  </m:t>
              </m:r>
            </m:e>
          </m:d>
        </m:oMath>
      </m:oMathPara>
    </w:p>
    <w:p w14:paraId="79B9AB8C" w14:textId="77777777" w:rsidR="00360421" w:rsidRDefault="00360421" w:rsidP="00531900">
      <w:pPr>
        <w:rPr>
          <w:rFonts w:eastAsiaTheme="minorEastAsia"/>
          <w:sz w:val="18"/>
        </w:rPr>
      </w:pPr>
      <w:r w:rsidRPr="003D7789">
        <w:rPr>
          <w:rFonts w:eastAsiaTheme="minorEastAsia"/>
          <w:sz w:val="18"/>
        </w:rPr>
        <w:t xml:space="preserve">where </w:t>
      </w:r>
      <w:proofErr w:type="spellStart"/>
      <w:r w:rsidRPr="003D7789">
        <w:rPr>
          <w:rFonts w:eastAsiaTheme="minorEastAsia"/>
          <w:sz w:val="18"/>
        </w:rPr>
        <w:t>i</w:t>
      </w:r>
      <w:proofErr w:type="spellEnd"/>
      <w:r w:rsidRPr="003D7789">
        <w:rPr>
          <w:rFonts w:eastAsiaTheme="minorEastAsia"/>
          <w:sz w:val="18"/>
        </w:rPr>
        <w:t xml:space="preserve"> and i+1 are two consecutive simulations in which parameter j was changed.</w:t>
      </w:r>
    </w:p>
    <w:p w14:paraId="3D22A463" w14:textId="181570FA" w:rsidR="00360421" w:rsidRPr="003E0F52" w:rsidRDefault="00450910" w:rsidP="00531900">
      <w:pPr>
        <w:pStyle w:val="Lgende"/>
        <w:jc w:val="left"/>
        <w:rPr>
          <w:b w:val="0"/>
        </w:rPr>
      </w:pPr>
      <w:bookmarkStart w:id="51" w:name="_Ref151711109"/>
      <w:r>
        <w:t xml:space="preserve">Equation </w:t>
      </w:r>
      <w:r>
        <w:fldChar w:fldCharType="begin"/>
      </w:r>
      <w:r>
        <w:instrText xml:space="preserve"> SEQ Equation \* ARABIC </w:instrText>
      </w:r>
      <w:r>
        <w:fldChar w:fldCharType="separate"/>
      </w:r>
      <w:r w:rsidR="00531900">
        <w:rPr>
          <w:noProof/>
        </w:rPr>
        <w:t>4</w:t>
      </w:r>
      <w:r>
        <w:fldChar w:fldCharType="end"/>
      </w:r>
      <w:bookmarkEnd w:id="51"/>
    </w:p>
    <w:p w14:paraId="75093EEE" w14:textId="77777777" w:rsidR="00360421" w:rsidRPr="00531900" w:rsidRDefault="00955234" w:rsidP="00531900">
      <w:pPr>
        <w:rPr>
          <w:rFonts w:eastAsiaTheme="minorEastAsia"/>
        </w:rPr>
      </w:pPr>
      <m:oMathPara>
        <m:oMathParaPr>
          <m:jc m:val="left"/>
        </m:oMathParaPr>
        <m:oMath>
          <m:sSup>
            <m:sSupPr>
              <m:ctrlPr>
                <w:rPr>
                  <w:rFonts w:ascii="Cambria Math" w:hAnsi="Cambria Math"/>
                  <w:i/>
                </w:rPr>
              </m:ctrlPr>
            </m:sSupPr>
            <m:e>
              <m:r>
                <w:rPr>
                  <w:rFonts w:ascii="Cambria Math" w:hAnsi="Cambria Math"/>
                </w:rPr>
                <m:t>Z</m:t>
              </m:r>
            </m:e>
            <m:sup>
              <m:r>
                <w:rPr>
                  <w:rFonts w:ascii="Cambria Math" w:hAnsi="Cambria Math"/>
                </w:rPr>
                <m:t>j,k</m:t>
              </m:r>
            </m:sup>
          </m:sSup>
          <m:r>
            <w:rPr>
              <w:rFonts w:ascii="Cambria Math" w:hAnsi="Cambria Math"/>
            </w:rPr>
            <m:t>=</m:t>
          </m:r>
          <m:f>
            <m:fPr>
              <m:ctrlPr>
                <w:rPr>
                  <w:rFonts w:ascii="Cambria Math" w:hAnsi="Cambria Math"/>
                  <w:i/>
                </w:rPr>
              </m:ctrlPr>
            </m:fPr>
            <m:num>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V</m:t>
                          </m:r>
                        </m:e>
                        <m:sup>
                          <m:r>
                            <w:rPr>
                              <w:rFonts w:ascii="Cambria Math" w:hAnsi="Cambria Math"/>
                            </w:rPr>
                            <m:t>i+1</m:t>
                          </m:r>
                        </m:sup>
                      </m:sSup>
                      <m:r>
                        <w:rPr>
                          <w:rFonts w:ascii="Cambria Math" w:hAnsi="Cambria Math"/>
                        </w:rPr>
                        <m:t>-</m:t>
                      </m:r>
                      <m:sSup>
                        <m:sSupPr>
                          <m:ctrlPr>
                            <w:rPr>
                              <w:rFonts w:ascii="Cambria Math" w:hAnsi="Cambria Math"/>
                              <w:i/>
                            </w:rPr>
                          </m:ctrlPr>
                        </m:sSupPr>
                        <m:e>
                          <m:r>
                            <w:rPr>
                              <w:rFonts w:ascii="Cambria Math" w:hAnsi="Cambria Math"/>
                            </w:rPr>
                            <m:t>V</m:t>
                          </m:r>
                        </m:e>
                        <m:sup>
                          <m:r>
                            <w:rPr>
                              <w:rFonts w:ascii="Cambria Math" w:hAnsi="Cambria Math"/>
                            </w:rPr>
                            <m:t>i</m:t>
                          </m:r>
                        </m:sup>
                      </m:sSup>
                    </m:e>
                  </m:d>
                </m:e>
                <m:sup>
                  <m:r>
                    <w:rPr>
                      <w:rFonts w:ascii="Cambria Math" w:hAnsi="Cambria Math"/>
                    </w:rPr>
                    <m:t>j,k</m:t>
                  </m:r>
                </m:sup>
              </m:sSup>
            </m:num>
            <m:den>
              <m:sSub>
                <m:sSubPr>
                  <m:ctrlPr>
                    <w:rPr>
                      <w:rFonts w:ascii="Cambria Math" w:hAnsi="Cambria Math"/>
                    </w:rPr>
                  </m:ctrlPr>
                </m:sSubPr>
                <m:e>
                  <m:r>
                    <m:rPr>
                      <m:sty m:val="p"/>
                    </m:rPr>
                    <w:rPr>
                      <w:rFonts w:ascii="Cambria Math" w:hAnsi="Cambria Math"/>
                    </w:rPr>
                    <m:t>dP</m:t>
                  </m:r>
                </m:e>
                <m:sub>
                  <m:r>
                    <w:rPr>
                      <w:rFonts w:ascii="Cambria Math" w:hAnsi="Cambria Math"/>
                    </w:rPr>
                    <m:t>j</m:t>
                  </m:r>
                </m:sub>
              </m:sSub>
            </m:den>
          </m:f>
          <m:r>
            <w:rPr>
              <w:rFonts w:ascii="Cambria Math" w:hAnsi="Cambria Math"/>
            </w:rPr>
            <m:t>×</m:t>
          </m:r>
          <m:f>
            <m:fPr>
              <m:ctrlPr>
                <w:rPr>
                  <w:rFonts w:ascii="Cambria Math" w:hAnsi="Cambria Math"/>
                  <w:i/>
                </w:rPr>
              </m:ctrlPr>
            </m:fPr>
            <m:num>
              <m:sSub>
                <m:sSubPr>
                  <m:ctrlPr>
                    <w:rPr>
                      <w:rFonts w:ascii="Cambria Math" w:hAnsi="Cambria Math"/>
                      <w:i/>
                    </w:rPr>
                  </m:ctrlPr>
                </m:sSubPr>
                <m:e>
                  <m:r>
                    <m:rPr>
                      <m:sty m:val="p"/>
                    </m:rPr>
                    <w:rPr>
                      <w:rStyle w:val="hgkelc"/>
                      <w:rFonts w:ascii="Cambria Math" w:hAnsi="Cambria Math"/>
                    </w:rPr>
                    <m:t>σ</m:t>
                  </m:r>
                </m:e>
                <m:sub>
                  <m:r>
                    <w:rPr>
                      <w:rFonts w:ascii="Cambria Math" w:hAnsi="Cambria Math"/>
                    </w:rPr>
                    <m:t>Pj</m:t>
                  </m:r>
                </m:sub>
              </m:sSub>
            </m:num>
            <m:den>
              <m:sSub>
                <m:sSubPr>
                  <m:ctrlPr>
                    <w:rPr>
                      <w:rFonts w:ascii="Cambria Math" w:hAnsi="Cambria Math"/>
                      <w:i/>
                    </w:rPr>
                  </m:ctrlPr>
                </m:sSubPr>
                <m:e>
                  <m:r>
                    <m:rPr>
                      <m:sty m:val="p"/>
                    </m:rPr>
                    <w:rPr>
                      <w:rStyle w:val="hgkelc"/>
                      <w:rFonts w:ascii="Cambria Math" w:hAnsi="Cambria Math"/>
                    </w:rPr>
                    <m:t>σ</m:t>
                  </m:r>
                </m:e>
                <m:sub>
                  <m:r>
                    <w:rPr>
                      <w:rFonts w:ascii="Cambria Math" w:hAnsi="Cambria Math"/>
                    </w:rPr>
                    <m:t>V</m:t>
                  </m:r>
                </m:sub>
              </m:sSub>
            </m:den>
          </m:f>
        </m:oMath>
      </m:oMathPara>
    </w:p>
    <w:p w14:paraId="7EC02FE9" w14:textId="395D6814" w:rsidR="00360421" w:rsidRDefault="00360421" w:rsidP="00531900">
      <w:pPr>
        <w:rPr>
          <w:rFonts w:eastAsiaTheme="minorEastAsia"/>
          <w:sz w:val="18"/>
        </w:rPr>
      </w:pPr>
      <w:r w:rsidRPr="00FB1996">
        <w:rPr>
          <w:rFonts w:eastAsiaTheme="minorEastAsia"/>
          <w:sz w:val="18"/>
        </w:rPr>
        <w:t xml:space="preserve">Standardized elementary effects in trajectory k of </w:t>
      </w:r>
      <w:proofErr w:type="spellStart"/>
      <w:r w:rsidRPr="0041482E">
        <w:rPr>
          <w:rFonts w:eastAsiaTheme="minorEastAsia"/>
          <w:sz w:val="18"/>
          <w:szCs w:val="18"/>
        </w:rPr>
        <w:t>P</w:t>
      </w:r>
      <w:r w:rsidRPr="0041482E">
        <w:rPr>
          <w:rFonts w:eastAsiaTheme="minorEastAsia"/>
          <w:sz w:val="18"/>
          <w:szCs w:val="18"/>
          <w:vertAlign w:val="subscript"/>
        </w:rPr>
        <w:t>j</w:t>
      </w:r>
      <w:proofErr w:type="spellEnd"/>
      <w:r w:rsidRPr="0041482E">
        <w:rPr>
          <w:rFonts w:eastAsiaTheme="minorEastAsia"/>
          <w:sz w:val="18"/>
          <w:szCs w:val="18"/>
        </w:rPr>
        <w:t xml:space="preserve"> on V.</w:t>
      </w:r>
      <m:oMath>
        <m:r>
          <w:rPr>
            <w:rFonts w:ascii="Cambria Math" w:hAnsi="Cambria Math"/>
            <w:sz w:val="18"/>
            <w:szCs w:val="18"/>
          </w:rPr>
          <m:t xml:space="preserve"> </m:t>
        </m:r>
        <m:sSub>
          <m:sSubPr>
            <m:ctrlPr>
              <w:rPr>
                <w:rFonts w:ascii="Cambria Math" w:hAnsi="Cambria Math"/>
                <w:i/>
                <w:sz w:val="18"/>
                <w:szCs w:val="18"/>
              </w:rPr>
            </m:ctrlPr>
          </m:sSubPr>
          <m:e>
            <m:r>
              <m:rPr>
                <m:sty m:val="p"/>
              </m:rPr>
              <w:rPr>
                <w:rStyle w:val="hgkelc"/>
                <w:rFonts w:ascii="Cambria Math" w:hAnsi="Cambria Math"/>
                <w:sz w:val="18"/>
                <w:szCs w:val="18"/>
              </w:rPr>
              <m:t>σ</m:t>
            </m:r>
          </m:e>
          <m:sub>
            <m:r>
              <w:rPr>
                <w:rFonts w:ascii="Cambria Math" w:hAnsi="Cambria Math"/>
                <w:sz w:val="18"/>
                <w:szCs w:val="18"/>
              </w:rPr>
              <m:t>V</m:t>
            </m:r>
          </m:sub>
        </m:sSub>
      </m:oMath>
      <w:r>
        <w:rPr>
          <w:rFonts w:eastAsiaTheme="minorEastAsia"/>
          <w:sz w:val="18"/>
          <w:szCs w:val="18"/>
        </w:rPr>
        <w:t xml:space="preserve"> </w:t>
      </w:r>
      <w:r w:rsidRPr="004E72DF">
        <w:rPr>
          <w:rFonts w:eastAsiaTheme="minorEastAsia"/>
          <w:sz w:val="18"/>
          <w:szCs w:val="18"/>
        </w:rPr>
        <w:t xml:space="preserve">and </w:t>
      </w:r>
      <m:oMath>
        <m:sSub>
          <m:sSubPr>
            <m:ctrlPr>
              <w:rPr>
                <w:rFonts w:ascii="Cambria Math" w:hAnsi="Cambria Math"/>
                <w:i/>
                <w:sz w:val="18"/>
                <w:szCs w:val="18"/>
              </w:rPr>
            </m:ctrlPr>
          </m:sSubPr>
          <m:e>
            <m:r>
              <m:rPr>
                <m:sty m:val="p"/>
              </m:rPr>
              <w:rPr>
                <w:rStyle w:val="hgkelc"/>
                <w:rFonts w:ascii="Cambria Math" w:hAnsi="Cambria Math"/>
                <w:sz w:val="18"/>
                <w:szCs w:val="18"/>
              </w:rPr>
              <m:t>σ</m:t>
            </m:r>
          </m:e>
          <m:sub>
            <m:r>
              <w:rPr>
                <w:rFonts w:ascii="Cambria Math" w:hAnsi="Cambria Math"/>
                <w:sz w:val="18"/>
                <w:szCs w:val="18"/>
              </w:rPr>
              <m:t>Pj</m:t>
            </m:r>
          </m:sub>
        </m:sSub>
      </m:oMath>
      <w:r w:rsidRPr="004E72DF">
        <w:rPr>
          <w:rFonts w:eastAsiaTheme="minorEastAsia"/>
          <w:sz w:val="18"/>
          <w:szCs w:val="18"/>
        </w:rPr>
        <w:t xml:space="preserve"> are</w:t>
      </w:r>
      <w:r>
        <w:rPr>
          <w:rFonts w:eastAsiaTheme="minorEastAsia"/>
          <w:sz w:val="18"/>
          <w:szCs w:val="18"/>
        </w:rPr>
        <w:t xml:space="preserve"> the standard deviations of respectively the model’s output (V) and inputs (</w:t>
      </w:r>
      <w:proofErr w:type="spellStart"/>
      <w:r>
        <w:rPr>
          <w:rFonts w:eastAsiaTheme="minorEastAsia"/>
          <w:sz w:val="18"/>
          <w:szCs w:val="18"/>
        </w:rPr>
        <w:t>P</w:t>
      </w:r>
      <w:r w:rsidRPr="00E15244">
        <w:rPr>
          <w:rFonts w:eastAsiaTheme="minorEastAsia"/>
          <w:sz w:val="18"/>
          <w:szCs w:val="18"/>
          <w:vertAlign w:val="subscript"/>
        </w:rPr>
        <w:t>j</w:t>
      </w:r>
      <w:proofErr w:type="spellEnd"/>
      <w:r>
        <w:rPr>
          <w:rFonts w:eastAsiaTheme="minorEastAsia"/>
          <w:sz w:val="18"/>
          <w:szCs w:val="18"/>
        </w:rPr>
        <w:t>) over all the simulations</w:t>
      </w:r>
      <w:r>
        <w:rPr>
          <w:rFonts w:eastAsiaTheme="minorEastAsia"/>
          <w:sz w:val="18"/>
          <w:szCs w:val="18"/>
        </w:rPr>
        <w:fldChar w:fldCharType="begin"/>
      </w:r>
      <w:r w:rsidR="00657D9A">
        <w:rPr>
          <w:rFonts w:eastAsiaTheme="minorEastAsia"/>
          <w:sz w:val="18"/>
          <w:szCs w:val="18"/>
        </w:rPr>
        <w:instrText xml:space="preserve"> ADDIN ZOTERO_ITEM CSL_CITATION {"citationID":"xE0VxZt6","properties":{"formattedCitation":"\\super 38\\nosupersub{}","plainCitation":"38","noteIndex":0},"citationItems":[{"id":14063,"uris":["http://zotero.org/users/6423791/items/T539LB36"],"itemData":{"id":14063,"type":"paper-conference","abstract":"The parameter importance ranking in the Morris method is based on elementary effects calculated at some randomly selected points in the input space. When applying this method to a complex dynamic fermentation model, the parameter significance ranking was observed to be dependent on the units of the factors used in the model hence leading to erroneous ranking results. To overcome this problem, this study argues to rank the factors’ importance on the scaled elementary effects. This solution was shown to correctly identify the important factors, thereby improving the resilience of the Morris method to type I error (the error committed when the statistical method identifies an input parameter as significant when in fact it is not). Overall we strongly suggest the use of a non-dimensional measure of elementary effects when using the Morris method to ensure a reliable screening of important factors in complex models.","container-title":"19th European Symposium on Computer Aided Process Engineering","DOI":"10.1016/S1570-7946(09)70154-3","ISBN":"978-0-444-53433-0","language":"en","page":"925-930","publisher":"Elsevier","source":"DOI.org (Crossref)","title":"Improving the Morris method for sensitivity analysis by scaling the elementary effects","URL":"https://linkinghub.elsevier.com/retrieve/pii/S1570794609701543","volume":"26","author":[{"family":"Sin","given":"Gürkan"},{"family":"Gernaey","given":"Krist V."}],"accessed":{"date-parts":[["2023",2,2]]},"issued":{"date-parts":[["2009"]]}}}],"schema":"https://github.com/citation-style-language/schema/raw/master/csl-citation.json"} </w:instrText>
      </w:r>
      <w:r>
        <w:rPr>
          <w:rFonts w:eastAsiaTheme="minorEastAsia"/>
          <w:sz w:val="18"/>
          <w:szCs w:val="18"/>
        </w:rPr>
        <w:fldChar w:fldCharType="separate"/>
      </w:r>
      <w:r w:rsidR="00657D9A" w:rsidRPr="00657D9A">
        <w:rPr>
          <w:rFonts w:ascii="Calibri" w:hAnsi="Calibri" w:cs="Calibri"/>
          <w:sz w:val="18"/>
          <w:szCs w:val="24"/>
          <w:vertAlign w:val="superscript"/>
        </w:rPr>
        <w:t>38</w:t>
      </w:r>
      <w:r>
        <w:rPr>
          <w:rFonts w:eastAsiaTheme="minorEastAsia"/>
          <w:sz w:val="18"/>
          <w:szCs w:val="18"/>
        </w:rPr>
        <w:fldChar w:fldCharType="end"/>
      </w:r>
      <w:r>
        <w:rPr>
          <w:rFonts w:eastAsiaTheme="minorEastAsia"/>
          <w:sz w:val="18"/>
          <w:szCs w:val="18"/>
        </w:rPr>
        <w:t xml:space="preserve">. </w:t>
      </w:r>
      <w:r w:rsidRPr="00FB1996">
        <w:rPr>
          <w:rFonts w:eastAsiaTheme="minorEastAsia"/>
          <w:sz w:val="18"/>
        </w:rPr>
        <w:t>Z is dimensionless</w:t>
      </w:r>
      <w:r>
        <w:rPr>
          <w:rFonts w:eastAsiaTheme="minorEastAsia"/>
          <w:sz w:val="18"/>
        </w:rPr>
        <w:t>.</w:t>
      </w:r>
    </w:p>
    <w:p w14:paraId="10C10164" w14:textId="3C9825A1" w:rsidR="00360421" w:rsidRPr="003E0F52" w:rsidRDefault="00450910" w:rsidP="00531900">
      <w:pPr>
        <w:pStyle w:val="Lgende"/>
        <w:jc w:val="left"/>
        <w:rPr>
          <w:b w:val="0"/>
        </w:rPr>
      </w:pPr>
      <w:bookmarkStart w:id="52" w:name="_Ref151711132"/>
      <w:r>
        <w:t xml:space="preserve">Equation </w:t>
      </w:r>
      <w:r>
        <w:fldChar w:fldCharType="begin"/>
      </w:r>
      <w:r>
        <w:instrText xml:space="preserve"> SEQ Equation \* ARABIC </w:instrText>
      </w:r>
      <w:r>
        <w:fldChar w:fldCharType="separate"/>
      </w:r>
      <w:r w:rsidR="00531900">
        <w:rPr>
          <w:noProof/>
        </w:rPr>
        <w:t>5</w:t>
      </w:r>
      <w:r>
        <w:fldChar w:fldCharType="end"/>
      </w:r>
      <w:bookmarkEnd w:id="52"/>
    </w:p>
    <w:p w14:paraId="575F26A7" w14:textId="77777777" w:rsidR="00360421" w:rsidRPr="00531900" w:rsidRDefault="00955234" w:rsidP="00531900">
      <w:pPr>
        <w:rPr>
          <w:rFonts w:eastAsiaTheme="minorEastAsia"/>
        </w:rPr>
      </w:pPr>
      <m:oMathPara>
        <m:oMathParaPr>
          <m:jc m:val="left"/>
        </m:oMathParaPr>
        <m:oMath>
          <m:sSubSup>
            <m:sSubSupPr>
              <m:ctrlPr>
                <w:rPr>
                  <w:rFonts w:ascii="Cambria Math" w:hAnsi="Cambria Math"/>
                  <w:i/>
                </w:rPr>
              </m:ctrlPr>
            </m:sSubSupPr>
            <m:e>
              <m:r>
                <w:rPr>
                  <w:rFonts w:ascii="Cambria Math" w:hAnsi="Cambria Math"/>
                </w:rPr>
                <m:t>μ</m:t>
              </m:r>
            </m:e>
            <m:sub>
              <m:r>
                <w:rPr>
                  <w:rFonts w:ascii="Cambria Math" w:hAnsi="Cambria Math"/>
                </w:rPr>
                <m:t>j</m:t>
              </m:r>
            </m:sub>
            <m:sup>
              <m:r>
                <w:rPr>
                  <w:rFonts w:ascii="Cambria Math" w:hAnsi="Cambria Math"/>
                </w:rPr>
                <m:t>*</m:t>
              </m:r>
            </m:sup>
          </m:sSubSup>
          <m:r>
            <w:rPr>
              <w:rFonts w:ascii="Cambria Math" w:hAnsi="Cambria Math"/>
            </w:rPr>
            <m:t>=</m:t>
          </m:r>
          <m:f>
            <m:fPr>
              <m:ctrlPr>
                <w:rPr>
                  <w:rFonts w:ascii="Cambria Math" w:hAnsi="Cambria Math"/>
                  <w:i/>
                </w:rPr>
              </m:ctrlPr>
            </m:fPr>
            <m:num>
              <m:r>
                <w:rPr>
                  <w:rFonts w:ascii="Cambria Math" w:hAnsi="Cambria Math"/>
                </w:rPr>
                <m:t>1</m:t>
              </m:r>
            </m:num>
            <m:den>
              <m:r>
                <w:rPr>
                  <w:rFonts w:ascii="Cambria Math" w:hAnsi="Cambria Math"/>
                </w:rPr>
                <m:t>r</m:t>
              </m:r>
            </m:den>
          </m:f>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r</m:t>
              </m:r>
            </m:sup>
            <m:e>
              <m:d>
                <m:dPr>
                  <m:begChr m:val="|"/>
                  <m:endChr m:val="|"/>
                  <m:ctrlPr>
                    <w:rPr>
                      <w:rFonts w:ascii="Cambria Math" w:hAnsi="Cambria Math"/>
                      <w:i/>
                    </w:rPr>
                  </m:ctrlPr>
                </m:dPr>
                <m:e>
                  <m:sSubSup>
                    <m:sSubSupPr>
                      <m:ctrlPr>
                        <w:rPr>
                          <w:rFonts w:ascii="Cambria Math" w:hAnsi="Cambria Math"/>
                          <w:i/>
                        </w:rPr>
                      </m:ctrlPr>
                    </m:sSubSupPr>
                    <m:e>
                      <m:r>
                        <w:rPr>
                          <w:rFonts w:ascii="Cambria Math" w:hAnsi="Cambria Math"/>
                        </w:rPr>
                        <m:t>Z</m:t>
                      </m:r>
                    </m:e>
                    <m:sub>
                      <m:r>
                        <w:rPr>
                          <w:rFonts w:ascii="Cambria Math" w:hAnsi="Cambria Math"/>
                        </w:rPr>
                        <m:t>i</m:t>
                      </m:r>
                    </m:sub>
                    <m:sup>
                      <m:r>
                        <w:rPr>
                          <w:rFonts w:ascii="Cambria Math" w:hAnsi="Cambria Math"/>
                        </w:rPr>
                        <m:t>j,k</m:t>
                      </m:r>
                    </m:sup>
                  </m:sSubSup>
                </m:e>
              </m:d>
            </m:e>
          </m:nary>
        </m:oMath>
      </m:oMathPara>
    </w:p>
    <w:p w14:paraId="785ABFE3" w14:textId="77777777" w:rsidR="00360421" w:rsidRDefault="00360421" w:rsidP="00531900">
      <w:pPr>
        <w:rPr>
          <w:rFonts w:eastAsiaTheme="minorEastAsia"/>
          <w:sz w:val="18"/>
        </w:rPr>
      </w:pPr>
      <w:r>
        <w:rPr>
          <w:rFonts w:eastAsiaTheme="minorEastAsia"/>
          <w:sz w:val="18"/>
        </w:rPr>
        <w:t>Average of the standardized elementary effects over all the trajectories.</w:t>
      </w:r>
    </w:p>
    <w:p w14:paraId="74AB81BA" w14:textId="6D8F3E1A" w:rsidR="00360421" w:rsidRPr="003E0F52" w:rsidRDefault="00450910" w:rsidP="00531900">
      <w:pPr>
        <w:pStyle w:val="Lgende"/>
        <w:jc w:val="left"/>
        <w:rPr>
          <w:b w:val="0"/>
        </w:rPr>
      </w:pPr>
      <w:bookmarkStart w:id="53" w:name="_Ref151711143"/>
      <w:r>
        <w:lastRenderedPageBreak/>
        <w:t xml:space="preserve">Equation </w:t>
      </w:r>
      <w:r>
        <w:fldChar w:fldCharType="begin"/>
      </w:r>
      <w:r>
        <w:instrText xml:space="preserve"> SEQ Equation \* ARABIC </w:instrText>
      </w:r>
      <w:r>
        <w:fldChar w:fldCharType="separate"/>
      </w:r>
      <w:r w:rsidR="00531900">
        <w:rPr>
          <w:noProof/>
        </w:rPr>
        <w:t>6</w:t>
      </w:r>
      <w:r>
        <w:fldChar w:fldCharType="end"/>
      </w:r>
      <w:bookmarkEnd w:id="53"/>
    </w:p>
    <w:p w14:paraId="729CA2EB" w14:textId="77777777" w:rsidR="00360421" w:rsidRPr="00531900" w:rsidRDefault="00955234" w:rsidP="00531900">
      <w:pPr>
        <w:rPr>
          <w:rFonts w:eastAsiaTheme="minorEastAsia"/>
        </w:rPr>
      </w:pPr>
      <m:oMathPara>
        <m:oMathParaPr>
          <m:jc m:val="left"/>
        </m:oMathParaPr>
        <m:oMath>
          <m:sSub>
            <m:sSubPr>
              <m:ctrlPr>
                <w:rPr>
                  <w:rFonts w:ascii="Cambria Math" w:hAnsi="Cambria Math"/>
                  <w:i/>
                </w:rPr>
              </m:ctrlPr>
            </m:sSubPr>
            <m:e>
              <m:r>
                <w:rPr>
                  <w:rFonts w:ascii="Cambria Math" w:hAnsi="Cambria Math"/>
                </w:rPr>
                <m:t>σ</m:t>
              </m:r>
            </m:e>
            <m:sub>
              <m:r>
                <w:rPr>
                  <w:rFonts w:ascii="Cambria Math" w:hAnsi="Cambria Math"/>
                </w:rPr>
                <m:t xml:space="preserve">j </m:t>
              </m:r>
            </m:sub>
          </m:sSub>
          <m:r>
            <w:rPr>
              <w:rFonts w:ascii="Cambria Math" w:hAnsi="Cambria Math"/>
            </w:rPr>
            <m:t xml:space="preserve">= </m:t>
          </m:r>
          <m:rad>
            <m:radPr>
              <m:degHide m:val="1"/>
              <m:ctrlPr>
                <w:rPr>
                  <w:rFonts w:ascii="Cambria Math" w:hAnsi="Cambria Math"/>
                  <w:i/>
                </w:rPr>
              </m:ctrlPr>
            </m:radPr>
            <m:deg/>
            <m:e>
              <m:f>
                <m:fPr>
                  <m:ctrlPr>
                    <w:rPr>
                      <w:rFonts w:ascii="Cambria Math" w:hAnsi="Cambria Math"/>
                      <w:i/>
                    </w:rPr>
                  </m:ctrlPr>
                </m:fPr>
                <m:num>
                  <m:r>
                    <w:rPr>
                      <w:rFonts w:ascii="Cambria Math" w:hAnsi="Cambria Math"/>
                    </w:rPr>
                    <m:t>1</m:t>
                  </m:r>
                </m:num>
                <m:den>
                  <m:r>
                    <w:rPr>
                      <w:rFonts w:ascii="Cambria Math" w:hAnsi="Cambria Math"/>
                    </w:rPr>
                    <m:t>r-1</m:t>
                  </m:r>
                </m:den>
              </m:f>
              <m:r>
                <w:rPr>
                  <w:rFonts w:ascii="Cambria Math" w:hAnsi="Cambria Math"/>
                </w:rPr>
                <m:t>×</m:t>
              </m:r>
              <m:nary>
                <m:naryPr>
                  <m:chr m:val="∑"/>
                  <m:limLoc m:val="undOvr"/>
                  <m:ctrlPr>
                    <w:rPr>
                      <w:rFonts w:ascii="Cambria Math" w:hAnsi="Cambria Math"/>
                      <w:i/>
                    </w:rPr>
                  </m:ctrlPr>
                </m:naryPr>
                <m:sub>
                  <m:r>
                    <w:rPr>
                      <w:rFonts w:ascii="Cambria Math" w:hAnsi="Cambria Math"/>
                    </w:rPr>
                    <m:t>k=1</m:t>
                  </m:r>
                </m:sub>
                <m:sup>
                  <m:r>
                    <w:rPr>
                      <w:rFonts w:ascii="Cambria Math" w:hAnsi="Cambria Math"/>
                    </w:rPr>
                    <m:t>r</m:t>
                  </m:r>
                </m:sup>
                <m:e>
                  <m:sSup>
                    <m:sSupPr>
                      <m:ctrlPr>
                        <w:rPr>
                          <w:rFonts w:ascii="Cambria Math" w:hAnsi="Cambria Math"/>
                          <w:i/>
                        </w:rPr>
                      </m:ctrlPr>
                    </m:sSupPr>
                    <m:e>
                      <m:d>
                        <m:dPr>
                          <m:ctrlPr>
                            <w:rPr>
                              <w:rFonts w:ascii="Cambria Math" w:hAnsi="Cambria Math"/>
                              <w:i/>
                            </w:rPr>
                          </m:ctrlPr>
                        </m:dPr>
                        <m:e>
                          <m:sSubSup>
                            <m:sSubSupPr>
                              <m:ctrlPr>
                                <w:rPr>
                                  <w:rFonts w:ascii="Cambria Math" w:hAnsi="Cambria Math"/>
                                  <w:i/>
                                </w:rPr>
                              </m:ctrlPr>
                            </m:sSubSupPr>
                            <m:e>
                              <m:r>
                                <w:rPr>
                                  <w:rFonts w:ascii="Cambria Math" w:hAnsi="Cambria Math"/>
                                </w:rPr>
                                <m:t>Z</m:t>
                              </m:r>
                            </m:e>
                            <m:sub>
                              <m:r>
                                <w:rPr>
                                  <w:rFonts w:ascii="Cambria Math" w:hAnsi="Cambria Math"/>
                                </w:rPr>
                                <m:t>i</m:t>
                              </m:r>
                            </m:sub>
                            <m:sup>
                              <m:r>
                                <w:rPr>
                                  <w:rFonts w:ascii="Cambria Math" w:hAnsi="Cambria Math"/>
                                </w:rPr>
                                <m:t>j,k</m:t>
                              </m:r>
                            </m:sup>
                          </m:sSubSup>
                          <m:r>
                            <w:rPr>
                              <w:rFonts w:ascii="Cambria Math" w:hAnsi="Cambria Math"/>
                            </w:rPr>
                            <m:t>-</m:t>
                          </m:r>
                          <m:sSub>
                            <m:sSubPr>
                              <m:ctrlPr>
                                <w:rPr>
                                  <w:rFonts w:ascii="Cambria Math" w:hAnsi="Cambria Math"/>
                                  <w:i/>
                                </w:rPr>
                              </m:ctrlPr>
                            </m:sSubPr>
                            <m:e>
                              <m:r>
                                <w:rPr>
                                  <w:rFonts w:ascii="Cambria Math" w:hAnsi="Cambria Math"/>
                                </w:rPr>
                                <m:t>μ</m:t>
                              </m:r>
                            </m:e>
                            <m:sub>
                              <m:r>
                                <w:rPr>
                                  <w:rFonts w:ascii="Cambria Math" w:hAnsi="Cambria Math"/>
                                </w:rPr>
                                <m:t>j</m:t>
                              </m:r>
                            </m:sub>
                          </m:sSub>
                        </m:e>
                      </m:d>
                    </m:e>
                    <m:sup>
                      <m:r>
                        <w:rPr>
                          <w:rFonts w:ascii="Cambria Math" w:hAnsi="Cambria Math"/>
                        </w:rPr>
                        <m:t>2</m:t>
                      </m:r>
                    </m:sup>
                  </m:sSup>
                </m:e>
              </m:nary>
            </m:e>
          </m:rad>
        </m:oMath>
      </m:oMathPara>
    </w:p>
    <w:p w14:paraId="7E23165E" w14:textId="61680D2E" w:rsidR="00360421" w:rsidRDefault="00360421" w:rsidP="00531900">
      <w:pPr>
        <w:rPr>
          <w:rFonts w:eastAsiaTheme="minorEastAsia"/>
          <w:sz w:val="18"/>
        </w:rPr>
      </w:pPr>
      <w:r>
        <w:rPr>
          <w:rFonts w:eastAsiaTheme="minorEastAsia"/>
          <w:sz w:val="18"/>
        </w:rPr>
        <w:t>E</w:t>
      </w:r>
      <w:r w:rsidRPr="00FD6467">
        <w:rPr>
          <w:rFonts w:eastAsiaTheme="minorEastAsia"/>
          <w:sz w:val="18"/>
        </w:rPr>
        <w:t xml:space="preserve">stimates the dispersion of </w:t>
      </w:r>
      <m:oMath>
        <m:sSubSup>
          <m:sSubSupPr>
            <m:ctrlPr>
              <w:rPr>
                <w:rFonts w:ascii="Cambria Math" w:hAnsi="Cambria Math"/>
                <w:i/>
                <w:sz w:val="18"/>
              </w:rPr>
            </m:ctrlPr>
          </m:sSubSupPr>
          <m:e>
            <m:r>
              <w:rPr>
                <w:rFonts w:ascii="Cambria Math" w:hAnsi="Cambria Math"/>
                <w:sz w:val="18"/>
              </w:rPr>
              <m:t>Z</m:t>
            </m:r>
          </m:e>
          <m:sub>
            <m:r>
              <w:rPr>
                <w:rFonts w:ascii="Cambria Math" w:hAnsi="Cambria Math"/>
                <w:sz w:val="18"/>
              </w:rPr>
              <m:t>i</m:t>
            </m:r>
          </m:sub>
          <m:sup>
            <m:r>
              <w:rPr>
                <w:rFonts w:ascii="Cambria Math" w:hAnsi="Cambria Math"/>
                <w:sz w:val="18"/>
              </w:rPr>
              <m:t>j,k</m:t>
            </m:r>
          </m:sup>
        </m:sSubSup>
      </m:oMath>
      <w:r w:rsidRPr="00FD6467">
        <w:rPr>
          <w:rFonts w:eastAsiaTheme="minorEastAsia"/>
          <w:sz w:val="18"/>
        </w:rPr>
        <w:t xml:space="preserve"> around their average value</w:t>
      </w:r>
      <w:r>
        <w:rPr>
          <w:rFonts w:eastAsiaTheme="minorEastAsia"/>
          <w:sz w:val="18"/>
        </w:rPr>
        <w:t xml:space="preserve"> (</w:t>
      </w:r>
      <m:oMath>
        <m:sSub>
          <m:sSubPr>
            <m:ctrlPr>
              <w:rPr>
                <w:rFonts w:ascii="Cambria Math" w:hAnsi="Cambria Math"/>
                <w:i/>
                <w:sz w:val="18"/>
              </w:rPr>
            </m:ctrlPr>
          </m:sSubPr>
          <m:e>
            <m:r>
              <w:rPr>
                <w:rFonts w:ascii="Cambria Math" w:hAnsi="Cambria Math"/>
                <w:sz w:val="18"/>
              </w:rPr>
              <m:t>μ</m:t>
            </m:r>
          </m:e>
          <m:sub>
            <m:r>
              <w:rPr>
                <w:rFonts w:ascii="Cambria Math" w:hAnsi="Cambria Math"/>
                <w:sz w:val="18"/>
              </w:rPr>
              <m:t>j</m:t>
            </m:r>
          </m:sub>
        </m:sSub>
      </m:oMath>
      <w:r>
        <w:rPr>
          <w:rFonts w:eastAsiaTheme="minorEastAsia"/>
          <w:sz w:val="18"/>
        </w:rPr>
        <w:t>)</w:t>
      </w:r>
      <w:r w:rsidRPr="00FD6467">
        <w:rPr>
          <w:rFonts w:eastAsiaTheme="minorEastAsia"/>
          <w:sz w:val="18"/>
        </w:rPr>
        <w:t xml:space="preserve">. </w:t>
      </w:r>
      <m:oMath>
        <m:sSub>
          <m:sSubPr>
            <m:ctrlPr>
              <w:rPr>
                <w:rFonts w:ascii="Cambria Math" w:hAnsi="Cambria Math"/>
                <w:i/>
                <w:sz w:val="18"/>
              </w:rPr>
            </m:ctrlPr>
          </m:sSubPr>
          <m:e>
            <m:r>
              <w:rPr>
                <w:rFonts w:ascii="Cambria Math" w:hAnsi="Cambria Math"/>
                <w:sz w:val="18"/>
              </w:rPr>
              <m:t>μ</m:t>
            </m:r>
          </m:e>
          <m:sub>
            <m:r>
              <w:rPr>
                <w:rFonts w:ascii="Cambria Math" w:hAnsi="Cambria Math"/>
                <w:sz w:val="18"/>
              </w:rPr>
              <m:t>j</m:t>
            </m:r>
          </m:sub>
        </m:sSub>
      </m:oMath>
      <w:r>
        <w:rPr>
          <w:rFonts w:eastAsiaTheme="minorEastAsia"/>
          <w:sz w:val="18"/>
        </w:rPr>
        <w:t xml:space="preserve"> as in </w:t>
      </w:r>
      <w:r w:rsidR="00531900" w:rsidRPr="00531900">
        <w:rPr>
          <w:rFonts w:eastAsiaTheme="minorEastAsia"/>
          <w:b/>
          <w:sz w:val="18"/>
          <w:szCs w:val="18"/>
        </w:rPr>
        <w:fldChar w:fldCharType="begin"/>
      </w:r>
      <w:r w:rsidR="00531900" w:rsidRPr="00531900">
        <w:rPr>
          <w:rFonts w:eastAsiaTheme="minorEastAsia"/>
          <w:b/>
          <w:sz w:val="18"/>
          <w:szCs w:val="18"/>
        </w:rPr>
        <w:instrText xml:space="preserve"> REF _Ref151711132 \h  \* MERGEFORMAT </w:instrText>
      </w:r>
      <w:r w:rsidR="00531900" w:rsidRPr="00531900">
        <w:rPr>
          <w:rFonts w:eastAsiaTheme="minorEastAsia"/>
          <w:b/>
          <w:sz w:val="18"/>
          <w:szCs w:val="18"/>
        </w:rPr>
      </w:r>
      <w:r w:rsidR="00531900" w:rsidRPr="00531900">
        <w:rPr>
          <w:rFonts w:eastAsiaTheme="minorEastAsia"/>
          <w:b/>
          <w:sz w:val="18"/>
          <w:szCs w:val="18"/>
        </w:rPr>
        <w:fldChar w:fldCharType="separate"/>
      </w:r>
      <w:r w:rsidR="00531900" w:rsidRPr="00531900">
        <w:rPr>
          <w:b/>
          <w:sz w:val="18"/>
          <w:szCs w:val="18"/>
        </w:rPr>
        <w:t xml:space="preserve">Equation </w:t>
      </w:r>
      <w:r w:rsidR="00531900" w:rsidRPr="00531900">
        <w:rPr>
          <w:b/>
          <w:noProof/>
          <w:sz w:val="18"/>
          <w:szCs w:val="18"/>
        </w:rPr>
        <w:t>5</w:t>
      </w:r>
      <w:r w:rsidR="00531900" w:rsidRPr="00531900">
        <w:rPr>
          <w:rFonts w:eastAsiaTheme="minorEastAsia"/>
          <w:b/>
          <w:sz w:val="18"/>
          <w:szCs w:val="18"/>
        </w:rPr>
        <w:fldChar w:fldCharType="end"/>
      </w:r>
      <w:r w:rsidR="00531900">
        <w:rPr>
          <w:rFonts w:eastAsiaTheme="minorEastAsia"/>
          <w:sz w:val="18"/>
        </w:rPr>
        <w:t xml:space="preserve"> </w:t>
      </w:r>
      <w:r>
        <w:rPr>
          <w:rFonts w:eastAsiaTheme="minorEastAsia"/>
          <w:sz w:val="18"/>
        </w:rPr>
        <w:t>but without the absolute values.</w:t>
      </w:r>
    </w:p>
    <w:p w14:paraId="231DFDE0" w14:textId="55944D5D" w:rsidR="00360421" w:rsidRDefault="00360421" w:rsidP="00360421">
      <w:pPr>
        <w:jc w:val="both"/>
        <w:rPr>
          <w:rFonts w:eastAsiaTheme="minorEastAsia" w:cstheme="minorHAnsi"/>
        </w:rPr>
      </w:pPr>
      <w:r>
        <w:rPr>
          <w:rFonts w:eastAsiaTheme="minorEastAsia" w:cstheme="minorHAnsi"/>
        </w:rPr>
        <w:t>µ</w:t>
      </w:r>
      <w:r w:rsidRPr="00302D24">
        <w:rPr>
          <w:rFonts w:eastAsiaTheme="minorEastAsia" w:cstheme="minorHAnsi"/>
          <w:vertAlign w:val="subscript"/>
        </w:rPr>
        <w:t>j</w:t>
      </w:r>
      <w:r w:rsidRPr="00F943B7">
        <w:rPr>
          <w:rFonts w:eastAsiaTheme="minorEastAsia" w:cstheme="minorHAnsi"/>
          <w:vertAlign w:val="superscript"/>
        </w:rPr>
        <w:t>*</w:t>
      </w:r>
      <w:r>
        <w:rPr>
          <w:rFonts w:eastAsiaTheme="minorEastAsia" w:cstheme="minorHAnsi"/>
        </w:rPr>
        <w:t xml:space="preserve"> is usually </w:t>
      </w:r>
      <w:r w:rsidRPr="00FD6467">
        <w:rPr>
          <w:rFonts w:eastAsiaTheme="minorEastAsia" w:cstheme="minorHAnsi"/>
        </w:rPr>
        <w:t xml:space="preserve">considered as a proxy of the sensitivity V to the parameter </w:t>
      </w:r>
      <w:proofErr w:type="spellStart"/>
      <w:r w:rsidRPr="00FD6467">
        <w:rPr>
          <w:rFonts w:eastAsiaTheme="minorEastAsia" w:cstheme="minorHAnsi"/>
        </w:rPr>
        <w:t>P</w:t>
      </w:r>
      <w:r w:rsidRPr="003D7789">
        <w:rPr>
          <w:rFonts w:eastAsiaTheme="minorEastAsia" w:cstheme="minorHAnsi"/>
          <w:vertAlign w:val="subscript"/>
        </w:rPr>
        <w:t>j</w:t>
      </w:r>
      <w:proofErr w:type="spellEnd"/>
      <w:r>
        <w:rPr>
          <w:rFonts w:eastAsiaTheme="minorEastAsia" w:cstheme="minorHAnsi"/>
        </w:rPr>
        <w:t xml:space="preserve"> </w:t>
      </w:r>
      <w:r>
        <w:rPr>
          <w:rFonts w:eastAsiaTheme="minorEastAsia" w:cstheme="minorHAnsi"/>
          <w:vertAlign w:val="subscript"/>
        </w:rPr>
        <w:fldChar w:fldCharType="begin"/>
      </w:r>
      <w:r w:rsidR="00657D9A">
        <w:rPr>
          <w:rFonts w:eastAsiaTheme="minorEastAsia" w:cstheme="minorHAnsi"/>
          <w:vertAlign w:val="subscript"/>
        </w:rPr>
        <w:instrText xml:space="preserve"> ADDIN ZOTERO_ITEM CSL_CITATION {"citationID":"zHZI2gJr","properties":{"formattedCitation":"\\super 30,39\\nosupersub{}","plainCitation":"30,39","noteIndex":0},"citationItems":[{"id":13693,"uris":["http://zotero.org/users/6423791/items/TM3FK8AY"],"itemData":{"id":13693,"type":"article-journal","abstract":"Global sensitivity analysis (GSA) aims at quantifying the effects of inputs on the output response globally. GSA is useful for identifying a few important inputs from a model with large number of inputs, which is critical for structural design and optimization. The method of Sobol’ and the Morris method are two popular GSA techniques, and they have been widely used in many areas of science and engineering. It was proved that the Morris index is a good proxy of the method of Sobol’ in some papers. However, some of the quantitative relationships between Morris index and Sobol’ index are established by only considering the input with standard uniform distribution. When the input does not follow standard uniform distribution, some relationships are no longer valid. Therefore, an enhanced Morris method is developed as a better proxy of the Sobol’ index for the input with arbitrary distribution, and it does not increase the model evaluations compared with the original Morris method. Test examples show the performance of the approximation and its usefulness in practice.","container-title":"Structural and Multidisciplinary Optimization","DOI":"10.1007/s00158-018-2071-7","ISSN":"1615-1488","issue":"2","journalAbbreviation":"Struct Multidisc Optim","language":"en","page":"373-387","source":"Springer Link","title":"Enhanced Morris method for global sensitivity analysis: good proxy of Sobol’ index","title-short":"Enhanced Morris method for global sensitivity analysis","volume":"59","author":[{"family":"Feng","given":"Kaixuan"},{"family":"Lu","given":"Zhenzhou"},{"family":"Yang","given":"Caiqiong"}],"issued":{"date-parts":[["2019",2,1]]}}},{"id":14083,"uris":["http://zotero.org/users/6423791/items/3WG9DNXF"],"itemData":{"id":14083,"type":"article-journal","abstract":"In 1991 Morris proposed an effective screening sensitivity measure to identify the few important factors in models with many factors. The method is based on computing for each input a number of incremental ratios, namely elementary effects, which are then averaged to assess the overall importance of the input. Despite its value, the method is still rarely used and instead local analyses varying one factor at a time around a baseline point are usually employed. In this piece of work we propose a revised version of the elementary effects method, improved in terms of both the definition of the measure and the sampling strategy. In the present form the method shares many of the positive qualities of the variance-based techniques, having the advantage of a lower computational cost, as demonstrated by the analytical examples. The method is employed to assess the sensitivity of a chemical reaction model for dimethylsulphide (DMS), a gas involved in climate change. Results of the sensitivity analysis open up the ground for model reconsideration: some model components may need a more thorough modelling effort while some others may need to be simplified.","collection-title":"Modelling, computer-assisted simulations, and mapping of dangerous phenomena for hazard assessment","container-title":"Environmental Modelling &amp; Software","DOI":"10.1016/j.envsoft.2006.10.004","ISSN":"1364-8152","issue":"10","journalAbbreviation":"Environ. Model. Softw.","language":"en","page":"1509-1518","source":"ScienceDirect","title":"An effective screening design for sensitivity analysis of large models","volume":"22","author":[{"family":"Campolongo","given":"Francesca"},{"family":"Cariboni","given":"Jessica"},{"family":"Saltelli","given":"Andrea"}],"issued":{"date-parts":[["2007",10,1]]}}}],"schema":"https://github.com/citation-style-language/schema/raw/master/csl-citation.json"} </w:instrText>
      </w:r>
      <w:r>
        <w:rPr>
          <w:rFonts w:eastAsiaTheme="minorEastAsia" w:cstheme="minorHAnsi"/>
          <w:vertAlign w:val="subscript"/>
        </w:rPr>
        <w:fldChar w:fldCharType="separate"/>
      </w:r>
      <w:r w:rsidR="00657D9A" w:rsidRPr="00657D9A">
        <w:rPr>
          <w:rFonts w:ascii="Calibri" w:hAnsi="Calibri" w:cs="Calibri"/>
          <w:szCs w:val="24"/>
          <w:vertAlign w:val="superscript"/>
        </w:rPr>
        <w:t>30,39</w:t>
      </w:r>
      <w:r>
        <w:rPr>
          <w:rFonts w:eastAsiaTheme="minorEastAsia" w:cstheme="minorHAnsi"/>
          <w:vertAlign w:val="subscript"/>
        </w:rPr>
        <w:fldChar w:fldCharType="end"/>
      </w:r>
      <w:r w:rsidRPr="00FD6467">
        <w:rPr>
          <w:rFonts w:eastAsiaTheme="minorEastAsia" w:cstheme="minorHAnsi"/>
        </w:rPr>
        <w:t>.</w:t>
      </w:r>
      <w:r>
        <w:rPr>
          <w:rFonts w:eastAsiaTheme="minorEastAsia" w:cstheme="minorHAnsi"/>
        </w:rPr>
        <w:t xml:space="preserve"> Ranking the µ</w:t>
      </w:r>
      <w:r w:rsidRPr="00302D24">
        <w:rPr>
          <w:rFonts w:eastAsiaTheme="minorEastAsia" w:cstheme="minorHAnsi"/>
          <w:vertAlign w:val="subscript"/>
        </w:rPr>
        <w:t>j</w:t>
      </w:r>
      <w:r w:rsidRPr="00F943B7">
        <w:rPr>
          <w:rFonts w:eastAsiaTheme="minorEastAsia" w:cstheme="minorHAnsi"/>
          <w:vertAlign w:val="superscript"/>
        </w:rPr>
        <w:t>*</w:t>
      </w:r>
      <w:r>
        <w:rPr>
          <w:rFonts w:eastAsiaTheme="minorEastAsia" w:cstheme="minorHAnsi"/>
        </w:rPr>
        <w:t xml:space="preserve"> enables to rank the importance of the j parameters on the results. On the other hand, </w:t>
      </w:r>
      <w:proofErr w:type="spellStart"/>
      <w:r w:rsidRPr="00302D24">
        <w:rPr>
          <w:rFonts w:eastAsiaTheme="minorEastAsia" w:cstheme="minorHAnsi"/>
        </w:rPr>
        <w:t>σ</w:t>
      </w:r>
      <w:r w:rsidRPr="00302D24">
        <w:rPr>
          <w:rFonts w:eastAsiaTheme="minorEastAsia" w:cstheme="minorHAnsi"/>
          <w:vertAlign w:val="subscript"/>
        </w:rPr>
        <w:t>j</w:t>
      </w:r>
      <w:proofErr w:type="spellEnd"/>
      <w:r>
        <w:rPr>
          <w:rFonts w:eastAsiaTheme="minorEastAsia" w:cstheme="minorHAnsi"/>
        </w:rPr>
        <w:t xml:space="preserve"> is used to quantify the magnitude of (</w:t>
      </w:r>
      <w:proofErr w:type="spellStart"/>
      <w:r>
        <w:rPr>
          <w:rFonts w:eastAsiaTheme="minorEastAsia" w:cstheme="minorHAnsi"/>
        </w:rPr>
        <w:t>i</w:t>
      </w:r>
      <w:proofErr w:type="spellEnd"/>
      <w:r>
        <w:rPr>
          <w:rFonts w:eastAsiaTheme="minorEastAsia" w:cstheme="minorHAnsi"/>
        </w:rPr>
        <w:t xml:space="preserve">) the interactions of </w:t>
      </w:r>
      <w:proofErr w:type="spellStart"/>
      <w:r>
        <w:rPr>
          <w:rFonts w:eastAsiaTheme="minorEastAsia" w:cstheme="minorHAnsi"/>
        </w:rPr>
        <w:t>P</w:t>
      </w:r>
      <w:r w:rsidRPr="003D7789">
        <w:rPr>
          <w:rFonts w:eastAsiaTheme="minorEastAsia" w:cstheme="minorHAnsi"/>
          <w:vertAlign w:val="subscript"/>
        </w:rPr>
        <w:t>j</w:t>
      </w:r>
      <w:proofErr w:type="spellEnd"/>
      <w:r>
        <w:rPr>
          <w:rFonts w:eastAsiaTheme="minorEastAsia" w:cstheme="minorHAnsi"/>
        </w:rPr>
        <w:t xml:space="preserve"> with the other inputs and (ii) the non-linear relationship between </w:t>
      </w:r>
      <w:proofErr w:type="spellStart"/>
      <w:r>
        <w:rPr>
          <w:rFonts w:eastAsiaTheme="minorEastAsia" w:cstheme="minorHAnsi"/>
        </w:rPr>
        <w:t>P</w:t>
      </w:r>
      <w:r w:rsidRPr="00DD5BA3">
        <w:rPr>
          <w:rFonts w:eastAsiaTheme="minorEastAsia" w:cstheme="minorHAnsi"/>
          <w:vertAlign w:val="subscript"/>
        </w:rPr>
        <w:t>j</w:t>
      </w:r>
      <w:proofErr w:type="spellEnd"/>
      <w:r>
        <w:rPr>
          <w:rFonts w:eastAsiaTheme="minorEastAsia" w:cstheme="minorHAnsi"/>
        </w:rPr>
        <w:t xml:space="preserve"> and V. Yet as designed, both effects are not separable</w:t>
      </w:r>
      <w:r>
        <w:rPr>
          <w:rFonts w:eastAsiaTheme="minorEastAsia" w:cstheme="minorHAnsi"/>
        </w:rPr>
        <w:fldChar w:fldCharType="begin"/>
      </w:r>
      <w:r w:rsidR="00657D9A">
        <w:rPr>
          <w:rFonts w:eastAsiaTheme="minorEastAsia" w:cstheme="minorHAnsi"/>
        </w:rPr>
        <w:instrText xml:space="preserve"> ADDIN ZOTERO_ITEM CSL_CITATION {"citationID":"QRLLAnIz","properties":{"formattedCitation":"\\super 35\\nosupersub{}","plainCitation":"35","noteIndex":0},"citationItems":[{"id":13914,"uris":["http://zotero.org/users/6423791/items/82L6FJ72"],"itemData":{"id":13914,"type":"article-journal","abstract":"A computational model is a representation of some physical or other system of interest, first expressed mathematically and then implemented in the form of a computer program; it may be viewed as a function of inputs that, when evaluated, produces outputs. Motivation for this article comes from computational models that are deterministic, complicated enough to make classical mathematical analysis impractical and that have a moderate-to-large number of inputs. The problem of designing computational experiments to determine which inputs have important effects on an output is considered. The proposed experimental plans are composed of individually randomized one-factor-at-a-time designs, and data analysis is based on the resulting random sample of observed elementary effects, those changes in an output due solely to changes in a particular input. Advantages of this approach include a lack of reliance on assumptions of relative sparsity of important inputs, monotonicity of outputs with respect to inputs, or adequacy of a low-order polynomial as an approximation to the computational model.","container-title":"Technometrics","DOI":"10.1080/00401706.1991.10484804","ISSN":"0040-1706","issue":"2","note":"publisher: Taylor &amp; Francis\n_eprint: https://www.tandfonline.com/doi/pdf/10.1080/00401706.1991.10484804","page":"161-174","source":"Taylor and Francis+NEJM","title":"Factorial Sampling Plans for Preliminary Computational Experiments","volume":"33","author":[{"family":"Morris","given":"Max D."}],"issued":{"date-parts":[["1991",5,1]]}}}],"schema":"https://github.com/citation-style-language/schema/raw/master/csl-citation.json"} </w:instrText>
      </w:r>
      <w:r>
        <w:rPr>
          <w:rFonts w:eastAsiaTheme="minorEastAsia" w:cstheme="minorHAnsi"/>
        </w:rPr>
        <w:fldChar w:fldCharType="separate"/>
      </w:r>
      <w:r w:rsidR="00657D9A" w:rsidRPr="00657D9A">
        <w:rPr>
          <w:rFonts w:ascii="Calibri" w:hAnsi="Calibri" w:cs="Calibri"/>
          <w:szCs w:val="24"/>
          <w:vertAlign w:val="superscript"/>
        </w:rPr>
        <w:t>35</w:t>
      </w:r>
      <w:r>
        <w:rPr>
          <w:rFonts w:eastAsiaTheme="minorEastAsia" w:cstheme="minorHAnsi"/>
        </w:rPr>
        <w:fldChar w:fldCharType="end"/>
      </w:r>
      <w:r>
        <w:rPr>
          <w:rFonts w:eastAsiaTheme="minorEastAsia" w:cstheme="minorHAnsi"/>
        </w:rPr>
        <w:t>. (µ</w:t>
      </w:r>
      <w:r w:rsidRPr="00302D24">
        <w:rPr>
          <w:rFonts w:eastAsiaTheme="minorEastAsia" w:cstheme="minorHAnsi"/>
          <w:vertAlign w:val="subscript"/>
        </w:rPr>
        <w:t>j</w:t>
      </w:r>
      <w:r w:rsidRPr="00F943B7">
        <w:rPr>
          <w:rFonts w:eastAsiaTheme="minorEastAsia" w:cstheme="minorHAnsi"/>
          <w:vertAlign w:val="superscript"/>
        </w:rPr>
        <w:t>*</w:t>
      </w:r>
      <w:r>
        <w:rPr>
          <w:rFonts w:eastAsiaTheme="minorEastAsia" w:cstheme="minorHAnsi"/>
        </w:rPr>
        <w:t xml:space="preserve">; </w:t>
      </w:r>
      <w:proofErr w:type="spellStart"/>
      <w:r w:rsidRPr="00302D24">
        <w:rPr>
          <w:rFonts w:eastAsiaTheme="minorEastAsia" w:cstheme="minorHAnsi"/>
        </w:rPr>
        <w:t>σ</w:t>
      </w:r>
      <w:r w:rsidRPr="00302D24">
        <w:rPr>
          <w:rFonts w:eastAsiaTheme="minorEastAsia" w:cstheme="minorHAnsi"/>
          <w:vertAlign w:val="subscript"/>
        </w:rPr>
        <w:t>j</w:t>
      </w:r>
      <w:proofErr w:type="spellEnd"/>
      <w:r>
        <w:rPr>
          <w:rFonts w:eastAsiaTheme="minorEastAsia" w:cstheme="minorHAnsi"/>
        </w:rPr>
        <w:t>) are interpreted together in scatter plots (illustrated in</w:t>
      </w:r>
      <w:r w:rsidR="00531900">
        <w:rPr>
          <w:rFonts w:eastAsiaTheme="minorEastAsia" w:cstheme="minorHAnsi"/>
        </w:rPr>
        <w:t xml:space="preserve"> </w:t>
      </w:r>
      <w:r w:rsidR="00531900" w:rsidRPr="00531900">
        <w:rPr>
          <w:rFonts w:eastAsiaTheme="minorEastAsia" w:cstheme="minorHAnsi"/>
          <w:b/>
        </w:rPr>
        <w:fldChar w:fldCharType="begin"/>
      </w:r>
      <w:r w:rsidR="00531900" w:rsidRPr="00531900">
        <w:rPr>
          <w:rFonts w:eastAsiaTheme="minorEastAsia" w:cstheme="minorHAnsi"/>
          <w:b/>
        </w:rPr>
        <w:instrText xml:space="preserve"> REF _Ref151711535 \h </w:instrText>
      </w:r>
      <w:r w:rsidR="00531900">
        <w:rPr>
          <w:rFonts w:eastAsiaTheme="minorEastAsia" w:cstheme="minorHAnsi"/>
          <w:b/>
        </w:rPr>
        <w:instrText xml:space="preserve"> \* MERGEFORMAT </w:instrText>
      </w:r>
      <w:r w:rsidR="00531900" w:rsidRPr="00531900">
        <w:rPr>
          <w:rFonts w:eastAsiaTheme="minorEastAsia" w:cstheme="minorHAnsi"/>
          <w:b/>
        </w:rPr>
      </w:r>
      <w:r w:rsidR="00531900" w:rsidRPr="00531900">
        <w:rPr>
          <w:rFonts w:eastAsiaTheme="minorEastAsia" w:cstheme="minorHAnsi"/>
          <w:b/>
        </w:rPr>
        <w:fldChar w:fldCharType="separate"/>
      </w:r>
      <w:r w:rsidR="00531900" w:rsidRPr="00531900">
        <w:rPr>
          <w:b/>
        </w:rPr>
        <w:t>Figure SI</w:t>
      </w:r>
      <w:r w:rsidR="00531900" w:rsidRPr="00531900">
        <w:rPr>
          <w:b/>
          <w:noProof/>
        </w:rPr>
        <w:t>1</w:t>
      </w:r>
      <w:r w:rsidR="00531900" w:rsidRPr="00531900">
        <w:rPr>
          <w:rFonts w:eastAsiaTheme="minorEastAsia" w:cstheme="minorHAnsi"/>
          <w:b/>
        </w:rPr>
        <w:fldChar w:fldCharType="end"/>
      </w:r>
      <w:r>
        <w:rPr>
          <w:rFonts w:eastAsiaTheme="minorEastAsia" w:cstheme="minorHAnsi"/>
        </w:rPr>
        <w:t>). As defined, both µ</w:t>
      </w:r>
      <w:r w:rsidRPr="00302D24">
        <w:rPr>
          <w:rFonts w:eastAsiaTheme="minorEastAsia" w:cstheme="minorHAnsi"/>
          <w:vertAlign w:val="subscript"/>
        </w:rPr>
        <w:t>j</w:t>
      </w:r>
      <w:r w:rsidRPr="00F943B7">
        <w:rPr>
          <w:rFonts w:eastAsiaTheme="minorEastAsia" w:cstheme="minorHAnsi"/>
          <w:vertAlign w:val="superscript"/>
        </w:rPr>
        <w:t>*</w:t>
      </w:r>
      <w:r>
        <w:rPr>
          <w:rFonts w:eastAsiaTheme="minorEastAsia" w:cstheme="minorHAnsi"/>
        </w:rPr>
        <w:t xml:space="preserve"> and </w:t>
      </w:r>
      <w:proofErr w:type="spellStart"/>
      <w:r w:rsidRPr="00302D24">
        <w:rPr>
          <w:rFonts w:eastAsiaTheme="minorEastAsia" w:cstheme="minorHAnsi"/>
        </w:rPr>
        <w:t>σ</w:t>
      </w:r>
      <w:r w:rsidRPr="00302D24">
        <w:rPr>
          <w:rFonts w:eastAsiaTheme="minorEastAsia" w:cstheme="minorHAnsi"/>
          <w:vertAlign w:val="subscript"/>
        </w:rPr>
        <w:t>j</w:t>
      </w:r>
      <w:proofErr w:type="spellEnd"/>
      <w:r>
        <w:rPr>
          <w:rFonts w:eastAsiaTheme="minorEastAsia" w:cstheme="minorHAnsi"/>
        </w:rPr>
        <w:t xml:space="preserve"> </w:t>
      </w:r>
      <w:r w:rsidRPr="00A93F37">
        <w:rPr>
          <w:rFonts w:ascii="Cambria Math" w:hAnsi="Cambria Math" w:cs="Cambria Math"/>
        </w:rPr>
        <w:t>∈</w:t>
      </w:r>
      <w:r w:rsidRPr="00A93F37">
        <w:t xml:space="preserve"> [</w:t>
      </w:r>
      <w:r>
        <w:t>0</w:t>
      </w:r>
      <w:r w:rsidRPr="00A93F37">
        <w:t>,</w:t>
      </w:r>
      <w:r>
        <w:t xml:space="preserve"> 1</w:t>
      </w:r>
      <w:r w:rsidRPr="00A93F37">
        <w:t>]</w:t>
      </w:r>
      <w:r>
        <w:t xml:space="preserve">; the closer </w:t>
      </w:r>
      <w:r>
        <w:rPr>
          <w:rFonts w:eastAsiaTheme="minorEastAsia" w:cstheme="minorHAnsi"/>
        </w:rPr>
        <w:t>µ</w:t>
      </w:r>
      <w:r w:rsidRPr="00302D24">
        <w:rPr>
          <w:rFonts w:eastAsiaTheme="minorEastAsia" w:cstheme="minorHAnsi"/>
          <w:vertAlign w:val="subscript"/>
        </w:rPr>
        <w:t>j</w:t>
      </w:r>
      <w:r w:rsidRPr="00F943B7">
        <w:rPr>
          <w:rFonts w:eastAsiaTheme="minorEastAsia" w:cstheme="minorHAnsi"/>
          <w:vertAlign w:val="superscript"/>
        </w:rPr>
        <w:t>*</w:t>
      </w:r>
      <w:r>
        <w:rPr>
          <w:rFonts w:eastAsiaTheme="minorEastAsia" w:cstheme="minorHAnsi"/>
        </w:rPr>
        <w:t xml:space="preserve"> from 0, the lower the influence of </w:t>
      </w:r>
      <w:proofErr w:type="spellStart"/>
      <w:r>
        <w:rPr>
          <w:rFonts w:eastAsiaTheme="minorEastAsia" w:cstheme="minorHAnsi"/>
        </w:rPr>
        <w:t>P</w:t>
      </w:r>
      <w:r w:rsidRPr="00642874">
        <w:rPr>
          <w:rFonts w:eastAsiaTheme="minorEastAsia" w:cstheme="minorHAnsi"/>
          <w:vertAlign w:val="subscript"/>
        </w:rPr>
        <w:t>j</w:t>
      </w:r>
      <w:proofErr w:type="spellEnd"/>
      <w:r>
        <w:rPr>
          <w:rFonts w:eastAsiaTheme="minorEastAsia" w:cstheme="minorHAnsi"/>
        </w:rPr>
        <w:t xml:space="preserve"> on the model. Parameters with </w:t>
      </w:r>
      <w:proofErr w:type="spellStart"/>
      <w:r w:rsidRPr="00302D24">
        <w:rPr>
          <w:rFonts w:eastAsiaTheme="minorEastAsia" w:cstheme="minorHAnsi"/>
        </w:rPr>
        <w:t>σ</w:t>
      </w:r>
      <w:r w:rsidRPr="00302D24">
        <w:rPr>
          <w:rFonts w:eastAsiaTheme="minorEastAsia" w:cstheme="minorHAnsi"/>
          <w:vertAlign w:val="subscript"/>
        </w:rPr>
        <w:t>j</w:t>
      </w:r>
      <w:proofErr w:type="spellEnd"/>
      <w:r>
        <w:rPr>
          <w:rFonts w:eastAsiaTheme="minorEastAsia" w:cstheme="minorHAnsi"/>
        </w:rPr>
        <w:t xml:space="preserve"> close to 0 linearly affect the result (</w:t>
      </w:r>
      <w:r w:rsidR="00531900" w:rsidRPr="00531900">
        <w:rPr>
          <w:rFonts w:eastAsiaTheme="minorEastAsia" w:cstheme="minorHAnsi"/>
          <w:b/>
        </w:rPr>
        <w:fldChar w:fldCharType="begin"/>
      </w:r>
      <w:r w:rsidR="00531900" w:rsidRPr="00531900">
        <w:rPr>
          <w:rFonts w:eastAsiaTheme="minorEastAsia" w:cstheme="minorHAnsi"/>
          <w:b/>
        </w:rPr>
        <w:instrText xml:space="preserve"> REF _Ref151711535 \h </w:instrText>
      </w:r>
      <w:r w:rsidR="00531900">
        <w:rPr>
          <w:rFonts w:eastAsiaTheme="minorEastAsia" w:cstheme="minorHAnsi"/>
          <w:b/>
        </w:rPr>
        <w:instrText xml:space="preserve"> \* MERGEFORMAT </w:instrText>
      </w:r>
      <w:r w:rsidR="00531900" w:rsidRPr="00531900">
        <w:rPr>
          <w:rFonts w:eastAsiaTheme="minorEastAsia" w:cstheme="minorHAnsi"/>
          <w:b/>
        </w:rPr>
      </w:r>
      <w:r w:rsidR="00531900" w:rsidRPr="00531900">
        <w:rPr>
          <w:rFonts w:eastAsiaTheme="minorEastAsia" w:cstheme="minorHAnsi"/>
          <w:b/>
        </w:rPr>
        <w:fldChar w:fldCharType="separate"/>
      </w:r>
      <w:r w:rsidR="00531900" w:rsidRPr="00531900">
        <w:rPr>
          <w:b/>
        </w:rPr>
        <w:t>Figure SI</w:t>
      </w:r>
      <w:r w:rsidR="00531900" w:rsidRPr="00531900">
        <w:rPr>
          <w:b/>
          <w:noProof/>
        </w:rPr>
        <w:t>1</w:t>
      </w:r>
      <w:r w:rsidR="00531900" w:rsidRPr="00531900">
        <w:rPr>
          <w:rFonts w:eastAsiaTheme="minorEastAsia" w:cstheme="minorHAnsi"/>
          <w:b/>
        </w:rPr>
        <w:fldChar w:fldCharType="end"/>
      </w:r>
      <w:r>
        <w:rPr>
          <w:rFonts w:eastAsiaTheme="minorEastAsia" w:cstheme="minorHAnsi"/>
        </w:rPr>
        <w:t>), because the elementary effects</w:t>
      </w:r>
      <w:r w:rsidRPr="00642874">
        <w:rPr>
          <w:rFonts w:eastAsiaTheme="minorEastAsia" w:cstheme="minorHAnsi"/>
        </w:rPr>
        <w:t xml:space="preserve"> </w:t>
      </w:r>
      <w:r>
        <w:rPr>
          <w:rFonts w:eastAsiaTheme="minorEastAsia" w:cstheme="minorHAnsi"/>
        </w:rPr>
        <w:t xml:space="preserve">associated with </w:t>
      </w:r>
      <w:proofErr w:type="spellStart"/>
      <w:r>
        <w:rPr>
          <w:rFonts w:eastAsiaTheme="minorEastAsia" w:cstheme="minorHAnsi"/>
        </w:rPr>
        <w:t>P</w:t>
      </w:r>
      <w:r w:rsidRPr="00A748A5">
        <w:rPr>
          <w:rFonts w:eastAsiaTheme="minorEastAsia" w:cstheme="minorHAnsi"/>
          <w:vertAlign w:val="subscript"/>
        </w:rPr>
        <w:t>j</w:t>
      </w:r>
      <w:proofErr w:type="spellEnd"/>
      <w:r>
        <w:rPr>
          <w:rFonts w:eastAsiaTheme="minorEastAsia" w:cstheme="minorHAnsi"/>
        </w:rPr>
        <w:t xml:space="preserve"> are constant regardless of the trajectory. The higher </w:t>
      </w:r>
      <w:proofErr w:type="spellStart"/>
      <w:r w:rsidRPr="00302D24">
        <w:rPr>
          <w:rFonts w:eastAsiaTheme="minorEastAsia" w:cstheme="minorHAnsi"/>
        </w:rPr>
        <w:t>σ</w:t>
      </w:r>
      <w:r w:rsidRPr="00302D24">
        <w:rPr>
          <w:rFonts w:eastAsiaTheme="minorEastAsia" w:cstheme="minorHAnsi"/>
          <w:vertAlign w:val="subscript"/>
        </w:rPr>
        <w:t>j</w:t>
      </w:r>
      <w:proofErr w:type="spellEnd"/>
      <w:r>
        <w:rPr>
          <w:rFonts w:eastAsiaTheme="minorEastAsia" w:cstheme="minorHAnsi"/>
        </w:rPr>
        <w:t xml:space="preserve">, the less linear (and/or the more interactions in) the relationship between the results and </w:t>
      </w:r>
      <w:proofErr w:type="spellStart"/>
      <w:r>
        <w:rPr>
          <w:rFonts w:eastAsiaTheme="minorEastAsia" w:cstheme="minorHAnsi"/>
        </w:rPr>
        <w:t>P</w:t>
      </w:r>
      <w:r w:rsidRPr="00642874">
        <w:rPr>
          <w:rFonts w:eastAsiaTheme="minorEastAsia" w:cstheme="minorHAnsi"/>
          <w:vertAlign w:val="subscript"/>
        </w:rPr>
        <w:t>j</w:t>
      </w:r>
      <w:proofErr w:type="spellEnd"/>
      <w:r>
        <w:rPr>
          <w:rFonts w:eastAsiaTheme="minorEastAsia" w:cstheme="minorHAnsi"/>
        </w:rPr>
        <w:t xml:space="preserve">. </w:t>
      </w:r>
      <w:proofErr w:type="spellStart"/>
      <w:r w:rsidRPr="00302D24">
        <w:rPr>
          <w:rFonts w:eastAsiaTheme="minorEastAsia" w:cstheme="minorHAnsi"/>
        </w:rPr>
        <w:t>σ</w:t>
      </w:r>
      <w:r w:rsidRPr="00302D24">
        <w:rPr>
          <w:rFonts w:eastAsiaTheme="minorEastAsia" w:cstheme="minorHAnsi"/>
          <w:vertAlign w:val="subscript"/>
        </w:rPr>
        <w:t>j</w:t>
      </w:r>
      <w:proofErr w:type="spellEnd"/>
      <w:r>
        <w:rPr>
          <w:rFonts w:eastAsiaTheme="minorEastAsia" w:cstheme="minorHAnsi"/>
        </w:rPr>
        <w:t xml:space="preserve"> equals to or 2 times higher than µ</w:t>
      </w:r>
      <w:r w:rsidRPr="00302D24">
        <w:rPr>
          <w:rFonts w:eastAsiaTheme="minorEastAsia" w:cstheme="minorHAnsi"/>
          <w:vertAlign w:val="subscript"/>
        </w:rPr>
        <w:t>j</w:t>
      </w:r>
      <w:r w:rsidRPr="00F943B7">
        <w:rPr>
          <w:rFonts w:eastAsiaTheme="minorEastAsia" w:cstheme="minorHAnsi"/>
          <w:vertAlign w:val="superscript"/>
        </w:rPr>
        <w:t>*</w:t>
      </w:r>
      <w:r>
        <w:rPr>
          <w:rFonts w:eastAsiaTheme="minorEastAsia" w:cstheme="minorHAnsi"/>
        </w:rPr>
        <w:t xml:space="preserve"> are mentioned to indicate shift from a monotonous relation between </w:t>
      </w:r>
      <w:proofErr w:type="spellStart"/>
      <w:r>
        <w:rPr>
          <w:rFonts w:eastAsiaTheme="minorEastAsia" w:cstheme="minorHAnsi"/>
        </w:rPr>
        <w:t>P</w:t>
      </w:r>
      <w:r w:rsidRPr="00E35526">
        <w:rPr>
          <w:rFonts w:eastAsiaTheme="minorEastAsia" w:cstheme="minorHAnsi"/>
          <w:vertAlign w:val="subscript"/>
        </w:rPr>
        <w:t>j</w:t>
      </w:r>
      <w:proofErr w:type="spellEnd"/>
      <w:r>
        <w:rPr>
          <w:rFonts w:eastAsiaTheme="minorEastAsia" w:cstheme="minorHAnsi"/>
        </w:rPr>
        <w:t xml:space="preserve"> and V to a non-linear relation</w:t>
      </w:r>
      <w:r>
        <w:rPr>
          <w:rFonts w:eastAsiaTheme="minorEastAsia" w:cstheme="minorHAnsi"/>
        </w:rPr>
        <w:fldChar w:fldCharType="begin"/>
      </w:r>
      <w:r w:rsidR="00657D9A">
        <w:rPr>
          <w:rFonts w:eastAsiaTheme="minorEastAsia" w:cstheme="minorHAnsi"/>
        </w:rPr>
        <w:instrText xml:space="preserve"> ADDIN ZOTERO_ITEM CSL_CITATION {"citationID":"uCAQh1T4","properties":{"formattedCitation":"\\super 40\\nosupersub{}","plainCitation":"40","noteIndex":0},"citationItems":[{"id":14064,"uris":["http://zotero.org/users/6423791/items/6LK8ZGAR"],"itemData":{"id":14064,"type":"post-weblog","abstract":"Introduction à l % 'analyse de sensibilité selon la méthode de Morris.","language":"fr-FR","title":"Analyse de sensibilité","URL":"https://lhypercube.arep.fr/methodes-numeriques/analyse-de-sensibilite/","author":[{"literal":"L’hypercube AREP"}],"accessed":{"date-parts":[["2023",2,2]]}}}],"schema":"https://github.com/citation-style-language/schema/raw/master/csl-citation.json"} </w:instrText>
      </w:r>
      <w:r>
        <w:rPr>
          <w:rFonts w:eastAsiaTheme="minorEastAsia" w:cstheme="minorHAnsi"/>
        </w:rPr>
        <w:fldChar w:fldCharType="separate"/>
      </w:r>
      <w:r w:rsidR="00657D9A" w:rsidRPr="00657D9A">
        <w:rPr>
          <w:rFonts w:ascii="Calibri" w:hAnsi="Calibri" w:cs="Calibri"/>
          <w:szCs w:val="24"/>
          <w:vertAlign w:val="superscript"/>
        </w:rPr>
        <w:t>40</w:t>
      </w:r>
      <w:r>
        <w:rPr>
          <w:rFonts w:eastAsiaTheme="minorEastAsia" w:cstheme="minorHAnsi"/>
        </w:rPr>
        <w:fldChar w:fldCharType="end"/>
      </w:r>
      <w:r>
        <w:rPr>
          <w:rFonts w:eastAsiaTheme="minorEastAsia" w:cstheme="minorHAnsi"/>
        </w:rPr>
        <w:t>.</w:t>
      </w:r>
    </w:p>
    <w:p w14:paraId="541DC235" w14:textId="40A579F5" w:rsidR="00360421" w:rsidRPr="00881E43" w:rsidRDefault="00531900" w:rsidP="00531900">
      <w:pPr>
        <w:pStyle w:val="Lgende"/>
        <w:jc w:val="left"/>
      </w:pPr>
      <w:bookmarkStart w:id="54" w:name="_Ref151711535"/>
      <w:bookmarkStart w:id="55" w:name="_Toc134541566"/>
      <w:bookmarkStart w:id="56" w:name="_Toc155516856"/>
      <w:r w:rsidRPr="00881E43">
        <w:t>Figure SI</w:t>
      </w:r>
      <w:r>
        <w:fldChar w:fldCharType="begin"/>
      </w:r>
      <w:r w:rsidRPr="00881E43">
        <w:instrText xml:space="preserve"> SEQ Figure \* ARABIC </w:instrText>
      </w:r>
      <w:r>
        <w:fldChar w:fldCharType="separate"/>
      </w:r>
      <w:r w:rsidR="00C65861" w:rsidRPr="00881E43">
        <w:rPr>
          <w:noProof/>
        </w:rPr>
        <w:t>1</w:t>
      </w:r>
      <w:r>
        <w:fldChar w:fldCharType="end"/>
      </w:r>
      <w:bookmarkEnd w:id="54"/>
      <w:r w:rsidR="00360421" w:rsidRPr="00881E43">
        <w:t xml:space="preserve"> – </w:t>
      </w:r>
      <w:r w:rsidR="00881E43" w:rsidRPr="00881E43">
        <w:t xml:space="preserve">Interpretation of </w:t>
      </w:r>
      <w:r w:rsidR="00360421" w:rsidRPr="00881E43">
        <w:t xml:space="preserve">Morris-based </w:t>
      </w:r>
      <w:bookmarkEnd w:id="55"/>
      <w:r w:rsidR="00881E43" w:rsidRPr="00881E43">
        <w:t>i</w:t>
      </w:r>
      <w:r w:rsidR="00881E43">
        <w:t>ndicators</w:t>
      </w:r>
      <w:bookmarkEnd w:id="56"/>
    </w:p>
    <w:p w14:paraId="14B05E6C" w14:textId="77777777" w:rsidR="00360421" w:rsidRPr="003D7789" w:rsidRDefault="00360421" w:rsidP="00531900">
      <w:r>
        <w:rPr>
          <w:noProof/>
        </w:rPr>
        <w:drawing>
          <wp:inline distT="0" distB="0" distL="0" distR="0" wp14:anchorId="4EEADA1A" wp14:editId="6235BFC8">
            <wp:extent cx="3564159" cy="2914345"/>
            <wp:effectExtent l="0" t="0" r="0" b="635"/>
            <wp:docPr id="9" name="Imag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A4.1.png"/>
                    <pic:cNvPicPr/>
                  </pic:nvPicPr>
                  <pic:blipFill>
                    <a:blip r:embed="rId11"/>
                    <a:stretch>
                      <a:fillRect/>
                    </a:stretch>
                  </pic:blipFill>
                  <pic:spPr>
                    <a:xfrm>
                      <a:off x="0" y="0"/>
                      <a:ext cx="3574373" cy="2922696"/>
                    </a:xfrm>
                    <a:prstGeom prst="rect">
                      <a:avLst/>
                    </a:prstGeom>
                  </pic:spPr>
                </pic:pic>
              </a:graphicData>
            </a:graphic>
          </wp:inline>
        </w:drawing>
      </w:r>
    </w:p>
    <w:p w14:paraId="4D230FAE" w14:textId="4169000E" w:rsidR="00360421" w:rsidRPr="006109EF" w:rsidRDefault="00360421" w:rsidP="00531900">
      <w:pPr>
        <w:rPr>
          <w:sz w:val="18"/>
        </w:rPr>
      </w:pPr>
      <w:r>
        <w:rPr>
          <w:sz w:val="18"/>
        </w:rPr>
        <w:t xml:space="preserve">Adapted from </w:t>
      </w:r>
      <w:proofErr w:type="spellStart"/>
      <w:r>
        <w:rPr>
          <w:sz w:val="18"/>
        </w:rPr>
        <w:t>l’AREP</w:t>
      </w:r>
      <w:proofErr w:type="spellEnd"/>
      <w:r>
        <w:rPr>
          <w:sz w:val="18"/>
        </w:rPr>
        <w:t xml:space="preserve"> hypercube</w:t>
      </w:r>
      <w:r>
        <w:rPr>
          <w:sz w:val="18"/>
        </w:rPr>
        <w:fldChar w:fldCharType="begin"/>
      </w:r>
      <w:r w:rsidR="00657D9A">
        <w:rPr>
          <w:sz w:val="18"/>
        </w:rPr>
        <w:instrText xml:space="preserve"> ADDIN ZOTERO_ITEM CSL_CITATION {"citationID":"61Szg71w","properties":{"formattedCitation":"\\super 40\\nosupersub{}","plainCitation":"40","noteIndex":0},"citationItems":[{"id":14064,"uris":["http://zotero.org/users/6423791/items/6LK8ZGAR"],"itemData":{"id":14064,"type":"post-weblog","abstract":"Introduction à l % 'analyse de sensibilité selon la méthode de Morris.","language":"fr-FR","title":"Analyse de sensibilité","URL":"https://lhypercube.arep.fr/methodes-numeriques/analyse-de-sensibilite/","author":[{"literal":"L’hypercube AREP"}],"accessed":{"date-parts":[["2023",2,2]]}}}],"schema":"https://github.com/citation-style-language/schema/raw/master/csl-citation.json"} </w:instrText>
      </w:r>
      <w:r>
        <w:rPr>
          <w:sz w:val="18"/>
        </w:rPr>
        <w:fldChar w:fldCharType="separate"/>
      </w:r>
      <w:r w:rsidR="00657D9A" w:rsidRPr="00657D9A">
        <w:rPr>
          <w:rFonts w:ascii="Calibri" w:hAnsi="Calibri" w:cs="Calibri"/>
          <w:sz w:val="18"/>
          <w:szCs w:val="24"/>
          <w:vertAlign w:val="superscript"/>
        </w:rPr>
        <w:t>40</w:t>
      </w:r>
      <w:r>
        <w:rPr>
          <w:sz w:val="18"/>
        </w:rPr>
        <w:fldChar w:fldCharType="end"/>
      </w:r>
      <w:r w:rsidR="00881E43">
        <w:rPr>
          <w:sz w:val="18"/>
        </w:rPr>
        <w:t>.</w:t>
      </w:r>
    </w:p>
    <w:p w14:paraId="6123399A" w14:textId="2FA3C52F" w:rsidR="00360421" w:rsidRDefault="00360421" w:rsidP="00360421">
      <w:pPr>
        <w:jc w:val="both"/>
      </w:pPr>
      <w:r>
        <w:t xml:space="preserve">By design, the Morris screening method covers the whole input space (i.e. value ranges of all </w:t>
      </w:r>
      <w:proofErr w:type="spellStart"/>
      <w:r>
        <w:t>P</w:t>
      </w:r>
      <w:r w:rsidRPr="00AC6EAD">
        <w:rPr>
          <w:vertAlign w:val="subscript"/>
        </w:rPr>
        <w:t>j</w:t>
      </w:r>
      <w:proofErr w:type="spellEnd"/>
      <w:r>
        <w:t xml:space="preserve">). Accordingly, providing a suitable granularity (i.e. L and r values), the variation range of V over the N simulations is also a proxy of the total variance of the system. This means that, thanks to the standardization of the elementary effects, </w:t>
      </w:r>
      <w:r>
        <w:rPr>
          <w:rFonts w:eastAsiaTheme="minorEastAsia" w:cstheme="minorHAnsi"/>
        </w:rPr>
        <w:t>µ</w:t>
      </w:r>
      <w:r w:rsidRPr="00302D24">
        <w:rPr>
          <w:rFonts w:eastAsiaTheme="minorEastAsia" w:cstheme="minorHAnsi"/>
          <w:vertAlign w:val="subscript"/>
        </w:rPr>
        <w:t>j</w:t>
      </w:r>
      <w:r w:rsidRPr="00F943B7">
        <w:rPr>
          <w:rFonts w:eastAsiaTheme="minorEastAsia" w:cstheme="minorHAnsi"/>
          <w:vertAlign w:val="superscript"/>
        </w:rPr>
        <w:t>*</w:t>
      </w:r>
      <w:r>
        <w:t xml:space="preserve"> </w:t>
      </w:r>
      <w:r>
        <w:rPr>
          <w:rFonts w:eastAsiaTheme="minorEastAsia" w:cstheme="minorHAnsi"/>
        </w:rPr>
        <w:t xml:space="preserve">can be seen as a proxy of the (relative) contribution of </w:t>
      </w:r>
      <w:proofErr w:type="spellStart"/>
      <w:r>
        <w:rPr>
          <w:rFonts w:eastAsiaTheme="minorEastAsia" w:cstheme="minorHAnsi"/>
        </w:rPr>
        <w:t>P</w:t>
      </w:r>
      <w:r w:rsidRPr="00622E5F">
        <w:rPr>
          <w:rFonts w:eastAsiaTheme="minorEastAsia" w:cstheme="minorHAnsi"/>
          <w:vertAlign w:val="subscript"/>
        </w:rPr>
        <w:t>j</w:t>
      </w:r>
      <w:proofErr w:type="spellEnd"/>
      <w:r>
        <w:rPr>
          <w:rFonts w:eastAsiaTheme="minorEastAsia" w:cstheme="minorHAnsi"/>
        </w:rPr>
        <w:t xml:space="preserve"> to the variance of V, by construction. It remains relative in the sense that the actual value of µ</w:t>
      </w:r>
      <w:r w:rsidRPr="00302D24">
        <w:rPr>
          <w:rFonts w:eastAsiaTheme="minorEastAsia" w:cstheme="minorHAnsi"/>
          <w:vertAlign w:val="subscript"/>
        </w:rPr>
        <w:t>j</w:t>
      </w:r>
      <w:r w:rsidRPr="00F943B7">
        <w:rPr>
          <w:rFonts w:eastAsiaTheme="minorEastAsia" w:cstheme="minorHAnsi"/>
          <w:vertAlign w:val="superscript"/>
        </w:rPr>
        <w:t>*</w:t>
      </w:r>
      <w:r>
        <w:rPr>
          <w:rFonts w:eastAsiaTheme="minorEastAsia" w:cstheme="minorHAnsi"/>
        </w:rPr>
        <w:t xml:space="preserve"> (e.g. 0.5) does not mean that </w:t>
      </w:r>
      <w:proofErr w:type="spellStart"/>
      <w:r>
        <w:rPr>
          <w:rFonts w:eastAsiaTheme="minorEastAsia" w:cstheme="minorHAnsi"/>
        </w:rPr>
        <w:t>P</w:t>
      </w:r>
      <w:r w:rsidRPr="002B03E1">
        <w:rPr>
          <w:rFonts w:eastAsiaTheme="minorEastAsia" w:cstheme="minorHAnsi"/>
          <w:vertAlign w:val="subscript"/>
        </w:rPr>
        <w:t>j</w:t>
      </w:r>
      <w:proofErr w:type="spellEnd"/>
      <w:r>
        <w:rPr>
          <w:rFonts w:eastAsiaTheme="minorEastAsia" w:cstheme="minorHAnsi"/>
        </w:rPr>
        <w:t xml:space="preserve"> contributes to 50% of total variance (sum of the µ</w:t>
      </w:r>
      <w:r w:rsidRPr="00302D24">
        <w:rPr>
          <w:rFonts w:eastAsiaTheme="minorEastAsia" w:cstheme="minorHAnsi"/>
          <w:vertAlign w:val="subscript"/>
        </w:rPr>
        <w:t>j</w:t>
      </w:r>
      <w:r w:rsidRPr="00F943B7">
        <w:rPr>
          <w:rFonts w:eastAsiaTheme="minorEastAsia" w:cstheme="minorHAnsi"/>
          <w:vertAlign w:val="superscript"/>
        </w:rPr>
        <w:t>*</w:t>
      </w:r>
      <w:r>
        <w:rPr>
          <w:rFonts w:eastAsiaTheme="minorEastAsia" w:cstheme="minorHAnsi"/>
        </w:rPr>
        <w:t xml:space="preserve"> gives between 1 and 2.5 with the present standardization). Nevertheless, the quantitative differences in-between (µ</w:t>
      </w:r>
      <w:r w:rsidRPr="00302D24">
        <w:rPr>
          <w:rFonts w:eastAsiaTheme="minorEastAsia" w:cstheme="minorHAnsi"/>
          <w:vertAlign w:val="subscript"/>
        </w:rPr>
        <w:t>j</w:t>
      </w:r>
      <w:r w:rsidRPr="00F943B7">
        <w:rPr>
          <w:rFonts w:eastAsiaTheme="minorEastAsia" w:cstheme="minorHAnsi"/>
          <w:vertAlign w:val="superscript"/>
        </w:rPr>
        <w:t>*</w:t>
      </w:r>
      <w:r>
        <w:rPr>
          <w:rFonts w:eastAsiaTheme="minorEastAsia" w:cstheme="minorHAnsi"/>
        </w:rPr>
        <w:t xml:space="preserve">; </w:t>
      </w:r>
      <w:proofErr w:type="spellStart"/>
      <w:r w:rsidRPr="00302D24">
        <w:rPr>
          <w:rFonts w:eastAsiaTheme="minorEastAsia" w:cstheme="minorHAnsi"/>
        </w:rPr>
        <w:t>σ</w:t>
      </w:r>
      <w:r w:rsidRPr="00302D24">
        <w:rPr>
          <w:rFonts w:eastAsiaTheme="minorEastAsia" w:cstheme="minorHAnsi"/>
          <w:vertAlign w:val="subscript"/>
        </w:rPr>
        <w:t>j</w:t>
      </w:r>
      <w:proofErr w:type="spellEnd"/>
      <w:r>
        <w:rPr>
          <w:rFonts w:eastAsiaTheme="minorEastAsia" w:cstheme="minorHAnsi"/>
        </w:rPr>
        <w:t>) points can be interpreted as the quantitative difference in the contribution of the parameters to the total variance of the results, in turn due to different sensitivity and/or different initial uncertainty on their value (</w:t>
      </w:r>
      <w:r w:rsidRPr="00A812D4">
        <w:rPr>
          <w:rFonts w:eastAsiaTheme="minorEastAsia" w:cstheme="minorHAnsi"/>
          <w:b/>
        </w:rPr>
        <w:t>Figure A4.2</w:t>
      </w:r>
      <w:r>
        <w:rPr>
          <w:rFonts w:eastAsiaTheme="minorEastAsia" w:cstheme="minorHAnsi"/>
        </w:rPr>
        <w:t xml:space="preserve">). L and r were selected accordingly, to ensure that individual trajectories are not too </w:t>
      </w:r>
      <w:r>
        <w:rPr>
          <w:rFonts w:eastAsiaTheme="minorEastAsia" w:cstheme="minorHAnsi"/>
        </w:rPr>
        <w:lastRenderedPageBreak/>
        <w:t xml:space="preserve">“local” in the input space (this is why </w:t>
      </w:r>
      <w:proofErr w:type="spellStart"/>
      <w:r>
        <w:t>dnP</w:t>
      </w:r>
      <w:proofErr w:type="spellEnd"/>
      <w:r>
        <w:t xml:space="preserve"> was selected close to 50%), and to select a number of trajectories higher than commonly reported (yet still relatively reduced to keep the computational advantage of the method). Under these conditions, the stability of the results obtained by the Morris method are also guaranteed</w:t>
      </w:r>
      <w:r>
        <w:fldChar w:fldCharType="begin"/>
      </w:r>
      <w:r w:rsidR="00657D9A">
        <w:instrText xml:space="preserve"> ADDIN ZOTERO_ITEM CSL_CITATION {"citationID":"glnFF5No","properties":{"formattedCitation":"\\super 37\\nosupersub{}","plainCitation":"37","noteIndex":0},"citationItems":[{"id":14059,"uris":["http://zotero.org/users/6423791/items/Z69Y96WW"],"itemData":{"id":14059,"type":"thesis","language":"fr","number-of-pages":"198","publisher":"Université Bretagne Loire","title":"Étude de modèles d’évaluation environnementale à travers l’identification de paramètres d’interactions","author":[{"family":"Awad","given":"Majdi"}],"issued":{"date-parts":[["2021"]]}}}],"schema":"https://github.com/citation-style-language/schema/raw/master/csl-citation.json"} </w:instrText>
      </w:r>
      <w:r>
        <w:fldChar w:fldCharType="separate"/>
      </w:r>
      <w:r w:rsidR="00657D9A" w:rsidRPr="00657D9A">
        <w:rPr>
          <w:rFonts w:ascii="Calibri" w:hAnsi="Calibri" w:cs="Calibri"/>
          <w:szCs w:val="24"/>
          <w:vertAlign w:val="superscript"/>
        </w:rPr>
        <w:t>37</w:t>
      </w:r>
      <w:r>
        <w:fldChar w:fldCharType="end"/>
      </w:r>
      <w:r>
        <w:t>; which was ensured by repeating the whole operation twice (the same distribution pattern was obtained). The related code was available in the research group (</w:t>
      </w:r>
      <w:proofErr w:type="spellStart"/>
      <w:r>
        <w:t>Matlab</w:t>
      </w:r>
      <w:proofErr w:type="spellEnd"/>
      <w:r>
        <w:t>) and adapted to work with the present LCA model.</w:t>
      </w:r>
    </w:p>
    <w:p w14:paraId="1C9DE29A" w14:textId="3FE298BE" w:rsidR="00360421" w:rsidRPr="002B03E1" w:rsidRDefault="00531900" w:rsidP="00531900">
      <w:pPr>
        <w:pStyle w:val="Lgende"/>
        <w:jc w:val="left"/>
        <w:rPr>
          <w:rFonts w:eastAsiaTheme="minorEastAsia" w:cstheme="minorHAnsi"/>
        </w:rPr>
      </w:pPr>
      <w:bookmarkStart w:id="57" w:name="_Toc134541567"/>
      <w:bookmarkStart w:id="58" w:name="_Toc155516857"/>
      <w:r>
        <w:t>Figure SI</w:t>
      </w:r>
      <w:r>
        <w:fldChar w:fldCharType="begin"/>
      </w:r>
      <w:r>
        <w:instrText xml:space="preserve"> SEQ Figure \* ARABIC </w:instrText>
      </w:r>
      <w:r>
        <w:fldChar w:fldCharType="separate"/>
      </w:r>
      <w:r w:rsidR="00C65861">
        <w:rPr>
          <w:noProof/>
        </w:rPr>
        <w:t>2</w:t>
      </w:r>
      <w:r>
        <w:fldChar w:fldCharType="end"/>
      </w:r>
      <w:r>
        <w:t xml:space="preserve"> </w:t>
      </w:r>
      <w:r w:rsidR="00360421">
        <w:t>– Sensitivity and uncertainty</w:t>
      </w:r>
      <w:bookmarkEnd w:id="57"/>
      <w:bookmarkEnd w:id="58"/>
    </w:p>
    <w:p w14:paraId="700AFBCB" w14:textId="77777777" w:rsidR="00360421" w:rsidRDefault="00360421" w:rsidP="00531900">
      <w:pPr>
        <w:rPr>
          <w:rFonts w:eastAsiaTheme="minorEastAsia" w:cstheme="minorHAnsi"/>
        </w:rPr>
      </w:pPr>
      <w:r>
        <w:rPr>
          <w:rFonts w:eastAsiaTheme="minorEastAsia" w:cstheme="minorHAnsi"/>
          <w:noProof/>
        </w:rPr>
        <w:drawing>
          <wp:inline distT="0" distB="0" distL="0" distR="0" wp14:anchorId="6B8AF2F1" wp14:editId="372626C1">
            <wp:extent cx="2892798" cy="1993900"/>
            <wp:effectExtent l="0" t="0" r="3175" b="6350"/>
            <wp:docPr id="10" name="Imag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A4.2.png"/>
                    <pic:cNvPicPr/>
                  </pic:nvPicPr>
                  <pic:blipFill>
                    <a:blip r:embed="rId12"/>
                    <a:stretch>
                      <a:fillRect/>
                    </a:stretch>
                  </pic:blipFill>
                  <pic:spPr>
                    <a:xfrm>
                      <a:off x="0" y="0"/>
                      <a:ext cx="2898036" cy="1997510"/>
                    </a:xfrm>
                    <a:prstGeom prst="rect">
                      <a:avLst/>
                    </a:prstGeom>
                  </pic:spPr>
                </pic:pic>
              </a:graphicData>
            </a:graphic>
          </wp:inline>
        </w:drawing>
      </w:r>
    </w:p>
    <w:p w14:paraId="706A9062" w14:textId="1E1FF552" w:rsidR="00360421" w:rsidRDefault="00360421" w:rsidP="00360421">
      <w:pPr>
        <w:jc w:val="both"/>
        <w:rPr>
          <w:rFonts w:eastAsiaTheme="minorEastAsia" w:cstheme="minorHAnsi"/>
          <w:sz w:val="18"/>
        </w:rPr>
      </w:pPr>
      <w:r>
        <w:rPr>
          <w:rFonts w:eastAsiaTheme="minorEastAsia" w:cstheme="minorHAnsi"/>
          <w:sz w:val="18"/>
        </w:rPr>
        <w:t>This figure illustrates the limitations to use sensibility analysis as a prescreening method (to reduce the dimension of the model) before assessing its variance. Indeed, removing a factor of the model (i.e. fixing it) requires both that (</w:t>
      </w:r>
      <w:proofErr w:type="spellStart"/>
      <w:r>
        <w:rPr>
          <w:rFonts w:eastAsiaTheme="minorEastAsia" w:cstheme="minorHAnsi"/>
          <w:sz w:val="18"/>
        </w:rPr>
        <w:t>i</w:t>
      </w:r>
      <w:proofErr w:type="spellEnd"/>
      <w:r>
        <w:rPr>
          <w:rFonts w:eastAsiaTheme="minorEastAsia" w:cstheme="minorHAnsi"/>
          <w:sz w:val="18"/>
        </w:rPr>
        <w:t>) the model has a low sensitivity to this factor and (ii) this factor as a low uncertainty (bottom-left corner).</w:t>
      </w:r>
      <w:r w:rsidR="00713682">
        <w:rPr>
          <w:rFonts w:eastAsiaTheme="minorEastAsia" w:cstheme="minorHAnsi"/>
          <w:sz w:val="18"/>
        </w:rPr>
        <w:t xml:space="preserve"> Terminology </w:t>
      </w:r>
      <w:r w:rsidR="00713682" w:rsidRPr="00713682">
        <w:rPr>
          <w:rFonts w:eastAsiaTheme="minorEastAsia" w:cstheme="minorHAnsi"/>
          <w:sz w:val="18"/>
          <w:szCs w:val="18"/>
        </w:rPr>
        <w:t xml:space="preserve">in </w:t>
      </w:r>
      <w:r w:rsidR="00713682" w:rsidRPr="00713682">
        <w:rPr>
          <w:rFonts w:eastAsiaTheme="minorEastAsia" w:cstheme="minorHAnsi"/>
          <w:b/>
          <w:sz w:val="18"/>
          <w:szCs w:val="18"/>
        </w:rPr>
        <w:fldChar w:fldCharType="begin"/>
      </w:r>
      <w:r w:rsidR="00713682" w:rsidRPr="00713682">
        <w:rPr>
          <w:rFonts w:eastAsiaTheme="minorEastAsia" w:cstheme="minorHAnsi"/>
          <w:b/>
          <w:sz w:val="18"/>
          <w:szCs w:val="18"/>
        </w:rPr>
        <w:instrText xml:space="preserve"> REF _Ref151710718 \h  \* MERGEFORMAT </w:instrText>
      </w:r>
      <w:r w:rsidR="00713682" w:rsidRPr="00713682">
        <w:rPr>
          <w:rFonts w:eastAsiaTheme="minorEastAsia" w:cstheme="minorHAnsi"/>
          <w:b/>
          <w:sz w:val="18"/>
          <w:szCs w:val="18"/>
        </w:rPr>
      </w:r>
      <w:r w:rsidR="00713682" w:rsidRPr="00713682">
        <w:rPr>
          <w:rFonts w:eastAsiaTheme="minorEastAsia" w:cstheme="minorHAnsi"/>
          <w:b/>
          <w:sz w:val="18"/>
          <w:szCs w:val="18"/>
        </w:rPr>
        <w:fldChar w:fldCharType="separate"/>
      </w:r>
      <w:r w:rsidR="00713682" w:rsidRPr="00713682">
        <w:rPr>
          <w:b/>
          <w:sz w:val="18"/>
          <w:szCs w:val="18"/>
        </w:rPr>
        <w:t>Table SI</w:t>
      </w:r>
      <w:r w:rsidR="00713682" w:rsidRPr="00713682">
        <w:rPr>
          <w:b/>
          <w:noProof/>
          <w:sz w:val="18"/>
          <w:szCs w:val="18"/>
        </w:rPr>
        <w:t>17</w:t>
      </w:r>
      <w:r w:rsidR="00713682" w:rsidRPr="00713682">
        <w:rPr>
          <w:rFonts w:eastAsiaTheme="minorEastAsia" w:cstheme="minorHAnsi"/>
          <w:b/>
          <w:sz w:val="18"/>
          <w:szCs w:val="18"/>
        </w:rPr>
        <w:fldChar w:fldCharType="end"/>
      </w:r>
      <w:r w:rsidR="00713682">
        <w:rPr>
          <w:rFonts w:eastAsiaTheme="minorEastAsia" w:cstheme="minorHAnsi"/>
          <w:sz w:val="18"/>
          <w:szCs w:val="18"/>
        </w:rPr>
        <w:t>.</w:t>
      </w:r>
    </w:p>
    <w:p w14:paraId="6B7809E6" w14:textId="608BE06C" w:rsidR="00360421" w:rsidRDefault="00360421" w:rsidP="00360421">
      <w:pPr>
        <w:jc w:val="both"/>
        <w:rPr>
          <w:rFonts w:eastAsiaTheme="minorEastAsia" w:cstheme="minorHAnsi"/>
        </w:rPr>
      </w:pPr>
      <w:r w:rsidRPr="00657098">
        <w:rPr>
          <w:rFonts w:eastAsiaTheme="minorEastAsia" w:cstheme="minorHAnsi"/>
        </w:rPr>
        <w:t>This GSA proced</w:t>
      </w:r>
      <w:r>
        <w:rPr>
          <w:rFonts w:eastAsiaTheme="minorEastAsia" w:cstheme="minorHAnsi"/>
        </w:rPr>
        <w:t xml:space="preserve">ure was applied to assess the influence of the 293 technology parameters on the LCA model. Accordingly, the </w:t>
      </w:r>
      <w:r w:rsidRPr="00657098">
        <w:rPr>
          <w:rFonts w:eastAsiaTheme="minorEastAsia" w:cstheme="minorHAnsi"/>
        </w:rPr>
        <w:t>(µ</w:t>
      </w:r>
      <w:r w:rsidRPr="00657098">
        <w:rPr>
          <w:rFonts w:eastAsiaTheme="minorEastAsia" w:cstheme="minorHAnsi"/>
          <w:vertAlign w:val="subscript"/>
        </w:rPr>
        <w:t>j</w:t>
      </w:r>
      <w:r w:rsidRPr="00657098">
        <w:rPr>
          <w:rFonts w:eastAsiaTheme="minorEastAsia" w:cstheme="minorHAnsi"/>
          <w:vertAlign w:val="superscript"/>
        </w:rPr>
        <w:t>*</w:t>
      </w:r>
      <w:r w:rsidRPr="00657098">
        <w:rPr>
          <w:rFonts w:eastAsiaTheme="minorEastAsia" w:cstheme="minorHAnsi"/>
        </w:rPr>
        <w:t xml:space="preserve">; </w:t>
      </w:r>
      <w:proofErr w:type="spellStart"/>
      <w:r w:rsidRPr="00302D24">
        <w:rPr>
          <w:rFonts w:eastAsiaTheme="minorEastAsia" w:cstheme="minorHAnsi"/>
        </w:rPr>
        <w:t>σ</w:t>
      </w:r>
      <w:r w:rsidRPr="00657098">
        <w:rPr>
          <w:rFonts w:eastAsiaTheme="minorEastAsia" w:cstheme="minorHAnsi"/>
          <w:vertAlign w:val="subscript"/>
        </w:rPr>
        <w:t>j</w:t>
      </w:r>
      <w:proofErr w:type="spellEnd"/>
      <w:r w:rsidRPr="00657098">
        <w:rPr>
          <w:rFonts w:eastAsiaTheme="minorEastAsia" w:cstheme="minorHAnsi"/>
        </w:rPr>
        <w:t xml:space="preserve">) scatter plots </w:t>
      </w:r>
      <w:r>
        <w:rPr>
          <w:rFonts w:eastAsiaTheme="minorEastAsia" w:cstheme="minorHAnsi"/>
        </w:rPr>
        <w:t xml:space="preserve">were elaborated for </w:t>
      </w:r>
      <w:r w:rsidR="00713682">
        <w:rPr>
          <w:rFonts w:eastAsiaTheme="minorEastAsia" w:cstheme="minorHAnsi"/>
        </w:rPr>
        <w:t xml:space="preserve">each of </w:t>
      </w:r>
      <w:r>
        <w:rPr>
          <w:rFonts w:eastAsiaTheme="minorEastAsia" w:cstheme="minorHAnsi"/>
        </w:rPr>
        <w:t xml:space="preserve">the 27 pathways and </w:t>
      </w:r>
      <w:r w:rsidR="00713682">
        <w:rPr>
          <w:rFonts w:eastAsiaTheme="minorEastAsia" w:cstheme="minorHAnsi"/>
        </w:rPr>
        <w:t>four</w:t>
      </w:r>
      <w:r>
        <w:rPr>
          <w:rFonts w:eastAsiaTheme="minorEastAsia" w:cstheme="minorHAnsi"/>
        </w:rPr>
        <w:t xml:space="preserve"> impact categories, </w:t>
      </w:r>
      <w:r w:rsidR="00713682">
        <w:rPr>
          <w:rFonts w:eastAsiaTheme="minorEastAsia" w:cstheme="minorHAnsi"/>
        </w:rPr>
        <w:t>and</w:t>
      </w:r>
      <w:r>
        <w:rPr>
          <w:rFonts w:eastAsiaTheme="minorEastAsia" w:cstheme="minorHAnsi"/>
        </w:rPr>
        <w:t xml:space="preserve"> are displayed and </w:t>
      </w:r>
      <w:r w:rsidR="00531900">
        <w:rPr>
          <w:rFonts w:eastAsiaTheme="minorEastAsia" w:cstheme="minorHAnsi"/>
        </w:rPr>
        <w:t xml:space="preserve">fully </w:t>
      </w:r>
      <w:r>
        <w:rPr>
          <w:rFonts w:eastAsiaTheme="minorEastAsia" w:cstheme="minorHAnsi"/>
        </w:rPr>
        <w:t>analyzed</w:t>
      </w:r>
      <w:r w:rsidR="00C86BBF">
        <w:rPr>
          <w:rFonts w:eastAsiaTheme="minorEastAsia" w:cstheme="minorHAnsi"/>
        </w:rPr>
        <w:t xml:space="preserve"> for the</w:t>
      </w:r>
      <w:r w:rsidR="00531900">
        <w:rPr>
          <w:rFonts w:eastAsiaTheme="minorEastAsia" w:cstheme="minorHAnsi"/>
        </w:rPr>
        <w:t xml:space="preserve"> </w:t>
      </w:r>
      <w:r w:rsidR="00713682">
        <w:rPr>
          <w:rFonts w:eastAsiaTheme="minorEastAsia" w:cstheme="minorHAnsi"/>
        </w:rPr>
        <w:t>“</w:t>
      </w:r>
      <w:r w:rsidR="00C86BBF">
        <w:rPr>
          <w:rFonts w:eastAsiaTheme="minorEastAsia" w:cstheme="minorHAnsi"/>
        </w:rPr>
        <w:t>ongoing food system tr</w:t>
      </w:r>
      <w:r w:rsidR="00713682">
        <w:rPr>
          <w:rFonts w:eastAsiaTheme="minorEastAsia" w:cstheme="minorHAnsi"/>
        </w:rPr>
        <w:t>ends</w:t>
      </w:r>
      <w:r w:rsidR="00C86BBF">
        <w:rPr>
          <w:rFonts w:eastAsiaTheme="minorEastAsia" w:cstheme="minorHAnsi"/>
        </w:rPr>
        <w:t>” and “towards renewable energies” scenarios</w:t>
      </w:r>
      <w:r w:rsidR="00531900">
        <w:rPr>
          <w:rFonts w:eastAsiaTheme="minorEastAsia" w:cstheme="minorHAnsi"/>
        </w:rPr>
        <w:t xml:space="preserve"> in the </w:t>
      </w:r>
      <w:r w:rsidR="00531900" w:rsidRPr="00713682">
        <w:rPr>
          <w:rFonts w:eastAsiaTheme="minorEastAsia" w:cstheme="minorHAnsi"/>
          <w:b/>
        </w:rPr>
        <w:t>PhD thesis manuscript</w:t>
      </w:r>
      <w:r w:rsidR="00531900">
        <w:rPr>
          <w:rFonts w:eastAsiaTheme="minorEastAsia" w:cstheme="minorHAnsi"/>
        </w:rPr>
        <w:t xml:space="preserve"> supporting the present analysis</w:t>
      </w:r>
      <w:r w:rsidR="00531900">
        <w:rPr>
          <w:rFonts w:eastAsiaTheme="minorEastAsia" w:cstheme="minorHAnsi"/>
        </w:rPr>
        <w:fldChar w:fldCharType="begin"/>
      </w:r>
      <w:r w:rsidR="00657D9A">
        <w:rPr>
          <w:rFonts w:eastAsiaTheme="minorEastAsia" w:cstheme="minorHAnsi"/>
        </w:rPr>
        <w:instrText xml:space="preserve"> ADDIN ZOTERO_ITEM CSL_CITATION {"citationID":"rXsnMDQs","properties":{"formattedCitation":"\\super 34\\nosupersub{}","plainCitation":"34","noteIndex":0},"citationItems":[{"id":14134,"uris":["http://zotero.org/users/6423791/items/LU22SWNL"],"itemData":{"id":14134,"type":"thesis","event-place":"Toulouse","genre":"PhD","language":"fr","number-of-pages":"555","publisher":"INSA Toulouse","publisher-place":"Toulouse","source":"Root","title":"Transforming residual biomass into food and feed, towards an LCA optimization platform","URL":"https://dataverse.callisto.calmip.univ-toulouse.fr/dataset.xhtml?persistentId=doi:10.48531/JBRU.CALMIP/6NIPVB","author":[{"family":"Javourez","given":"U."}],"accessed":{"date-parts":[["2023",5,16]]},"issued":{"date-parts":[["2023",2,28]]}}}],"schema":"https://github.com/citation-style-language/schema/raw/master/csl-citation.json"} </w:instrText>
      </w:r>
      <w:r w:rsidR="00531900">
        <w:rPr>
          <w:rFonts w:eastAsiaTheme="minorEastAsia" w:cstheme="minorHAnsi"/>
        </w:rPr>
        <w:fldChar w:fldCharType="separate"/>
      </w:r>
      <w:r w:rsidR="00657D9A" w:rsidRPr="00657D9A">
        <w:rPr>
          <w:rFonts w:ascii="Calibri" w:hAnsi="Calibri" w:cs="Calibri"/>
          <w:szCs w:val="24"/>
          <w:vertAlign w:val="superscript"/>
        </w:rPr>
        <w:t>34</w:t>
      </w:r>
      <w:r w:rsidR="00531900">
        <w:rPr>
          <w:rFonts w:eastAsiaTheme="minorEastAsia" w:cstheme="minorHAnsi"/>
        </w:rPr>
        <w:fldChar w:fldCharType="end"/>
      </w:r>
      <w:r>
        <w:rPr>
          <w:rFonts w:eastAsiaTheme="minorEastAsia" w:cstheme="minorHAnsi"/>
        </w:rPr>
        <w:t xml:space="preserve">. The simulations were performed for all eleven representative input streams (i.e. case studies), to assess how these affect the way the technological parameters influence the LCA </w:t>
      </w:r>
      <w:r w:rsidR="00713682">
        <w:rPr>
          <w:rFonts w:eastAsiaTheme="minorEastAsia" w:cstheme="minorHAnsi"/>
        </w:rPr>
        <w:t>scores</w:t>
      </w:r>
      <w:r>
        <w:rPr>
          <w:rFonts w:eastAsiaTheme="minorEastAsia" w:cstheme="minorHAnsi"/>
        </w:rPr>
        <w:t>.</w:t>
      </w:r>
      <w:r w:rsidR="00C86BBF">
        <w:rPr>
          <w:rFonts w:eastAsiaTheme="minorEastAsia" w:cstheme="minorHAnsi"/>
        </w:rPr>
        <w:t xml:space="preserve"> </w:t>
      </w:r>
      <w:r>
        <w:rPr>
          <w:rFonts w:eastAsiaTheme="minorEastAsia" w:cstheme="minorHAnsi"/>
        </w:rPr>
        <w:t xml:space="preserve">Displayed on the same </w:t>
      </w:r>
      <w:r w:rsidRPr="00657098">
        <w:rPr>
          <w:rFonts w:eastAsiaTheme="minorEastAsia" w:cstheme="minorHAnsi"/>
        </w:rPr>
        <w:t>(µ</w:t>
      </w:r>
      <w:r w:rsidRPr="00657098">
        <w:rPr>
          <w:rFonts w:eastAsiaTheme="minorEastAsia" w:cstheme="minorHAnsi"/>
          <w:vertAlign w:val="subscript"/>
        </w:rPr>
        <w:t>j</w:t>
      </w:r>
      <w:r w:rsidRPr="00657098">
        <w:rPr>
          <w:rFonts w:eastAsiaTheme="minorEastAsia" w:cstheme="minorHAnsi"/>
          <w:vertAlign w:val="superscript"/>
        </w:rPr>
        <w:t>*</w:t>
      </w:r>
      <w:r w:rsidRPr="00657098">
        <w:rPr>
          <w:rFonts w:eastAsiaTheme="minorEastAsia" w:cstheme="minorHAnsi"/>
        </w:rPr>
        <w:t xml:space="preserve">; </w:t>
      </w:r>
      <w:proofErr w:type="spellStart"/>
      <w:r w:rsidRPr="00302D24">
        <w:rPr>
          <w:rFonts w:eastAsiaTheme="minorEastAsia" w:cstheme="minorHAnsi"/>
        </w:rPr>
        <w:t>σ</w:t>
      </w:r>
      <w:r w:rsidRPr="00657098">
        <w:rPr>
          <w:rFonts w:eastAsiaTheme="minorEastAsia" w:cstheme="minorHAnsi"/>
          <w:vertAlign w:val="subscript"/>
        </w:rPr>
        <w:t>j</w:t>
      </w:r>
      <w:proofErr w:type="spellEnd"/>
      <w:r w:rsidRPr="00657098">
        <w:rPr>
          <w:rFonts w:eastAsiaTheme="minorEastAsia" w:cstheme="minorHAnsi"/>
        </w:rPr>
        <w:t>) scatter plots</w:t>
      </w:r>
      <w:r>
        <w:rPr>
          <w:rFonts w:eastAsiaTheme="minorEastAsia" w:cstheme="minorHAnsi"/>
        </w:rPr>
        <w:t xml:space="preserve">, overlapping </w:t>
      </w:r>
      <w:r w:rsidR="00531900">
        <w:rPr>
          <w:rFonts w:eastAsiaTheme="minorEastAsia" w:cstheme="minorHAnsi"/>
        </w:rPr>
        <w:t xml:space="preserve">sensitivity value </w:t>
      </w:r>
      <w:r>
        <w:rPr>
          <w:rFonts w:eastAsiaTheme="minorEastAsia" w:cstheme="minorHAnsi"/>
        </w:rPr>
        <w:t>point</w:t>
      </w:r>
      <w:r w:rsidR="00531900">
        <w:rPr>
          <w:rFonts w:eastAsiaTheme="minorEastAsia" w:cstheme="minorHAnsi"/>
        </w:rPr>
        <w:t>s</w:t>
      </w:r>
      <w:r>
        <w:rPr>
          <w:rFonts w:eastAsiaTheme="minorEastAsia" w:cstheme="minorHAnsi"/>
        </w:rPr>
        <w:t xml:space="preserve"> across the input streams means that corresponding parameter influence the results the same way regardless of the characteristics of input streams (still true if points are clustered enough). On the other hand, if a parameter pops up in a </w:t>
      </w:r>
      <w:r w:rsidRPr="00657098">
        <w:rPr>
          <w:rFonts w:eastAsiaTheme="minorEastAsia" w:cstheme="minorHAnsi"/>
        </w:rPr>
        <w:t>(µ</w:t>
      </w:r>
      <w:r w:rsidRPr="00657098">
        <w:rPr>
          <w:rFonts w:eastAsiaTheme="minorEastAsia" w:cstheme="minorHAnsi"/>
          <w:vertAlign w:val="subscript"/>
        </w:rPr>
        <w:t>j</w:t>
      </w:r>
      <w:r w:rsidRPr="00657098">
        <w:rPr>
          <w:rFonts w:eastAsiaTheme="minorEastAsia" w:cstheme="minorHAnsi"/>
          <w:vertAlign w:val="superscript"/>
        </w:rPr>
        <w:t>*</w:t>
      </w:r>
      <w:r w:rsidRPr="00657098">
        <w:rPr>
          <w:rFonts w:eastAsiaTheme="minorEastAsia" w:cstheme="minorHAnsi"/>
        </w:rPr>
        <w:t xml:space="preserve">; </w:t>
      </w:r>
      <w:proofErr w:type="spellStart"/>
      <w:r w:rsidRPr="00302D24">
        <w:rPr>
          <w:rFonts w:eastAsiaTheme="minorEastAsia" w:cstheme="minorHAnsi"/>
        </w:rPr>
        <w:t>σ</w:t>
      </w:r>
      <w:r w:rsidRPr="00657098">
        <w:rPr>
          <w:rFonts w:eastAsiaTheme="minorEastAsia" w:cstheme="minorHAnsi"/>
          <w:vertAlign w:val="subscript"/>
        </w:rPr>
        <w:t>j</w:t>
      </w:r>
      <w:proofErr w:type="spellEnd"/>
      <w:r w:rsidRPr="00657098">
        <w:rPr>
          <w:rFonts w:eastAsiaTheme="minorEastAsia" w:cstheme="minorHAnsi"/>
        </w:rPr>
        <w:t>)</w:t>
      </w:r>
      <w:r>
        <w:rPr>
          <w:rFonts w:eastAsiaTheme="minorEastAsia" w:cstheme="minorHAnsi"/>
        </w:rPr>
        <w:t xml:space="preserve"> plot only for one input stream, this mean that the way the parameter influences the LCA results is tightly linked with specific characteristics of input streams (e.g. </w:t>
      </w:r>
      <w:r w:rsidR="00713682">
        <w:rPr>
          <w:rFonts w:eastAsiaTheme="minorEastAsia" w:cstheme="minorHAnsi"/>
        </w:rPr>
        <w:t>ammoniacal nitrogen</w:t>
      </w:r>
      <w:r>
        <w:rPr>
          <w:rFonts w:eastAsiaTheme="minorEastAsia" w:cstheme="minorHAnsi"/>
        </w:rPr>
        <w:t xml:space="preserve"> content).</w:t>
      </w:r>
    </w:p>
    <w:p w14:paraId="39DCFF81" w14:textId="403C7820" w:rsidR="009955BF" w:rsidRDefault="00F64038" w:rsidP="00531900">
      <w:pPr>
        <w:jc w:val="both"/>
        <w:rPr>
          <w:rFonts w:eastAsiaTheme="minorEastAsia" w:cstheme="minorHAnsi"/>
        </w:rPr>
      </w:pPr>
      <w:r>
        <w:rPr>
          <w:rFonts w:eastAsiaTheme="minorEastAsia" w:cstheme="minorHAnsi"/>
        </w:rPr>
        <w:t xml:space="preserve">The most sensitive parameters were displayed in </w:t>
      </w:r>
      <w:r w:rsidRPr="00713682">
        <w:rPr>
          <w:rFonts w:eastAsiaTheme="minorEastAsia" w:cstheme="minorHAnsi"/>
        </w:rPr>
        <w:t xml:space="preserve">the </w:t>
      </w:r>
      <w:r w:rsidRPr="00713682">
        <w:rPr>
          <w:rFonts w:eastAsiaTheme="minorEastAsia" w:cstheme="minorHAnsi"/>
          <w:b/>
        </w:rPr>
        <w:t xml:space="preserve">extended </w:t>
      </w:r>
      <w:r w:rsidR="00713682" w:rsidRPr="00713682">
        <w:rPr>
          <w:rFonts w:eastAsiaTheme="minorEastAsia" w:cstheme="minorHAnsi"/>
          <w:b/>
        </w:rPr>
        <w:t>Table 1</w:t>
      </w:r>
      <w:r w:rsidRPr="00713682">
        <w:rPr>
          <w:rFonts w:eastAsiaTheme="minorEastAsia" w:cstheme="minorHAnsi"/>
        </w:rPr>
        <w:t>.</w:t>
      </w:r>
      <w:r>
        <w:rPr>
          <w:rFonts w:eastAsiaTheme="minorEastAsia" w:cstheme="minorHAnsi"/>
        </w:rPr>
        <w:t xml:space="preserve"> Among these, the ten presenting the higher sensitivity ratios (across </w:t>
      </w:r>
      <w:r w:rsidR="00531900">
        <w:rPr>
          <w:rFonts w:eastAsiaTheme="minorEastAsia" w:cstheme="minorHAnsi"/>
        </w:rPr>
        <w:t>the four</w:t>
      </w:r>
      <w:r>
        <w:rPr>
          <w:rFonts w:eastAsiaTheme="minorEastAsia" w:cstheme="minorHAnsi"/>
        </w:rPr>
        <w:t xml:space="preserve"> impact categories, focusing on waste-to-nutrition pathways) were retained to derive the </w:t>
      </w:r>
      <w:r w:rsidRPr="00F64038">
        <w:rPr>
          <w:rFonts w:eastAsiaTheme="minorEastAsia" w:cstheme="minorHAnsi"/>
          <w:b/>
        </w:rPr>
        <w:t xml:space="preserve">Figure </w:t>
      </w:r>
      <w:r w:rsidR="00531900">
        <w:rPr>
          <w:rFonts w:eastAsiaTheme="minorEastAsia" w:cstheme="minorHAnsi"/>
          <w:b/>
        </w:rPr>
        <w:t>3</w:t>
      </w:r>
      <w:r>
        <w:rPr>
          <w:rFonts w:eastAsiaTheme="minorEastAsia" w:cstheme="minorHAnsi"/>
        </w:rPr>
        <w:t xml:space="preserve"> of the main manuscript: (</w:t>
      </w:r>
      <w:proofErr w:type="spellStart"/>
      <w:r>
        <w:rPr>
          <w:rFonts w:eastAsiaTheme="minorEastAsia" w:cstheme="minorHAnsi"/>
        </w:rPr>
        <w:t>i</w:t>
      </w:r>
      <w:proofErr w:type="spellEnd"/>
      <w:r>
        <w:rPr>
          <w:rFonts w:eastAsiaTheme="minorEastAsia" w:cstheme="minorHAnsi"/>
        </w:rPr>
        <w:t>) MOB yield, (ii) HOB yield, (iii) Methanation losses, (iv) AD methane production, (v) AD emissions reduction potential, (vi) cellulosic C</w:t>
      </w:r>
      <w:r w:rsidRPr="00F64038">
        <w:rPr>
          <w:rFonts w:eastAsiaTheme="minorEastAsia" w:cstheme="minorHAnsi"/>
          <w:vertAlign w:val="subscript"/>
        </w:rPr>
        <w:t>6</w:t>
      </w:r>
      <w:r>
        <w:rPr>
          <w:rFonts w:eastAsiaTheme="minorEastAsia" w:cstheme="minorHAnsi"/>
        </w:rPr>
        <w:t xml:space="preserve"> sugar yields, (vii) mycoproteins C</w:t>
      </w:r>
      <w:r w:rsidRPr="00F64038">
        <w:rPr>
          <w:rFonts w:eastAsiaTheme="minorEastAsia" w:cstheme="minorHAnsi"/>
          <w:vertAlign w:val="subscript"/>
        </w:rPr>
        <w:t>6</w:t>
      </w:r>
      <w:r>
        <w:rPr>
          <w:rFonts w:eastAsiaTheme="minorEastAsia" w:cstheme="minorHAnsi"/>
        </w:rPr>
        <w:t xml:space="preserve"> growth, (viii) SSF digestibility enhancement, (ix) proteins recovery in green pellets and (x) in green juice. Emission factors (EF) were not retained </w:t>
      </w:r>
      <w:r w:rsidR="00713682">
        <w:rPr>
          <w:rFonts w:eastAsiaTheme="minorEastAsia" w:cstheme="minorHAnsi"/>
        </w:rPr>
        <w:t>because</w:t>
      </w:r>
      <w:r>
        <w:rPr>
          <w:rFonts w:eastAsiaTheme="minorEastAsia" w:cstheme="minorHAnsi"/>
        </w:rPr>
        <w:t xml:space="preserve"> considered as rather intrinsically unknown</w:t>
      </w:r>
      <w:r w:rsidR="00713682">
        <w:rPr>
          <w:rFonts w:eastAsiaTheme="minorEastAsia" w:cstheme="minorHAnsi"/>
        </w:rPr>
        <w:t xml:space="preserve"> and pedoclimatic conditions-specifics</w:t>
      </w:r>
      <w:r>
        <w:rPr>
          <w:rFonts w:eastAsiaTheme="minorEastAsia" w:cstheme="minorHAnsi"/>
        </w:rPr>
        <w:t xml:space="preserve"> than improvable in the future.</w:t>
      </w:r>
      <w:r w:rsidR="009B28DD">
        <w:rPr>
          <w:rFonts w:eastAsiaTheme="minorEastAsia" w:cstheme="minorHAnsi"/>
        </w:rPr>
        <w:t xml:space="preserve"> This was done to illustrate how as few as ten key parameters influence overall results interpretation on future pathways ranking as well as the relevance of implementing waste-to-nutrition pathways. </w:t>
      </w:r>
      <w:r w:rsidR="00531900">
        <w:rPr>
          <w:rFonts w:eastAsiaTheme="minorEastAsia" w:cstheme="minorHAnsi"/>
        </w:rPr>
        <w:t>Further details</w:t>
      </w:r>
      <w:r w:rsidR="00713682">
        <w:rPr>
          <w:rFonts w:eastAsiaTheme="minorEastAsia" w:cstheme="minorHAnsi"/>
        </w:rPr>
        <w:t xml:space="preserve"> available</w:t>
      </w:r>
      <w:r w:rsidR="00531900">
        <w:rPr>
          <w:rFonts w:eastAsiaTheme="minorEastAsia" w:cstheme="minorHAnsi"/>
        </w:rPr>
        <w:t xml:space="preserve"> in</w:t>
      </w:r>
      <w:r w:rsidR="009B28DD">
        <w:rPr>
          <w:rFonts w:eastAsiaTheme="minorEastAsia" w:cstheme="minorHAnsi"/>
        </w:rPr>
        <w:t xml:space="preserve"> </w:t>
      </w:r>
      <w:r w:rsidR="009B28DD" w:rsidRPr="00531900">
        <w:rPr>
          <w:rFonts w:eastAsiaTheme="minorEastAsia" w:cstheme="minorHAnsi"/>
          <w:b/>
        </w:rPr>
        <w:t xml:space="preserve">Figure </w:t>
      </w:r>
      <w:r w:rsidR="00531900" w:rsidRPr="00531900">
        <w:rPr>
          <w:rFonts w:eastAsiaTheme="minorEastAsia" w:cstheme="minorHAnsi"/>
          <w:b/>
        </w:rPr>
        <w:t>3</w:t>
      </w:r>
      <w:r w:rsidR="00531900">
        <w:rPr>
          <w:rFonts w:eastAsiaTheme="minorEastAsia" w:cstheme="minorHAnsi"/>
        </w:rPr>
        <w:t xml:space="preserve"> caption and the </w:t>
      </w:r>
      <w:r w:rsidR="00531900" w:rsidRPr="00531900">
        <w:rPr>
          <w:rFonts w:eastAsiaTheme="minorEastAsia" w:cstheme="minorHAnsi"/>
          <w:b/>
        </w:rPr>
        <w:t>Methods section</w:t>
      </w:r>
      <w:r w:rsidR="009B28DD">
        <w:rPr>
          <w:rFonts w:eastAsiaTheme="minorEastAsia" w:cstheme="minorHAnsi"/>
        </w:rPr>
        <w:t>.</w:t>
      </w:r>
    </w:p>
    <w:p w14:paraId="6AD93632" w14:textId="77777777" w:rsidR="009955BF" w:rsidRDefault="009955BF">
      <w:pPr>
        <w:rPr>
          <w:rFonts w:eastAsiaTheme="minorEastAsia" w:cstheme="minorHAnsi"/>
        </w:rPr>
      </w:pPr>
      <w:r>
        <w:rPr>
          <w:rFonts w:eastAsiaTheme="minorEastAsia" w:cstheme="minorHAnsi"/>
        </w:rPr>
        <w:br w:type="page"/>
      </w:r>
    </w:p>
    <w:p w14:paraId="6E42C0EA" w14:textId="77777777" w:rsidR="00360421" w:rsidRDefault="00360421" w:rsidP="00C86BBF">
      <w:pPr>
        <w:pStyle w:val="Titre2"/>
      </w:pPr>
      <w:bookmarkStart w:id="59" w:name="_Toc134541532"/>
      <w:r>
        <w:lastRenderedPageBreak/>
        <w:t>Unravelling the parameters conditioning pathways ranking</w:t>
      </w:r>
      <w:bookmarkEnd w:id="59"/>
    </w:p>
    <w:p w14:paraId="6EF1F0E2" w14:textId="243BE182" w:rsidR="00531900" w:rsidRDefault="00360421" w:rsidP="00531900">
      <w:pPr>
        <w:jc w:val="both"/>
      </w:pPr>
      <w:r>
        <w:t>Calculated for the same sets of input P</w:t>
      </w:r>
      <w:r w:rsidRPr="00EE5209">
        <w:rPr>
          <w:vertAlign w:val="superscript"/>
        </w:rPr>
        <w:t>i</w:t>
      </w:r>
      <w:r>
        <w:t>; the LCA</w:t>
      </w:r>
      <w:r w:rsidR="00713682">
        <w:t xml:space="preserve"> </w:t>
      </w:r>
      <w:r w:rsidR="00531900">
        <w:t>score</w:t>
      </w:r>
      <w:r w:rsidR="00713682">
        <w:t>s</w:t>
      </w:r>
      <w:r>
        <w:t xml:space="preserve"> of the 27 </w:t>
      </w:r>
      <w:r w:rsidR="00713682">
        <w:t xml:space="preserve">waste valorization </w:t>
      </w:r>
      <w:r>
        <w:t>pathways can be compared one per one for each simulation. This enables to push forward classical pairwise discernibility analyses. A discernibility analysis consists in calculating the fraction of the simulations which complies with a specific condition. The following procedure was applied for each</w:t>
      </w:r>
      <w:r w:rsidR="00713682">
        <w:t xml:space="preserve"> LCA scores associated with</w:t>
      </w:r>
      <w:r>
        <w:t xml:space="preserve"> </w:t>
      </w:r>
      <w:r w:rsidR="00713682">
        <w:t xml:space="preserve">an </w:t>
      </w:r>
      <w:r>
        <w:t>individual (impact</w:t>
      </w:r>
      <w:r w:rsidR="00713682">
        <w:t xml:space="preserve"> category</w:t>
      </w:r>
      <w:r>
        <w:t xml:space="preserve">; case study) combination, further referred to as V. </w:t>
      </w:r>
      <w:r w:rsidR="00C86BBF">
        <w:t>Four</w:t>
      </w:r>
      <w:r>
        <w:t xml:space="preserve"> impact categories and eleven feedstock case studies were assessed, yielding </w:t>
      </w:r>
      <w:r w:rsidR="00C86BBF">
        <w:t>44</w:t>
      </w:r>
      <w:r>
        <w:t xml:space="preserve"> individual </w:t>
      </w:r>
      <w:r w:rsidR="00713682">
        <w:t>LCA scores</w:t>
      </w:r>
      <w:r>
        <w:t xml:space="preserve"> matrix V, each of size (8820; 27) because of the number of pathways assessed and simulations performed.</w:t>
      </w:r>
      <w:r w:rsidR="00531900">
        <w:t xml:space="preserve"> </w:t>
      </w:r>
      <w:r>
        <w:t xml:space="preserve">First, for each V, the discernibility matrix </w:t>
      </w:r>
      <w:r>
        <w:rPr>
          <w:rFonts w:cstheme="minorHAnsi"/>
        </w:rPr>
        <w:t>∆</w:t>
      </w:r>
      <w:r>
        <w:t>V was created with</w:t>
      </w:r>
      <w:r w:rsidR="00531900">
        <w:t xml:space="preserve"> </w:t>
      </w:r>
      <w:r w:rsidR="00531900" w:rsidRPr="00531900">
        <w:rPr>
          <w:b/>
        </w:rPr>
        <w:fldChar w:fldCharType="begin"/>
      </w:r>
      <w:r w:rsidR="00531900" w:rsidRPr="00531900">
        <w:rPr>
          <w:b/>
        </w:rPr>
        <w:instrText xml:space="preserve"> REF _Ref151712241 \h </w:instrText>
      </w:r>
      <w:r w:rsidR="00531900">
        <w:rPr>
          <w:b/>
        </w:rPr>
        <w:instrText xml:space="preserve"> \* MERGEFORMAT </w:instrText>
      </w:r>
      <w:r w:rsidR="00531900" w:rsidRPr="00531900">
        <w:rPr>
          <w:b/>
        </w:rPr>
      </w:r>
      <w:r w:rsidR="00531900" w:rsidRPr="00531900">
        <w:rPr>
          <w:b/>
        </w:rPr>
        <w:fldChar w:fldCharType="separate"/>
      </w:r>
      <w:r w:rsidR="00531900" w:rsidRPr="00531900">
        <w:rPr>
          <w:b/>
        </w:rPr>
        <w:t xml:space="preserve">Equation </w:t>
      </w:r>
      <w:r w:rsidR="00531900" w:rsidRPr="00531900">
        <w:rPr>
          <w:b/>
          <w:noProof/>
        </w:rPr>
        <w:t>7</w:t>
      </w:r>
      <w:r w:rsidR="00531900" w:rsidRPr="00531900">
        <w:rPr>
          <w:b/>
        </w:rPr>
        <w:fldChar w:fldCharType="end"/>
      </w:r>
      <w:r>
        <w:t>.</w:t>
      </w:r>
      <w:r w:rsidR="00531900">
        <w:t xml:space="preserve"> </w:t>
      </w:r>
      <w:r w:rsidR="00531900">
        <w:rPr>
          <w:rFonts w:cstheme="minorHAnsi"/>
        </w:rPr>
        <w:t>Resulting ∆</w:t>
      </w:r>
      <w:r w:rsidR="00531900">
        <w:t xml:space="preserve">V have 351 columns, representing all the pairwise pathways combinations. Nevertheless, not all are relevant </w:t>
      </w:r>
      <w:r w:rsidR="00713682">
        <w:t>nor</w:t>
      </w:r>
      <w:r w:rsidR="00531900">
        <w:t xml:space="preserve"> </w:t>
      </w:r>
      <w:r w:rsidR="00713682">
        <w:t>compatible, as</w:t>
      </w:r>
      <w:r w:rsidR="00531900">
        <w:t xml:space="preserve"> (</w:t>
      </w:r>
      <w:r w:rsidR="00713682">
        <w:t>feedstocks</w:t>
      </w:r>
      <w:r w:rsidR="00531900">
        <w:t>; pathways) combinations are stream-specific</w:t>
      </w:r>
      <w:r w:rsidR="00531900">
        <w:fldChar w:fldCharType="begin"/>
      </w:r>
      <w:r w:rsidR="00CD084F">
        <w:instrText xml:space="preserve"> ADDIN ZOTERO_ITEM CSL_CITATION {"citationID":"XzPToLsc","properties":{"formattedCitation":"\\super 1\\nosupersub{}","plainCitation":"1","noteIndex":0},"citationItems":[{"id":14334,"uris":["http://zotero.org/users/6423791/items/VWPZYH5Z"],"itemData":{"id":14334,"type":"article","DOI":"https://doi.org/10.21203/rs.3.rs-3671083/v1","genre":"preprint","publisher":"Research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pathways","author":[{"family":"Javourez","given":"U."},{"family":"Tiruta-Barna","given":"L."},{"family":"Hamelin","given":"L."}],"issued":{"date-parts":[["2023",11,20]]}}}],"schema":"https://github.com/citation-style-language/schema/raw/master/csl-citation.json"} </w:instrText>
      </w:r>
      <w:r w:rsidR="00531900">
        <w:fldChar w:fldCharType="separate"/>
      </w:r>
      <w:r w:rsidR="00531900" w:rsidRPr="00531900">
        <w:rPr>
          <w:rFonts w:ascii="Calibri" w:hAnsi="Calibri" w:cs="Calibri"/>
          <w:szCs w:val="24"/>
          <w:vertAlign w:val="superscript"/>
        </w:rPr>
        <w:t>1</w:t>
      </w:r>
      <w:r w:rsidR="00531900">
        <w:fldChar w:fldCharType="end"/>
      </w:r>
      <w:r w:rsidR="00531900">
        <w:t xml:space="preserve">. The pairwise comparison matrices for each V are obtained by assessing the occurrence of positive and negative values for each column of </w:t>
      </w:r>
      <w:r w:rsidR="00531900">
        <w:rPr>
          <w:rFonts w:cstheme="minorHAnsi"/>
        </w:rPr>
        <w:t>∆</w:t>
      </w:r>
      <w:r w:rsidR="00531900">
        <w:t>V (</w:t>
      </w:r>
      <w:r w:rsidR="00713682">
        <w:t>d</w:t>
      </w:r>
      <w:r w:rsidR="00531900">
        <w:t xml:space="preserve">iscernibility figures in the </w:t>
      </w:r>
      <w:r w:rsidR="00713682">
        <w:t>Chapter 4 of the</w:t>
      </w:r>
      <w:r w:rsidR="00531900">
        <w:t xml:space="preserve"> </w:t>
      </w:r>
      <w:r w:rsidR="00531900" w:rsidRPr="00713682">
        <w:rPr>
          <w:b/>
        </w:rPr>
        <w:t>PhD thesis manuscript</w:t>
      </w:r>
      <w:r w:rsidR="00531900">
        <w:fldChar w:fldCharType="begin"/>
      </w:r>
      <w:r w:rsidR="00657D9A">
        <w:instrText xml:space="preserve"> ADDIN ZOTERO_ITEM CSL_CITATION {"citationID":"rYFZJU1o","properties":{"formattedCitation":"\\super 34\\nosupersub{}","plainCitation":"34","noteIndex":0},"citationItems":[{"id":14134,"uris":["http://zotero.org/users/6423791/items/LU22SWNL"],"itemData":{"id":14134,"type":"thesis","event-place":"Toulouse","genre":"PhD","language":"fr","number-of-pages":"555","publisher":"INSA Toulouse","publisher-place":"Toulouse","source":"Root","title":"Transforming residual biomass into food and feed, towards an LCA optimization platform","URL":"https://dataverse.callisto.calmip.univ-toulouse.fr/dataset.xhtml?persistentId=doi:10.48531/JBRU.CALMIP/6NIPVB","author":[{"family":"Javourez","given":"U."}],"accessed":{"date-parts":[["2023",5,16]]},"issued":{"date-parts":[["2023",2,28]]}}}],"schema":"https://github.com/citation-style-language/schema/raw/master/csl-citation.json"} </w:instrText>
      </w:r>
      <w:r w:rsidR="00531900">
        <w:fldChar w:fldCharType="separate"/>
      </w:r>
      <w:r w:rsidR="00657D9A" w:rsidRPr="00657D9A">
        <w:rPr>
          <w:rFonts w:ascii="Calibri" w:hAnsi="Calibri" w:cs="Calibri"/>
          <w:szCs w:val="24"/>
          <w:vertAlign w:val="superscript"/>
        </w:rPr>
        <w:t>34</w:t>
      </w:r>
      <w:r w:rsidR="00531900">
        <w:fldChar w:fldCharType="end"/>
      </w:r>
      <w:r w:rsidR="00531900">
        <w:t>).</w:t>
      </w:r>
    </w:p>
    <w:p w14:paraId="07914FC8" w14:textId="46087959" w:rsidR="00360421" w:rsidRPr="003E0F52" w:rsidRDefault="00531900" w:rsidP="00531900">
      <w:pPr>
        <w:pStyle w:val="Lgende"/>
        <w:jc w:val="left"/>
        <w:rPr>
          <w:b w:val="0"/>
        </w:rPr>
      </w:pPr>
      <w:bookmarkStart w:id="60" w:name="_Ref151712241"/>
      <w:r>
        <w:t xml:space="preserve">Equation </w:t>
      </w:r>
      <w:r>
        <w:fldChar w:fldCharType="begin"/>
      </w:r>
      <w:r>
        <w:instrText xml:space="preserve"> SEQ Equation \* ARABIC </w:instrText>
      </w:r>
      <w:r>
        <w:fldChar w:fldCharType="separate"/>
      </w:r>
      <w:r>
        <w:rPr>
          <w:noProof/>
        </w:rPr>
        <w:t>7</w:t>
      </w:r>
      <w:r>
        <w:fldChar w:fldCharType="end"/>
      </w:r>
      <w:bookmarkEnd w:id="60"/>
    </w:p>
    <w:p w14:paraId="6CAE5E01" w14:textId="77777777" w:rsidR="00360421" w:rsidRPr="00531900" w:rsidRDefault="00360421" w:rsidP="00360421">
      <w:pPr>
        <w:jc w:val="both"/>
        <w:rPr>
          <w:rFonts w:eastAsiaTheme="minorEastAsia"/>
        </w:rPr>
      </w:pPr>
      <m:oMathPara>
        <m:oMathParaPr>
          <m:jc m:val="left"/>
        </m:oMathParaPr>
        <m:oMath>
          <m:r>
            <w:rPr>
              <w:rFonts w:ascii="Cambria Math" w:hAnsi="Cambria Math"/>
            </w:rPr>
            <m:t>∀ g,h ∈</m:t>
          </m:r>
          <m:d>
            <m:dPr>
              <m:begChr m:val="["/>
              <m:endChr m:val="]"/>
              <m:ctrlPr>
                <w:rPr>
                  <w:rFonts w:ascii="Cambria Math" w:hAnsi="Cambria Math"/>
                  <w:i/>
                </w:rPr>
              </m:ctrlPr>
            </m:dPr>
            <m:e>
              <m:r>
                <w:rPr>
                  <w:rFonts w:ascii="Cambria Math" w:hAnsi="Cambria Math"/>
                </w:rPr>
                <m:t>1,27</m:t>
              </m:r>
            </m:e>
          </m:d>
          <m:r>
            <w:rPr>
              <w:rFonts w:ascii="Cambria Math" w:hAnsi="Cambria Math"/>
            </w:rPr>
            <m:t>, g≠h,</m:t>
          </m:r>
          <m:sSub>
            <m:sSubPr>
              <m:ctrlPr>
                <w:rPr>
                  <w:rFonts w:ascii="Cambria Math" w:hAnsi="Cambria Math"/>
                  <w:i/>
                </w:rPr>
              </m:ctrlPr>
            </m:sSubPr>
            <m:e>
              <m:r>
                <m:rPr>
                  <m:sty m:val="p"/>
                </m:rPr>
                <w:rPr>
                  <w:rFonts w:ascii="Cambria Math" w:hAnsi="Cambria Math" w:cstheme="minorHAnsi"/>
                </w:rPr>
                <m:t>∆</m:t>
              </m:r>
              <m:r>
                <m:rPr>
                  <m:sty m:val="p"/>
                </m:rPr>
                <w:rPr>
                  <w:rFonts w:ascii="Cambria Math" w:cstheme="minorHAnsi"/>
                </w:rPr>
                <m:t>V</m:t>
              </m:r>
            </m:e>
            <m:sub>
              <m:r>
                <w:rPr>
                  <w:rFonts w:ascii="Cambria Math" w:hAnsi="Cambria Math"/>
                </w:rPr>
                <m:t>N,gh</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N,g</m:t>
              </m:r>
            </m:sub>
          </m:sSub>
          <m:r>
            <w:rPr>
              <w:rFonts w:ascii="Cambria Math" w:hAnsi="Cambria Math"/>
            </w:rPr>
            <m:t>-</m:t>
          </m:r>
          <m:sSub>
            <m:sSubPr>
              <m:ctrlPr>
                <w:rPr>
                  <w:rFonts w:ascii="Cambria Math" w:hAnsi="Cambria Math"/>
                  <w:i/>
                </w:rPr>
              </m:ctrlPr>
            </m:sSubPr>
            <m:e>
              <m:r>
                <w:rPr>
                  <w:rFonts w:ascii="Cambria Math" w:hAnsi="Cambria Math"/>
                </w:rPr>
                <m:t>V</m:t>
              </m:r>
            </m:e>
            <m:sub>
              <m:r>
                <w:rPr>
                  <w:rFonts w:ascii="Cambria Math" w:hAnsi="Cambria Math"/>
                </w:rPr>
                <m:t>N,h</m:t>
              </m:r>
            </m:sub>
          </m:sSub>
        </m:oMath>
      </m:oMathPara>
    </w:p>
    <w:p w14:paraId="7F77D42A" w14:textId="7F37FDC2" w:rsidR="00360421" w:rsidRDefault="00360421" w:rsidP="00360421">
      <w:pPr>
        <w:jc w:val="both"/>
        <w:rPr>
          <w:rFonts w:eastAsiaTheme="minorEastAsia"/>
        </w:rPr>
      </w:pPr>
      <w:r>
        <w:t xml:space="preserve">Due to the volume of data to analyze, the statistical analysis was only performed for </w:t>
      </w:r>
      <w:r w:rsidR="00713682">
        <w:t>pairs of</w:t>
      </w:r>
      <w:r>
        <w:t xml:space="preserve"> pathways interest</w:t>
      </w:r>
      <w:r w:rsidR="00C86BBF">
        <w:t xml:space="preserve"> for the goal of this study</w:t>
      </w:r>
      <w:r>
        <w:t xml:space="preserve">. It consists in identifying, if existing, </w:t>
      </w:r>
      <w:r w:rsidR="00713682">
        <w:t>sets of key</w:t>
      </w:r>
      <w:r>
        <w:t xml:space="preserve"> parameters explaining the ranking between two pathways of interest (that is influencing the most the values of corresponding ∆V column). This was performed by comparing the descriptive statistics of each </w:t>
      </w:r>
      <w:proofErr w:type="spellStart"/>
      <w:r>
        <w:t>P</w:t>
      </w:r>
      <w:r w:rsidRPr="007B114A">
        <w:rPr>
          <w:vertAlign w:val="subscript"/>
        </w:rPr>
        <w:t>j</w:t>
      </w:r>
      <w:proofErr w:type="spellEnd"/>
      <w:r>
        <w:t xml:space="preserve"> (</w:t>
      </w:r>
      <w:r w:rsidR="00713682">
        <w:t xml:space="preserve">technological </w:t>
      </w:r>
      <w:r>
        <w:t xml:space="preserve">parameter) calculated over all the simulations (N) against the ones calculated over the reduced set of simulations complying with the condition </w:t>
      </w:r>
      <w:r>
        <w:rPr>
          <w:rFonts w:cstheme="minorHAnsi"/>
        </w:rPr>
        <w:t>∆</w:t>
      </w:r>
      <w:proofErr w:type="spellStart"/>
      <w:r>
        <w:t>V</w:t>
      </w:r>
      <w:r w:rsidRPr="007B114A">
        <w:rPr>
          <w:vertAlign w:val="subscript"/>
        </w:rPr>
        <w:t>gh</w:t>
      </w:r>
      <w:proofErr w:type="spellEnd"/>
      <w:r>
        <w:t xml:space="preserve"> &gt; 0 or </w:t>
      </w:r>
      <w:r>
        <w:rPr>
          <w:rFonts w:cstheme="minorHAnsi"/>
        </w:rPr>
        <w:t>∆</w:t>
      </w:r>
      <w:proofErr w:type="spellStart"/>
      <w:r>
        <w:t>V</w:t>
      </w:r>
      <w:r w:rsidRPr="007B114A">
        <w:rPr>
          <w:vertAlign w:val="subscript"/>
        </w:rPr>
        <w:t>gh</w:t>
      </w:r>
      <w:proofErr w:type="spellEnd"/>
      <w:r>
        <w:t xml:space="preserve"> &lt; 0 (N’&lt;N). Due to the Morris screening design, the descriptive statistics of each </w:t>
      </w:r>
      <w:proofErr w:type="spellStart"/>
      <w:r>
        <w:t>P</w:t>
      </w:r>
      <w:r w:rsidRPr="009B21BA">
        <w:rPr>
          <w:vertAlign w:val="subscript"/>
        </w:rPr>
        <w:t>j</w:t>
      </w:r>
      <w:proofErr w:type="spellEnd"/>
      <w:r>
        <w:t xml:space="preserve"> calculated over the simulations </w:t>
      </w:r>
      <w:r w:rsidR="00713682">
        <w:t>are</w:t>
      </w:r>
      <w:r>
        <w:t xml:space="preserve"> uniformly distributed </w:t>
      </w:r>
      <w:r w:rsidR="00713682">
        <w:t>over their</w:t>
      </w:r>
      <w:r>
        <w:t xml:space="preserve"> </w:t>
      </w:r>
      <w:r w:rsidR="00713682">
        <w:t>six</w:t>
      </w:r>
      <w:r>
        <w:t xml:space="preserve"> values; the average </w:t>
      </w:r>
      <w:proofErr w:type="spellStart"/>
      <w:r>
        <w:t>P</w:t>
      </w:r>
      <w:r w:rsidRPr="009B21BA">
        <w:rPr>
          <w:vertAlign w:val="subscript"/>
        </w:rPr>
        <w:t>j</w:t>
      </w:r>
      <w:proofErr w:type="spellEnd"/>
      <w:r w:rsidRPr="009B21BA">
        <w:rPr>
          <w:vertAlign w:val="subscript"/>
        </w:rPr>
        <w:t xml:space="preserve"> </w:t>
      </w:r>
      <w:r>
        <w:t xml:space="preserve">value is close to the middle of </w:t>
      </w:r>
      <m:oMath>
        <m:sSub>
          <m:sSubPr>
            <m:ctrlPr>
              <w:rPr>
                <w:rFonts w:ascii="Cambria Math" w:hAnsi="Cambria Math"/>
              </w:rPr>
            </m:ctrlPr>
          </m:sSubPr>
          <m:e>
            <m:r>
              <m:rPr>
                <m:sty m:val="p"/>
              </m:rPr>
              <w:rPr>
                <w:rFonts w:ascii="Cambria Math" w:hAnsi="Cambria Math"/>
              </w:rPr>
              <m:t>∆P</m:t>
            </m:r>
          </m:e>
          <m:sub>
            <m:r>
              <w:rPr>
                <w:rFonts w:ascii="Cambria Math" w:hAnsi="Cambria Math"/>
              </w:rPr>
              <m:t>j</m:t>
            </m:r>
          </m:sub>
        </m:sSub>
      </m:oMath>
      <w:r w:rsidRPr="009B21BA">
        <w:rPr>
          <w:rFonts w:eastAsiaTheme="minorEastAsia"/>
        </w:rPr>
        <w:t>.</w:t>
      </w:r>
      <w:r>
        <w:rPr>
          <w:rFonts w:eastAsiaTheme="minorEastAsia"/>
        </w:rPr>
        <w:t xml:space="preserve"> For each case, the relative change in average and standard deviation of all the </w:t>
      </w:r>
      <w:proofErr w:type="spellStart"/>
      <w:r>
        <w:rPr>
          <w:rFonts w:eastAsiaTheme="minorEastAsia"/>
        </w:rPr>
        <w:t>P</w:t>
      </w:r>
      <w:r w:rsidRPr="007B114A">
        <w:rPr>
          <w:rFonts w:eastAsiaTheme="minorEastAsia"/>
          <w:vertAlign w:val="subscript"/>
        </w:rPr>
        <w:t>j</w:t>
      </w:r>
      <w:proofErr w:type="spellEnd"/>
      <w:r>
        <w:rPr>
          <w:rFonts w:eastAsiaTheme="minorEastAsia"/>
        </w:rPr>
        <w:t xml:space="preserve"> when calculated on N’ compared to N were established </w:t>
      </w:r>
      <w:r w:rsidRPr="00531900">
        <w:rPr>
          <w:rFonts w:eastAsiaTheme="minorEastAsia"/>
          <w:b/>
        </w:rPr>
        <w:t>(</w:t>
      </w:r>
      <w:r w:rsidR="00531900" w:rsidRPr="00531900">
        <w:rPr>
          <w:rFonts w:eastAsiaTheme="minorEastAsia"/>
          <w:b/>
        </w:rPr>
        <w:fldChar w:fldCharType="begin"/>
      </w:r>
      <w:r w:rsidR="00531900" w:rsidRPr="00531900">
        <w:rPr>
          <w:rFonts w:eastAsiaTheme="minorEastAsia"/>
          <w:b/>
        </w:rPr>
        <w:instrText xml:space="preserve"> REF _Ref151712422 \h </w:instrText>
      </w:r>
      <w:r w:rsidR="00531900">
        <w:rPr>
          <w:rFonts w:eastAsiaTheme="minorEastAsia"/>
          <w:b/>
        </w:rPr>
        <w:instrText xml:space="preserve"> \* MERGEFORMAT </w:instrText>
      </w:r>
      <w:r w:rsidR="00531900" w:rsidRPr="00531900">
        <w:rPr>
          <w:rFonts w:eastAsiaTheme="minorEastAsia"/>
          <w:b/>
        </w:rPr>
      </w:r>
      <w:r w:rsidR="00531900" w:rsidRPr="00531900">
        <w:rPr>
          <w:rFonts w:eastAsiaTheme="minorEastAsia"/>
          <w:b/>
        </w:rPr>
        <w:fldChar w:fldCharType="separate"/>
      </w:r>
      <w:r w:rsidR="00531900" w:rsidRPr="00531900">
        <w:rPr>
          <w:b/>
        </w:rPr>
        <w:t xml:space="preserve">Equation </w:t>
      </w:r>
      <w:r w:rsidR="00531900" w:rsidRPr="00531900">
        <w:rPr>
          <w:b/>
          <w:noProof/>
        </w:rPr>
        <w:t>8</w:t>
      </w:r>
      <w:r w:rsidR="00531900" w:rsidRPr="00531900">
        <w:rPr>
          <w:rFonts w:eastAsiaTheme="minorEastAsia"/>
          <w:b/>
        </w:rPr>
        <w:fldChar w:fldCharType="end"/>
      </w:r>
      <w:r>
        <w:rPr>
          <w:rFonts w:eastAsiaTheme="minorEastAsia"/>
        </w:rPr>
        <w:t>).</w:t>
      </w:r>
    </w:p>
    <w:p w14:paraId="0757CE22" w14:textId="470CB44C" w:rsidR="00360421" w:rsidRPr="003E0F52" w:rsidRDefault="00531900" w:rsidP="00531900">
      <w:pPr>
        <w:pStyle w:val="Lgende"/>
        <w:jc w:val="left"/>
        <w:rPr>
          <w:rFonts w:eastAsiaTheme="minorEastAsia"/>
          <w:b w:val="0"/>
        </w:rPr>
      </w:pPr>
      <w:bookmarkStart w:id="61" w:name="_Ref151712422"/>
      <w:r>
        <w:t xml:space="preserve">Equation </w:t>
      </w:r>
      <w:r>
        <w:fldChar w:fldCharType="begin"/>
      </w:r>
      <w:r>
        <w:instrText xml:space="preserve"> SEQ Equation \* ARABIC </w:instrText>
      </w:r>
      <w:r>
        <w:fldChar w:fldCharType="separate"/>
      </w:r>
      <w:r>
        <w:rPr>
          <w:noProof/>
        </w:rPr>
        <w:t>8</w:t>
      </w:r>
      <w:r>
        <w:fldChar w:fldCharType="end"/>
      </w:r>
      <w:bookmarkEnd w:id="61"/>
    </w:p>
    <w:p w14:paraId="4E8B9790" w14:textId="021B85F3" w:rsidR="00360421" w:rsidRDefault="00360421" w:rsidP="00531900">
      <m:oMath>
        <m:r>
          <w:rPr>
            <w:rFonts w:ascii="Cambria Math" w:hAnsi="Cambria Math"/>
          </w:rPr>
          <m:t>∀ j ∈</m:t>
        </m:r>
        <m:d>
          <m:dPr>
            <m:begChr m:val="["/>
            <m:endChr m:val="]"/>
            <m:ctrlPr>
              <w:rPr>
                <w:rFonts w:ascii="Cambria Math" w:hAnsi="Cambria Math"/>
                <w:i/>
              </w:rPr>
            </m:ctrlPr>
          </m:dPr>
          <m:e>
            <m:r>
              <w:rPr>
                <w:rFonts w:ascii="Cambria Math" w:hAnsi="Cambria Math"/>
              </w:rPr>
              <m:t>1, 293</m:t>
            </m:r>
          </m:e>
        </m:d>
        <m:r>
          <w:rPr>
            <w:rFonts w:ascii="Cambria Math" w:hAnsi="Cambria Math"/>
          </w:rPr>
          <m:t xml:space="preserve">,  </m:t>
        </m:r>
        <m:acc>
          <m:accPr>
            <m:chr m:val="̅"/>
            <m:ctrlPr>
              <w:rPr>
                <w:rFonts w:ascii="Cambria Math" w:hAnsi="Cambria Math"/>
                <w:i/>
              </w:rPr>
            </m:ctrlPr>
          </m:accPr>
          <m:e>
            <m:sSub>
              <m:sSubPr>
                <m:ctrlPr>
                  <w:rPr>
                    <w:rFonts w:ascii="Cambria Math" w:hAnsi="Cambria Math"/>
                    <w:i/>
                  </w:rPr>
                </m:ctrlPr>
              </m:sSubPr>
              <m:e>
                <m:r>
                  <w:rPr>
                    <w:rFonts w:ascii="Cambria Math" w:hAnsi="Cambria Math"/>
                  </w:rPr>
                  <m:t>P</m:t>
                </m:r>
              </m:e>
              <m:sub>
                <m:r>
                  <w:rPr>
                    <w:rFonts w:ascii="Cambria Math" w:hAnsi="Cambria Math"/>
                  </w:rPr>
                  <m:t>j,r</m:t>
                </m:r>
              </m:sub>
            </m:sSub>
          </m:e>
        </m:acc>
        <m:r>
          <w:rPr>
            <w:rFonts w:ascii="Cambria Math" w:hAnsi="Cambria Math"/>
          </w:rPr>
          <m:t>=</m:t>
        </m:r>
        <m:f>
          <m:fPr>
            <m:ctrlPr>
              <w:rPr>
                <w:rFonts w:ascii="Cambria Math" w:hAnsi="Cambria Math"/>
                <w:i/>
              </w:rPr>
            </m:ctrlPr>
          </m:fPr>
          <m:num>
            <m:acc>
              <m:accPr>
                <m:chr m:val="̅"/>
                <m:ctrlPr>
                  <w:rPr>
                    <w:rFonts w:ascii="Cambria Math" w:hAnsi="Cambria Math"/>
                    <w:i/>
                  </w:rPr>
                </m:ctrlPr>
              </m:accPr>
              <m:e>
                <m:sSub>
                  <m:sSubPr>
                    <m:ctrlPr>
                      <w:rPr>
                        <w:rFonts w:ascii="Cambria Math" w:hAnsi="Cambria Math"/>
                        <w:i/>
                      </w:rPr>
                    </m:ctrlPr>
                  </m:sSubPr>
                  <m:e>
                    <m:r>
                      <w:rPr>
                        <w:rFonts w:ascii="Cambria Math" w:hAnsi="Cambria Math"/>
                      </w:rPr>
                      <m:t>P</m:t>
                    </m:r>
                  </m:e>
                  <m:sub>
                    <m:r>
                      <w:rPr>
                        <w:rFonts w:ascii="Cambria Math" w:hAnsi="Cambria Math"/>
                      </w:rPr>
                      <m:t>j,N'</m:t>
                    </m:r>
                  </m:sub>
                </m:sSub>
              </m:e>
            </m:acc>
            <m:r>
              <w:rPr>
                <w:rFonts w:ascii="Cambria Math" w:hAnsi="Cambria Math"/>
              </w:rPr>
              <m:t>-</m:t>
            </m:r>
            <m:acc>
              <m:accPr>
                <m:chr m:val="̅"/>
                <m:ctrlPr>
                  <w:rPr>
                    <w:rFonts w:ascii="Cambria Math" w:hAnsi="Cambria Math"/>
                    <w:i/>
                  </w:rPr>
                </m:ctrlPr>
              </m:accPr>
              <m:e>
                <m:sSub>
                  <m:sSubPr>
                    <m:ctrlPr>
                      <w:rPr>
                        <w:rFonts w:ascii="Cambria Math" w:hAnsi="Cambria Math"/>
                        <w:i/>
                      </w:rPr>
                    </m:ctrlPr>
                  </m:sSubPr>
                  <m:e>
                    <m:r>
                      <w:rPr>
                        <w:rFonts w:ascii="Cambria Math" w:hAnsi="Cambria Math"/>
                      </w:rPr>
                      <m:t>P</m:t>
                    </m:r>
                  </m:e>
                  <m:sub>
                    <m:r>
                      <w:rPr>
                        <w:rFonts w:ascii="Cambria Math" w:hAnsi="Cambria Math"/>
                      </w:rPr>
                      <m:t>j,N</m:t>
                    </m:r>
                  </m:sub>
                </m:sSub>
              </m:e>
            </m:acc>
          </m:num>
          <m:den>
            <m:acc>
              <m:accPr>
                <m:chr m:val="̅"/>
                <m:ctrlPr>
                  <w:rPr>
                    <w:rFonts w:ascii="Cambria Math" w:hAnsi="Cambria Math"/>
                    <w:i/>
                  </w:rPr>
                </m:ctrlPr>
              </m:accPr>
              <m:e>
                <m:sSub>
                  <m:sSubPr>
                    <m:ctrlPr>
                      <w:rPr>
                        <w:rFonts w:ascii="Cambria Math" w:hAnsi="Cambria Math"/>
                        <w:i/>
                      </w:rPr>
                    </m:ctrlPr>
                  </m:sSubPr>
                  <m:e>
                    <m:r>
                      <w:rPr>
                        <w:rFonts w:ascii="Cambria Math" w:hAnsi="Cambria Math"/>
                      </w:rPr>
                      <m:t>P</m:t>
                    </m:r>
                  </m:e>
                  <m:sub>
                    <m:r>
                      <w:rPr>
                        <w:rFonts w:ascii="Cambria Math" w:hAnsi="Cambria Math"/>
                      </w:rPr>
                      <m:t>j,N</m:t>
                    </m:r>
                  </m:sub>
                </m:sSub>
              </m:e>
            </m:acc>
          </m:den>
        </m:f>
      </m:oMath>
      <w:r>
        <w:rPr>
          <w:rFonts w:eastAsiaTheme="minorEastAsia"/>
        </w:rPr>
        <w:t xml:space="preserve"> </w:t>
      </w:r>
      <w:r w:rsidR="00531900">
        <w:rPr>
          <w:rFonts w:eastAsiaTheme="minorEastAsia"/>
        </w:rPr>
        <w:t xml:space="preserve"> </w:t>
      </w:r>
      <w:r>
        <w:rPr>
          <w:rFonts w:eastAsiaTheme="minorEastAsia"/>
        </w:rPr>
        <w:t>and</w:t>
      </w:r>
      <w:r w:rsidR="00531900">
        <w:rPr>
          <w:rFonts w:eastAsiaTheme="minorEastAsia"/>
        </w:rPr>
        <w:t xml:space="preserve"> </w:t>
      </w:r>
      <w:r>
        <w:rPr>
          <w:rFonts w:eastAsiaTheme="minorEastAsia"/>
        </w:rPr>
        <w:t xml:space="preserve"> </w:t>
      </w:r>
      <m:oMath>
        <m:sSubSup>
          <m:sSubSupPr>
            <m:ctrlPr>
              <w:rPr>
                <w:rFonts w:ascii="Cambria Math" w:eastAsiaTheme="minorEastAsia" w:hAnsi="Cambria Math"/>
                <w:i/>
              </w:rPr>
            </m:ctrlPr>
          </m:sSubSupPr>
          <m:e>
            <m:r>
              <m:rPr>
                <m:sty m:val="p"/>
              </m:rPr>
              <w:rPr>
                <w:rStyle w:val="hgkelc"/>
                <w:rFonts w:ascii="Cambria Math" w:hAnsi="Cambria Math"/>
              </w:rPr>
              <m:t>σ</m:t>
            </m:r>
          </m:e>
          <m:sub>
            <m:r>
              <w:rPr>
                <w:rFonts w:ascii="Cambria Math" w:eastAsiaTheme="minorEastAsia" w:hAnsi="Cambria Math"/>
              </w:rPr>
              <m:t>r</m:t>
            </m:r>
          </m:sub>
          <m:sup>
            <m:r>
              <w:rPr>
                <w:rFonts w:ascii="Cambria Math" w:eastAsiaTheme="minorEastAsia" w:hAnsi="Cambria Math"/>
              </w:rPr>
              <m:t>Pj</m:t>
            </m:r>
          </m:sup>
        </m:sSubSup>
        <m:r>
          <w:rPr>
            <w:rFonts w:ascii="Cambria Math" w:hAnsi="Cambria Math"/>
          </w:rPr>
          <m:t>=</m:t>
        </m:r>
        <m:f>
          <m:fPr>
            <m:ctrlPr>
              <w:rPr>
                <w:rFonts w:ascii="Cambria Math" w:hAnsi="Cambria Math"/>
                <w:i/>
              </w:rPr>
            </m:ctrlPr>
          </m:fPr>
          <m:num>
            <m:sSubSup>
              <m:sSubSupPr>
                <m:ctrlPr>
                  <w:rPr>
                    <w:rFonts w:ascii="Cambria Math" w:eastAsiaTheme="minorEastAsia" w:hAnsi="Cambria Math"/>
                    <w:i/>
                  </w:rPr>
                </m:ctrlPr>
              </m:sSubSupPr>
              <m:e>
                <m:r>
                  <m:rPr>
                    <m:sty m:val="p"/>
                  </m:rPr>
                  <w:rPr>
                    <w:rStyle w:val="hgkelc"/>
                    <w:rFonts w:ascii="Cambria Math" w:hAnsi="Cambria Math"/>
                  </w:rPr>
                  <m:t>σ</m:t>
                </m:r>
              </m:e>
              <m:sub>
                <m:r>
                  <w:rPr>
                    <w:rFonts w:ascii="Cambria Math" w:eastAsiaTheme="minorEastAsia" w:hAnsi="Cambria Math"/>
                  </w:rPr>
                  <m:t>N'</m:t>
                </m:r>
              </m:sub>
              <m:sup>
                <m:r>
                  <w:rPr>
                    <w:rFonts w:ascii="Cambria Math" w:eastAsiaTheme="minorEastAsia" w:hAnsi="Cambria Math"/>
                  </w:rPr>
                  <m:t>Pj</m:t>
                </m:r>
              </m:sup>
            </m:sSubSup>
            <m:r>
              <w:rPr>
                <w:rFonts w:ascii="Cambria Math" w:eastAsiaTheme="minorEastAsia" w:hAnsi="Cambria Math"/>
              </w:rPr>
              <m:t>-</m:t>
            </m:r>
            <m:sSubSup>
              <m:sSubSupPr>
                <m:ctrlPr>
                  <w:rPr>
                    <w:rFonts w:ascii="Cambria Math" w:eastAsiaTheme="minorEastAsia" w:hAnsi="Cambria Math"/>
                    <w:i/>
                  </w:rPr>
                </m:ctrlPr>
              </m:sSubSupPr>
              <m:e>
                <m:r>
                  <m:rPr>
                    <m:sty m:val="p"/>
                  </m:rPr>
                  <w:rPr>
                    <w:rStyle w:val="hgkelc"/>
                    <w:rFonts w:ascii="Cambria Math" w:hAnsi="Cambria Math"/>
                  </w:rPr>
                  <m:t xml:space="preserve"> σ</m:t>
                </m:r>
              </m:e>
              <m:sub>
                <m:r>
                  <w:rPr>
                    <w:rFonts w:ascii="Cambria Math" w:eastAsiaTheme="minorEastAsia" w:hAnsi="Cambria Math"/>
                  </w:rPr>
                  <m:t>N</m:t>
                </m:r>
              </m:sub>
              <m:sup>
                <m:r>
                  <w:rPr>
                    <w:rFonts w:ascii="Cambria Math" w:eastAsiaTheme="minorEastAsia" w:hAnsi="Cambria Math"/>
                  </w:rPr>
                  <m:t>Pj</m:t>
                </m:r>
              </m:sup>
            </m:sSubSup>
          </m:num>
          <m:den>
            <m:sSubSup>
              <m:sSubSupPr>
                <m:ctrlPr>
                  <w:rPr>
                    <w:rFonts w:ascii="Cambria Math" w:eastAsiaTheme="minorEastAsia" w:hAnsi="Cambria Math"/>
                    <w:i/>
                  </w:rPr>
                </m:ctrlPr>
              </m:sSubSupPr>
              <m:e>
                <m:r>
                  <m:rPr>
                    <m:sty m:val="p"/>
                  </m:rPr>
                  <w:rPr>
                    <w:rStyle w:val="hgkelc"/>
                    <w:rFonts w:ascii="Cambria Math" w:hAnsi="Cambria Math"/>
                  </w:rPr>
                  <m:t>σ</m:t>
                </m:r>
              </m:e>
              <m:sub>
                <m:r>
                  <w:rPr>
                    <w:rFonts w:ascii="Cambria Math" w:eastAsiaTheme="minorEastAsia" w:hAnsi="Cambria Math"/>
                  </w:rPr>
                  <m:t>N</m:t>
                </m:r>
              </m:sub>
              <m:sup>
                <m:r>
                  <w:rPr>
                    <w:rFonts w:ascii="Cambria Math" w:eastAsiaTheme="minorEastAsia" w:hAnsi="Cambria Math"/>
                  </w:rPr>
                  <m:t>Pj</m:t>
                </m:r>
              </m:sup>
            </m:sSubSup>
          </m:den>
        </m:f>
      </m:oMath>
    </w:p>
    <w:p w14:paraId="756D754E" w14:textId="74EE63BC" w:rsidR="00360421" w:rsidRPr="00531900" w:rsidRDefault="00360421" w:rsidP="00531900">
      <w:pPr>
        <w:jc w:val="both"/>
        <w:rPr>
          <w:rFonts w:eastAsiaTheme="minorEastAsia"/>
          <w:sz w:val="18"/>
        </w:rPr>
      </w:pPr>
      <w:r>
        <w:rPr>
          <w:rFonts w:eastAsiaTheme="minorEastAsia"/>
          <w:sz w:val="18"/>
        </w:rPr>
        <w:t xml:space="preserve"> </w:t>
      </w:r>
      <m:oMath>
        <m:acc>
          <m:accPr>
            <m:chr m:val="̅"/>
            <m:ctrlPr>
              <w:rPr>
                <w:rFonts w:ascii="Cambria Math" w:hAnsi="Cambria Math"/>
                <w:i/>
                <w:sz w:val="18"/>
              </w:rPr>
            </m:ctrlPr>
          </m:accPr>
          <m:e>
            <m:sSub>
              <m:sSubPr>
                <m:ctrlPr>
                  <w:rPr>
                    <w:rFonts w:ascii="Cambria Math" w:hAnsi="Cambria Math"/>
                    <w:i/>
                    <w:sz w:val="18"/>
                  </w:rPr>
                </m:ctrlPr>
              </m:sSubPr>
              <m:e>
                <m:r>
                  <w:rPr>
                    <w:rFonts w:ascii="Cambria Math" w:hAnsi="Cambria Math"/>
                    <w:sz w:val="18"/>
                  </w:rPr>
                  <m:t>P</m:t>
                </m:r>
              </m:e>
              <m:sub>
                <m:r>
                  <w:rPr>
                    <w:rFonts w:ascii="Cambria Math" w:hAnsi="Cambria Math"/>
                    <w:sz w:val="18"/>
                  </w:rPr>
                  <m:t>j,N</m:t>
                </m:r>
              </m:sub>
            </m:sSub>
          </m:e>
        </m:acc>
      </m:oMath>
      <w:r>
        <w:rPr>
          <w:rFonts w:eastAsiaTheme="minorEastAsia"/>
          <w:sz w:val="18"/>
        </w:rPr>
        <w:t xml:space="preserve"> and </w:t>
      </w:r>
      <m:oMath>
        <m:sSubSup>
          <m:sSubSupPr>
            <m:ctrlPr>
              <w:rPr>
                <w:rFonts w:ascii="Cambria Math" w:eastAsiaTheme="minorEastAsia" w:hAnsi="Cambria Math"/>
                <w:i/>
                <w:sz w:val="18"/>
              </w:rPr>
            </m:ctrlPr>
          </m:sSubSupPr>
          <m:e>
            <m:r>
              <m:rPr>
                <m:sty m:val="p"/>
              </m:rPr>
              <w:rPr>
                <w:rStyle w:val="hgkelc"/>
                <w:rFonts w:ascii="Cambria Math" w:hAnsi="Cambria Math"/>
                <w:sz w:val="18"/>
              </w:rPr>
              <m:t>σ</m:t>
            </m:r>
          </m:e>
          <m:sub>
            <m:r>
              <w:rPr>
                <w:rFonts w:ascii="Cambria Math" w:eastAsiaTheme="minorEastAsia" w:hAnsi="Cambria Math"/>
                <w:sz w:val="18"/>
              </w:rPr>
              <m:t>N</m:t>
            </m:r>
          </m:sub>
          <m:sup>
            <m:r>
              <w:rPr>
                <w:rFonts w:ascii="Cambria Math" w:eastAsiaTheme="minorEastAsia" w:hAnsi="Cambria Math"/>
                <w:sz w:val="18"/>
              </w:rPr>
              <m:t>Pj</m:t>
            </m:r>
          </m:sup>
        </m:sSubSup>
        <m:r>
          <w:rPr>
            <w:rFonts w:ascii="Cambria Math" w:eastAsiaTheme="minorEastAsia" w:hAnsi="Cambria Math"/>
            <w:sz w:val="18"/>
          </w:rPr>
          <m:t xml:space="preserve"> </m:t>
        </m:r>
      </m:oMath>
      <w:r>
        <w:rPr>
          <w:rFonts w:eastAsiaTheme="minorEastAsia"/>
          <w:sz w:val="18"/>
        </w:rPr>
        <w:t>respectively being the average and standard deviation of P</w:t>
      </w:r>
      <w:r w:rsidRPr="00070ED5">
        <w:rPr>
          <w:rFonts w:eastAsiaTheme="minorEastAsia"/>
          <w:sz w:val="18"/>
          <w:vertAlign w:val="subscript"/>
        </w:rPr>
        <w:t>j</w:t>
      </w:r>
      <w:r>
        <w:rPr>
          <w:rFonts w:eastAsiaTheme="minorEastAsia"/>
          <w:sz w:val="18"/>
        </w:rPr>
        <w:t xml:space="preserve"> calculated over the N=8820 simulations, N’ depending on the specific V and pathways couple studied.</w:t>
      </w:r>
      <m:oMath>
        <m:r>
          <w:rPr>
            <w:rFonts w:ascii="Cambria Math" w:hAnsi="Cambria Math"/>
            <w:sz w:val="18"/>
          </w:rPr>
          <m:t xml:space="preserve"> </m:t>
        </m:r>
        <m:acc>
          <m:accPr>
            <m:chr m:val="̅"/>
            <m:ctrlPr>
              <w:rPr>
                <w:rFonts w:ascii="Cambria Math" w:hAnsi="Cambria Math"/>
                <w:i/>
                <w:sz w:val="18"/>
              </w:rPr>
            </m:ctrlPr>
          </m:accPr>
          <m:e>
            <m:sSub>
              <m:sSubPr>
                <m:ctrlPr>
                  <w:rPr>
                    <w:rFonts w:ascii="Cambria Math" w:hAnsi="Cambria Math"/>
                    <w:i/>
                    <w:sz w:val="18"/>
                  </w:rPr>
                </m:ctrlPr>
              </m:sSubPr>
              <m:e>
                <m:r>
                  <w:rPr>
                    <w:rFonts w:ascii="Cambria Math" w:hAnsi="Cambria Math"/>
                    <w:sz w:val="18"/>
                  </w:rPr>
                  <m:t>P</m:t>
                </m:r>
              </m:e>
              <m:sub>
                <m:r>
                  <w:rPr>
                    <w:rFonts w:ascii="Cambria Math" w:hAnsi="Cambria Math"/>
                    <w:sz w:val="18"/>
                  </w:rPr>
                  <m:t>j,r</m:t>
                </m:r>
              </m:sub>
            </m:sSub>
          </m:e>
        </m:acc>
      </m:oMath>
      <w:r>
        <w:rPr>
          <w:rFonts w:eastAsiaTheme="minorEastAsia"/>
          <w:sz w:val="18"/>
        </w:rPr>
        <w:t xml:space="preserve"> and </w:t>
      </w:r>
      <m:oMath>
        <m:sSubSup>
          <m:sSubSupPr>
            <m:ctrlPr>
              <w:rPr>
                <w:rFonts w:ascii="Cambria Math" w:eastAsiaTheme="minorEastAsia" w:hAnsi="Cambria Math"/>
                <w:i/>
                <w:sz w:val="18"/>
              </w:rPr>
            </m:ctrlPr>
          </m:sSubSupPr>
          <m:e>
            <m:r>
              <m:rPr>
                <m:sty m:val="p"/>
              </m:rPr>
              <w:rPr>
                <w:rStyle w:val="hgkelc"/>
                <w:rFonts w:ascii="Cambria Math" w:hAnsi="Cambria Math"/>
                <w:sz w:val="18"/>
              </w:rPr>
              <m:t>σ</m:t>
            </m:r>
          </m:e>
          <m:sub>
            <m:r>
              <w:rPr>
                <w:rFonts w:ascii="Cambria Math" w:eastAsiaTheme="minorEastAsia" w:hAnsi="Cambria Math"/>
                <w:sz w:val="18"/>
              </w:rPr>
              <m:t>r</m:t>
            </m:r>
          </m:sub>
          <m:sup>
            <m:r>
              <w:rPr>
                <w:rFonts w:ascii="Cambria Math" w:eastAsiaTheme="minorEastAsia" w:hAnsi="Cambria Math"/>
                <w:sz w:val="18"/>
              </w:rPr>
              <m:t>Pj</m:t>
            </m:r>
          </m:sup>
        </m:sSubSup>
      </m:oMath>
      <w:r>
        <w:rPr>
          <w:rFonts w:eastAsiaTheme="minorEastAsia"/>
          <w:sz w:val="18"/>
        </w:rPr>
        <w:t xml:space="preserve"> represents respectively the relative change in average and standard deviation of </w:t>
      </w:r>
      <w:proofErr w:type="spellStart"/>
      <w:r>
        <w:rPr>
          <w:rFonts w:eastAsiaTheme="minorEastAsia"/>
          <w:sz w:val="18"/>
        </w:rPr>
        <w:t>P</w:t>
      </w:r>
      <w:r w:rsidRPr="005077B2">
        <w:rPr>
          <w:rFonts w:eastAsiaTheme="minorEastAsia"/>
          <w:sz w:val="18"/>
          <w:vertAlign w:val="subscript"/>
        </w:rPr>
        <w:t>j</w:t>
      </w:r>
      <w:proofErr w:type="spellEnd"/>
      <w:r>
        <w:rPr>
          <w:rFonts w:eastAsiaTheme="minorEastAsia"/>
          <w:sz w:val="18"/>
        </w:rPr>
        <w:t xml:space="preserve"> when calculated on the N’ samples instead of the whole sample (N).</w:t>
      </w:r>
    </w:p>
    <w:p w14:paraId="033A18F7" w14:textId="219DE321" w:rsidR="009955BF" w:rsidRDefault="00E02D62" w:rsidP="00360421">
      <w:pPr>
        <w:jc w:val="both"/>
        <w:rPr>
          <w:rFonts w:eastAsiaTheme="minorEastAsia"/>
        </w:rPr>
      </w:pPr>
      <w:r>
        <w:rPr>
          <w:rFonts w:eastAsiaTheme="minorEastAsia"/>
        </w:rPr>
        <w:t>For influent technological parameters (</w:t>
      </w:r>
      <w:proofErr w:type="spellStart"/>
      <w:r>
        <w:rPr>
          <w:rFonts w:eastAsiaTheme="minorEastAsia"/>
        </w:rPr>
        <w:t>P</w:t>
      </w:r>
      <w:r w:rsidRPr="005077B2">
        <w:rPr>
          <w:rFonts w:eastAsiaTheme="minorEastAsia"/>
          <w:vertAlign w:val="subscript"/>
        </w:rPr>
        <w:t>j</w:t>
      </w:r>
      <w:proofErr w:type="spellEnd"/>
      <w:r>
        <w:rPr>
          <w:rFonts w:eastAsiaTheme="minorEastAsia"/>
        </w:rPr>
        <w:t xml:space="preserve">), </w:t>
      </w:r>
      <w:r w:rsidR="00360421">
        <w:rPr>
          <w:rFonts w:eastAsiaTheme="minorEastAsia"/>
        </w:rPr>
        <w:t>not only the</w:t>
      </w:r>
      <w:r>
        <w:rPr>
          <w:rFonts w:eastAsiaTheme="minorEastAsia"/>
        </w:rPr>
        <w:t>ir</w:t>
      </w:r>
      <w:r w:rsidR="00360421">
        <w:rPr>
          <w:rFonts w:eastAsiaTheme="minorEastAsia"/>
        </w:rPr>
        <w:t xml:space="preserve"> average</w:t>
      </w:r>
      <w:r>
        <w:rPr>
          <w:rFonts w:eastAsiaTheme="minorEastAsia"/>
        </w:rPr>
        <w:t xml:space="preserve"> value over</w:t>
      </w:r>
      <w:r w:rsidR="00360421">
        <w:rPr>
          <w:rFonts w:eastAsiaTheme="minorEastAsia"/>
        </w:rPr>
        <w:t xml:space="preserve"> the </w:t>
      </w:r>
      <w:r>
        <w:rPr>
          <w:rFonts w:eastAsiaTheme="minorEastAsia"/>
        </w:rPr>
        <w:t xml:space="preserve">subset of simulations is expected to be substantially modified compared to the </w:t>
      </w:r>
      <w:r w:rsidR="00360421">
        <w:rPr>
          <w:rFonts w:eastAsiaTheme="minorEastAsia"/>
        </w:rPr>
        <w:t xml:space="preserve">whole set of simulations, but also </w:t>
      </w:r>
      <w:r>
        <w:rPr>
          <w:rFonts w:eastAsiaTheme="minorEastAsia"/>
        </w:rPr>
        <w:t>their</w:t>
      </w:r>
      <w:r w:rsidR="00360421">
        <w:rPr>
          <w:rFonts w:eastAsiaTheme="minorEastAsia"/>
        </w:rPr>
        <w:t xml:space="preserve"> standard deviation is expected to narrow (the range of </w:t>
      </w:r>
      <w:proofErr w:type="spellStart"/>
      <w:r w:rsidR="00360421">
        <w:rPr>
          <w:rFonts w:eastAsiaTheme="minorEastAsia"/>
        </w:rPr>
        <w:t>P</w:t>
      </w:r>
      <w:r w:rsidR="00360421" w:rsidRPr="005077B2">
        <w:rPr>
          <w:rFonts w:eastAsiaTheme="minorEastAsia"/>
          <w:vertAlign w:val="subscript"/>
        </w:rPr>
        <w:t>j</w:t>
      </w:r>
      <w:proofErr w:type="spellEnd"/>
      <w:r w:rsidR="00360421">
        <w:rPr>
          <w:rFonts w:eastAsiaTheme="minorEastAsia"/>
        </w:rPr>
        <w:t xml:space="preserve"> values complying with the condition on </w:t>
      </w:r>
      <w:r w:rsidR="00360421">
        <w:rPr>
          <w:rFonts w:cstheme="minorHAnsi"/>
        </w:rPr>
        <w:t>∆</w:t>
      </w:r>
      <w:proofErr w:type="spellStart"/>
      <w:r w:rsidR="00360421">
        <w:t>V</w:t>
      </w:r>
      <w:r w:rsidR="00360421" w:rsidRPr="007B114A">
        <w:rPr>
          <w:vertAlign w:val="subscript"/>
        </w:rPr>
        <w:t>gh</w:t>
      </w:r>
      <w:proofErr w:type="spellEnd"/>
      <w:r w:rsidR="00360421">
        <w:t xml:space="preserve"> is reduced </w:t>
      </w:r>
      <w:r>
        <w:t xml:space="preserve">in the subset </w:t>
      </w:r>
      <w:r w:rsidR="00360421">
        <w:t xml:space="preserve">compared </w:t>
      </w:r>
      <w:r>
        <w:t>to</w:t>
      </w:r>
      <w:r w:rsidR="00360421">
        <w:t xml:space="preserve"> the whole set). </w:t>
      </w:r>
      <w:r>
        <w:t>A</w:t>
      </w:r>
      <w:r w:rsidR="00360421">
        <w:t xml:space="preserve"> cluster analysis </w:t>
      </w:r>
      <w:r>
        <w:t xml:space="preserve">was performed </w:t>
      </w:r>
      <w:r w:rsidR="00360421">
        <w:t xml:space="preserve">to identify if </w:t>
      </w:r>
      <w:r>
        <w:t>such</w:t>
      </w:r>
      <w:r w:rsidR="00360421">
        <w:t xml:space="preserve"> key parameter exists among the 293, </w:t>
      </w:r>
      <w:r>
        <w:t>by</w:t>
      </w:r>
      <w:r w:rsidR="00360421">
        <w:t xml:space="preserve"> visually displaying </w:t>
      </w:r>
      <m:oMath>
        <m:acc>
          <m:accPr>
            <m:chr m:val="̅"/>
            <m:ctrlPr>
              <w:rPr>
                <w:rFonts w:ascii="Cambria Math" w:hAnsi="Cambria Math"/>
                <w:i/>
              </w:rPr>
            </m:ctrlPr>
          </m:accPr>
          <m:e>
            <m:sSub>
              <m:sSubPr>
                <m:ctrlPr>
                  <w:rPr>
                    <w:rFonts w:ascii="Cambria Math" w:hAnsi="Cambria Math"/>
                    <w:i/>
                  </w:rPr>
                </m:ctrlPr>
              </m:sSubPr>
              <m:e>
                <m:r>
                  <w:rPr>
                    <w:rFonts w:ascii="Cambria Math" w:hAnsi="Cambria Math"/>
                  </w:rPr>
                  <m:t>P</m:t>
                </m:r>
              </m:e>
              <m:sub>
                <m:r>
                  <w:rPr>
                    <w:rFonts w:ascii="Cambria Math" w:hAnsi="Cambria Math"/>
                  </w:rPr>
                  <m:t>j,r</m:t>
                </m:r>
              </m:sub>
            </m:sSub>
          </m:e>
        </m:acc>
      </m:oMath>
      <w:r w:rsidR="00360421">
        <w:t xml:space="preserve"> against </w:t>
      </w:r>
      <m:oMath>
        <m:sSubSup>
          <m:sSubSupPr>
            <m:ctrlPr>
              <w:rPr>
                <w:rFonts w:ascii="Cambria Math" w:eastAsiaTheme="minorEastAsia" w:hAnsi="Cambria Math"/>
                <w:i/>
              </w:rPr>
            </m:ctrlPr>
          </m:sSubSupPr>
          <m:e>
            <m:r>
              <m:rPr>
                <m:sty m:val="p"/>
              </m:rPr>
              <w:rPr>
                <w:rStyle w:val="hgkelc"/>
                <w:rFonts w:ascii="Cambria Math" w:hAnsi="Cambria Math"/>
              </w:rPr>
              <m:t>σ</m:t>
            </m:r>
          </m:e>
          <m:sub>
            <m:r>
              <w:rPr>
                <w:rFonts w:ascii="Cambria Math" w:eastAsiaTheme="minorEastAsia" w:hAnsi="Cambria Math"/>
              </w:rPr>
              <m:t>r</m:t>
            </m:r>
          </m:sub>
          <m:sup>
            <m:r>
              <w:rPr>
                <w:rFonts w:ascii="Cambria Math" w:eastAsiaTheme="minorEastAsia" w:hAnsi="Cambria Math"/>
              </w:rPr>
              <m:t>Pj</m:t>
            </m:r>
          </m:sup>
        </m:sSubSup>
      </m:oMath>
      <w:r w:rsidR="00360421">
        <w:rPr>
          <w:rFonts w:eastAsiaTheme="minorEastAsia"/>
        </w:rPr>
        <w:t xml:space="preserve"> (examples </w:t>
      </w:r>
      <w:r w:rsidR="00531900">
        <w:rPr>
          <w:rFonts w:eastAsiaTheme="minorEastAsia"/>
        </w:rPr>
        <w:t>below</w:t>
      </w:r>
      <w:r w:rsidR="00360421">
        <w:rPr>
          <w:rFonts w:eastAsiaTheme="minorEastAsia"/>
        </w:rPr>
        <w:t>).</w:t>
      </w:r>
    </w:p>
    <w:p w14:paraId="411F2CF3" w14:textId="77777777" w:rsidR="009955BF" w:rsidRDefault="009955BF">
      <w:pPr>
        <w:rPr>
          <w:rFonts w:eastAsiaTheme="minorEastAsia"/>
        </w:rPr>
      </w:pPr>
      <w:r>
        <w:rPr>
          <w:rFonts w:eastAsiaTheme="minorEastAsia"/>
        </w:rPr>
        <w:br w:type="page"/>
      </w:r>
    </w:p>
    <w:p w14:paraId="66DC774C" w14:textId="7CABD212" w:rsidR="00360421" w:rsidRDefault="00531900" w:rsidP="00531900">
      <w:pPr>
        <w:pStyle w:val="Lgende"/>
        <w:jc w:val="left"/>
      </w:pPr>
      <w:bookmarkStart w:id="62" w:name="_Ref151712734"/>
      <w:bookmarkStart w:id="63" w:name="_Toc134541568"/>
      <w:bookmarkStart w:id="64" w:name="_Ref151712720"/>
      <w:bookmarkStart w:id="65" w:name="_Toc155516858"/>
      <w:r>
        <w:lastRenderedPageBreak/>
        <w:t>Figure SI</w:t>
      </w:r>
      <w:r>
        <w:fldChar w:fldCharType="begin"/>
      </w:r>
      <w:r>
        <w:instrText xml:space="preserve"> SEQ Figure \* ARABIC </w:instrText>
      </w:r>
      <w:r>
        <w:fldChar w:fldCharType="separate"/>
      </w:r>
      <w:r w:rsidR="00C65861">
        <w:rPr>
          <w:noProof/>
        </w:rPr>
        <w:t>3</w:t>
      </w:r>
      <w:r>
        <w:fldChar w:fldCharType="end"/>
      </w:r>
      <w:bookmarkEnd w:id="62"/>
      <w:r w:rsidR="00F6120E">
        <w:t xml:space="preserve"> </w:t>
      </w:r>
      <w:r w:rsidR="00360421">
        <w:t xml:space="preserve">– Change in descriptive statistics, cluster analysis, example </w:t>
      </w:r>
      <w:proofErr w:type="spellStart"/>
      <w:r w:rsidR="00360421">
        <w:t>I.i</w:t>
      </w:r>
      <w:bookmarkEnd w:id="63"/>
      <w:bookmarkEnd w:id="64"/>
      <w:bookmarkEnd w:id="65"/>
      <w:proofErr w:type="spellEnd"/>
    </w:p>
    <w:p w14:paraId="32D987F6" w14:textId="77777777" w:rsidR="00360421" w:rsidRPr="00CB3A8B" w:rsidRDefault="00360421" w:rsidP="00531900">
      <w:r>
        <w:rPr>
          <w:noProof/>
        </w:rPr>
        <w:drawing>
          <wp:inline distT="0" distB="0" distL="0" distR="0" wp14:anchorId="53E9E425" wp14:editId="4EE24498">
            <wp:extent cx="3780000" cy="2520000"/>
            <wp:effectExtent l="0" t="0" r="0" b="0"/>
            <wp:docPr id="11" name="Imag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4.3.png"/>
                    <pic:cNvPicPr/>
                  </pic:nvPicPr>
                  <pic:blipFill>
                    <a:blip r:embed="rId13"/>
                    <a:stretch>
                      <a:fillRect/>
                    </a:stretch>
                  </pic:blipFill>
                  <pic:spPr>
                    <a:xfrm>
                      <a:off x="0" y="0"/>
                      <a:ext cx="3780000" cy="2520000"/>
                    </a:xfrm>
                    <a:prstGeom prst="rect">
                      <a:avLst/>
                    </a:prstGeom>
                  </pic:spPr>
                </pic:pic>
              </a:graphicData>
            </a:graphic>
          </wp:inline>
        </w:drawing>
      </w:r>
    </w:p>
    <w:p w14:paraId="5E41C1AE" w14:textId="4D9C321C" w:rsidR="00360421" w:rsidRDefault="00360421" w:rsidP="00531900">
      <w:pPr>
        <w:jc w:val="both"/>
        <w:rPr>
          <w:sz w:val="18"/>
        </w:rPr>
      </w:pPr>
      <w:r>
        <w:rPr>
          <w:sz w:val="18"/>
        </w:rPr>
        <w:t>Illustration on the case of comparing “decay on land” pathway against “open-air burning”</w:t>
      </w:r>
      <w:r w:rsidR="00531900">
        <w:rPr>
          <w:sz w:val="18"/>
        </w:rPr>
        <w:t xml:space="preserve"> to manage hardwood residues, for climate change. T</w:t>
      </w:r>
      <w:r>
        <w:rPr>
          <w:sz w:val="18"/>
        </w:rPr>
        <w:t xml:space="preserve">he </w:t>
      </w:r>
      <w:r w:rsidR="00531900">
        <w:rPr>
          <w:sz w:val="18"/>
        </w:rPr>
        <w:t xml:space="preserve">figure displays the </w:t>
      </w:r>
      <w:r>
        <w:rPr>
          <w:sz w:val="18"/>
        </w:rPr>
        <w:t xml:space="preserve">change in descriptive statistics </w:t>
      </w:r>
      <w:r w:rsidR="00531900">
        <w:rPr>
          <w:sz w:val="18"/>
        </w:rPr>
        <w:t>(</w:t>
      </w:r>
      <w:r>
        <w:rPr>
          <w:sz w:val="18"/>
        </w:rPr>
        <w:t>293 technological parameters</w:t>
      </w:r>
      <w:r w:rsidR="00531900">
        <w:rPr>
          <w:sz w:val="18"/>
        </w:rPr>
        <w:t>) between the whole set of simulations (no condition) and the subset of simulations</w:t>
      </w:r>
      <w:r>
        <w:rPr>
          <w:sz w:val="18"/>
        </w:rPr>
        <w:t xml:space="preserve"> complying with</w:t>
      </w:r>
      <w:r w:rsidR="00531900">
        <w:rPr>
          <w:sz w:val="18"/>
        </w:rPr>
        <w:t xml:space="preserve"> the statement</w:t>
      </w:r>
      <w:r>
        <w:rPr>
          <w:sz w:val="18"/>
        </w:rPr>
        <w:t xml:space="preserve"> “decay on land </w:t>
      </w:r>
      <w:r w:rsidRPr="003E0F52">
        <w:rPr>
          <w:b/>
          <w:sz w:val="18"/>
        </w:rPr>
        <w:t>is better than</w:t>
      </w:r>
      <w:r>
        <w:rPr>
          <w:sz w:val="18"/>
        </w:rPr>
        <w:t xml:space="preserve"> open-air burning”. Important parameters are in the two bottom corners as their average changed and their standard deviation decreased </w:t>
      </w:r>
      <w:r w:rsidR="00531900">
        <w:rPr>
          <w:sz w:val="18"/>
        </w:rPr>
        <w:t xml:space="preserve">in the subset </w:t>
      </w:r>
      <w:r>
        <w:rPr>
          <w:sz w:val="18"/>
        </w:rPr>
        <w:t>compared to the whole set of simulations.</w:t>
      </w:r>
    </w:p>
    <w:p w14:paraId="4E754440" w14:textId="7F367CC8" w:rsidR="00360421" w:rsidRDefault="00531900" w:rsidP="00531900">
      <w:pPr>
        <w:pStyle w:val="Lgende"/>
        <w:jc w:val="left"/>
      </w:pPr>
      <w:bookmarkStart w:id="66" w:name="_Ref151712735"/>
      <w:bookmarkStart w:id="67" w:name="_Toc134541569"/>
      <w:bookmarkStart w:id="68" w:name="_Ref151712722"/>
      <w:bookmarkStart w:id="69" w:name="_Toc155516859"/>
      <w:r>
        <w:t>Figure SI</w:t>
      </w:r>
      <w:r>
        <w:fldChar w:fldCharType="begin"/>
      </w:r>
      <w:r>
        <w:instrText xml:space="preserve"> SEQ Figure \* ARABIC </w:instrText>
      </w:r>
      <w:r>
        <w:fldChar w:fldCharType="separate"/>
      </w:r>
      <w:r w:rsidR="00C65861">
        <w:rPr>
          <w:noProof/>
        </w:rPr>
        <w:t>4</w:t>
      </w:r>
      <w:r>
        <w:fldChar w:fldCharType="end"/>
      </w:r>
      <w:bookmarkEnd w:id="66"/>
      <w:r>
        <w:t xml:space="preserve"> </w:t>
      </w:r>
      <w:r w:rsidR="00360421" w:rsidRPr="00FA4786">
        <w:t xml:space="preserve">– Change in descriptive statistics, cluster analysis, example </w:t>
      </w:r>
      <w:proofErr w:type="spellStart"/>
      <w:r w:rsidR="00360421">
        <w:t>I</w:t>
      </w:r>
      <w:r w:rsidR="00360421" w:rsidRPr="00FA4786">
        <w:t>.</w:t>
      </w:r>
      <w:r w:rsidR="00360421">
        <w:t>ii</w:t>
      </w:r>
      <w:bookmarkEnd w:id="67"/>
      <w:bookmarkEnd w:id="68"/>
      <w:bookmarkEnd w:id="69"/>
      <w:proofErr w:type="spellEnd"/>
    </w:p>
    <w:p w14:paraId="03C83D38" w14:textId="77777777" w:rsidR="00360421" w:rsidRPr="00CB3A8B" w:rsidRDefault="00360421" w:rsidP="00531900">
      <w:r>
        <w:rPr>
          <w:noProof/>
        </w:rPr>
        <w:drawing>
          <wp:inline distT="0" distB="0" distL="0" distR="0" wp14:anchorId="596E5D4C" wp14:editId="79FE23E4">
            <wp:extent cx="3780000" cy="2520000"/>
            <wp:effectExtent l="0" t="0" r="0" b="0"/>
            <wp:docPr id="1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A4.4.png"/>
                    <pic:cNvPicPr/>
                  </pic:nvPicPr>
                  <pic:blipFill>
                    <a:blip r:embed="rId14"/>
                    <a:stretch>
                      <a:fillRect/>
                    </a:stretch>
                  </pic:blipFill>
                  <pic:spPr>
                    <a:xfrm>
                      <a:off x="0" y="0"/>
                      <a:ext cx="3780000" cy="2520000"/>
                    </a:xfrm>
                    <a:prstGeom prst="rect">
                      <a:avLst/>
                    </a:prstGeom>
                  </pic:spPr>
                </pic:pic>
              </a:graphicData>
            </a:graphic>
          </wp:inline>
        </w:drawing>
      </w:r>
    </w:p>
    <w:p w14:paraId="5DFB6F4C" w14:textId="3C9FEDB1" w:rsidR="00531900" w:rsidRDefault="00531900" w:rsidP="00531900">
      <w:pPr>
        <w:jc w:val="both"/>
        <w:rPr>
          <w:sz w:val="18"/>
        </w:rPr>
      </w:pPr>
      <w:r>
        <w:rPr>
          <w:sz w:val="18"/>
        </w:rPr>
        <w:t xml:space="preserve">Illustration on the case of comparing “decay on land” pathway against “open-air burning” to manage hardwood residues, for climate change. The figure displays the change in descriptive statistics (293 technological parameters) between the whole set of simulations (no condition) and the subset of simulations complying with the statement “decay on land </w:t>
      </w:r>
      <w:r w:rsidRPr="003E0F52">
        <w:rPr>
          <w:b/>
          <w:sz w:val="18"/>
        </w:rPr>
        <w:t xml:space="preserve">is </w:t>
      </w:r>
      <w:r>
        <w:rPr>
          <w:b/>
          <w:sz w:val="18"/>
        </w:rPr>
        <w:t>worse</w:t>
      </w:r>
      <w:r w:rsidRPr="003E0F52">
        <w:rPr>
          <w:b/>
          <w:sz w:val="18"/>
        </w:rPr>
        <w:t xml:space="preserve"> than</w:t>
      </w:r>
      <w:r>
        <w:rPr>
          <w:sz w:val="18"/>
        </w:rPr>
        <w:t xml:space="preserve"> open-air burning”. Important parameters are in the two bottom corners as their average changed and their standard deviation decreased in the subset compared to the whole set of simulations.</w:t>
      </w:r>
    </w:p>
    <w:p w14:paraId="1201CE58" w14:textId="49A449B4" w:rsidR="00360421" w:rsidRDefault="00531900" w:rsidP="00360421">
      <w:pPr>
        <w:jc w:val="both"/>
      </w:pPr>
      <w:r w:rsidRPr="00531900">
        <w:rPr>
          <w:b/>
        </w:rPr>
        <w:fldChar w:fldCharType="begin"/>
      </w:r>
      <w:r w:rsidRPr="00531900">
        <w:rPr>
          <w:b/>
        </w:rPr>
        <w:instrText xml:space="preserve"> REF _Ref151712734 \h </w:instrText>
      </w:r>
      <w:r>
        <w:rPr>
          <w:b/>
        </w:rPr>
        <w:instrText xml:space="preserve"> \* MERGEFORMAT </w:instrText>
      </w:r>
      <w:r w:rsidRPr="00531900">
        <w:rPr>
          <w:b/>
        </w:rPr>
      </w:r>
      <w:r w:rsidRPr="00531900">
        <w:rPr>
          <w:b/>
        </w:rPr>
        <w:fldChar w:fldCharType="separate"/>
      </w:r>
      <w:r w:rsidRPr="00531900">
        <w:rPr>
          <w:b/>
        </w:rPr>
        <w:t>Figure SI</w:t>
      </w:r>
      <w:r w:rsidRPr="00531900">
        <w:rPr>
          <w:b/>
          <w:noProof/>
        </w:rPr>
        <w:t>3</w:t>
      </w:r>
      <w:r w:rsidRPr="00531900">
        <w:rPr>
          <w:b/>
        </w:rPr>
        <w:fldChar w:fldCharType="end"/>
      </w:r>
      <w:r>
        <w:t xml:space="preserve"> and </w:t>
      </w:r>
      <w:r w:rsidRPr="00531900">
        <w:rPr>
          <w:b/>
        </w:rPr>
        <w:fldChar w:fldCharType="begin"/>
      </w:r>
      <w:r w:rsidRPr="00531900">
        <w:rPr>
          <w:b/>
        </w:rPr>
        <w:instrText xml:space="preserve"> REF _Ref151712735 \h </w:instrText>
      </w:r>
      <w:r>
        <w:rPr>
          <w:b/>
        </w:rPr>
        <w:instrText xml:space="preserve"> \* MERGEFORMAT </w:instrText>
      </w:r>
      <w:r w:rsidRPr="00531900">
        <w:rPr>
          <w:b/>
        </w:rPr>
      </w:r>
      <w:r w:rsidRPr="00531900">
        <w:rPr>
          <w:b/>
        </w:rPr>
        <w:fldChar w:fldCharType="separate"/>
      </w:r>
      <w:r w:rsidRPr="00531900">
        <w:rPr>
          <w:b/>
        </w:rPr>
        <w:t>Figure SI</w:t>
      </w:r>
      <w:r w:rsidRPr="00531900">
        <w:rPr>
          <w:b/>
          <w:noProof/>
        </w:rPr>
        <w:t>4</w:t>
      </w:r>
      <w:r w:rsidRPr="00531900">
        <w:rPr>
          <w:b/>
        </w:rPr>
        <w:fldChar w:fldCharType="end"/>
      </w:r>
      <w:r>
        <w:t xml:space="preserve"> </w:t>
      </w:r>
      <w:r w:rsidR="00360421">
        <w:t xml:space="preserve">illustrate a case where one parameter clearly drives the relative ranking of two pathways. </w:t>
      </w:r>
      <w:r>
        <w:t>This</w:t>
      </w:r>
      <w:r w:rsidR="00360421">
        <w:t xml:space="preserve"> does not mean that </w:t>
      </w:r>
      <w:r>
        <w:t xml:space="preserve">the </w:t>
      </w:r>
      <w:r w:rsidR="00360421">
        <w:t xml:space="preserve">ranking only depends on the single value of this specific parameter. </w:t>
      </w:r>
      <w:r>
        <w:t>It only</w:t>
      </w:r>
      <w:r w:rsidR="00360421">
        <w:t xml:space="preserve"> indicates that finding a simple “sufficient condition” enabling one pathway to always outperform the other</w:t>
      </w:r>
      <w:r>
        <w:t>,</w:t>
      </w:r>
      <w:r w:rsidR="00360421">
        <w:t xml:space="preserve"> most likely involve this parameter. This is further illustrated by the fact that the two different questions: what are the conditions enabling “pathway A better than pathway B” </w:t>
      </w:r>
      <w:r w:rsidR="00360421" w:rsidRPr="00531900">
        <w:t>(</w:t>
      </w:r>
      <w:r w:rsidRPr="00531900">
        <w:rPr>
          <w:b/>
        </w:rPr>
        <w:fldChar w:fldCharType="begin"/>
      </w:r>
      <w:r w:rsidRPr="00531900">
        <w:rPr>
          <w:b/>
        </w:rPr>
        <w:instrText xml:space="preserve"> REF _Ref151712734 \h </w:instrText>
      </w:r>
      <w:r>
        <w:rPr>
          <w:b/>
        </w:rPr>
        <w:instrText xml:space="preserve"> \* MERGEFORMAT </w:instrText>
      </w:r>
      <w:r w:rsidRPr="00531900">
        <w:rPr>
          <w:b/>
        </w:rPr>
      </w:r>
      <w:r w:rsidRPr="00531900">
        <w:rPr>
          <w:b/>
        </w:rPr>
        <w:fldChar w:fldCharType="separate"/>
      </w:r>
      <w:r w:rsidRPr="00531900">
        <w:rPr>
          <w:b/>
        </w:rPr>
        <w:t>Figure SI</w:t>
      </w:r>
      <w:r w:rsidRPr="00531900">
        <w:rPr>
          <w:b/>
          <w:noProof/>
        </w:rPr>
        <w:t>3</w:t>
      </w:r>
      <w:r w:rsidRPr="00531900">
        <w:rPr>
          <w:b/>
        </w:rPr>
        <w:fldChar w:fldCharType="end"/>
      </w:r>
      <w:r w:rsidRPr="00531900">
        <w:t xml:space="preserve">) </w:t>
      </w:r>
      <w:r w:rsidR="00360421">
        <w:t>and “pathway A worse than pathway B” (</w:t>
      </w:r>
      <w:r w:rsidRPr="00531900">
        <w:rPr>
          <w:b/>
        </w:rPr>
        <w:fldChar w:fldCharType="begin"/>
      </w:r>
      <w:r w:rsidRPr="00531900">
        <w:rPr>
          <w:b/>
        </w:rPr>
        <w:instrText xml:space="preserve"> REF _Ref151712735 \h  \* MERGEFORMAT </w:instrText>
      </w:r>
      <w:r w:rsidRPr="00531900">
        <w:rPr>
          <w:b/>
        </w:rPr>
      </w:r>
      <w:r w:rsidRPr="00531900">
        <w:rPr>
          <w:b/>
        </w:rPr>
        <w:fldChar w:fldCharType="separate"/>
      </w:r>
      <w:r w:rsidRPr="00531900">
        <w:rPr>
          <w:b/>
        </w:rPr>
        <w:t>Figure SI</w:t>
      </w:r>
      <w:r w:rsidRPr="00531900">
        <w:rPr>
          <w:b/>
          <w:noProof/>
        </w:rPr>
        <w:t>4</w:t>
      </w:r>
      <w:r w:rsidRPr="00531900">
        <w:rPr>
          <w:b/>
        </w:rPr>
        <w:fldChar w:fldCharType="end"/>
      </w:r>
      <w:r w:rsidR="00360421">
        <w:t xml:space="preserve">) might not necessarily involve the same </w:t>
      </w:r>
      <w:r w:rsidR="00360421">
        <w:lastRenderedPageBreak/>
        <w:t xml:space="preserve">parameters (e.g. </w:t>
      </w:r>
      <w:r w:rsidR="00C65861" w:rsidRPr="00C65861">
        <w:rPr>
          <w:b/>
        </w:rPr>
        <w:fldChar w:fldCharType="begin"/>
      </w:r>
      <w:r w:rsidR="00C65861" w:rsidRPr="00C65861">
        <w:rPr>
          <w:b/>
        </w:rPr>
        <w:instrText xml:space="preserve"> REF _Ref151713366 \h  \* MERGEFORMAT </w:instrText>
      </w:r>
      <w:r w:rsidR="00C65861" w:rsidRPr="00C65861">
        <w:rPr>
          <w:b/>
        </w:rPr>
      </w:r>
      <w:r w:rsidR="00C65861" w:rsidRPr="00C65861">
        <w:rPr>
          <w:b/>
        </w:rPr>
        <w:fldChar w:fldCharType="separate"/>
      </w:r>
      <w:r w:rsidR="00C65861" w:rsidRPr="00C65861">
        <w:rPr>
          <w:b/>
        </w:rPr>
        <w:t>Figure SI</w:t>
      </w:r>
      <w:r w:rsidR="00C65861" w:rsidRPr="00C65861">
        <w:rPr>
          <w:b/>
          <w:noProof/>
        </w:rPr>
        <w:t>7</w:t>
      </w:r>
      <w:r w:rsidR="00C65861" w:rsidRPr="00C65861">
        <w:rPr>
          <w:b/>
        </w:rPr>
        <w:fldChar w:fldCharType="end"/>
      </w:r>
      <w:r w:rsidR="00C65861" w:rsidRPr="00C65861">
        <w:rPr>
          <w:b/>
        </w:rPr>
        <w:t xml:space="preserve"> </w:t>
      </w:r>
      <w:r w:rsidR="00C65861" w:rsidRPr="00C65861">
        <w:t>and</w:t>
      </w:r>
      <w:r w:rsidR="00C65861" w:rsidRPr="00C65861">
        <w:rPr>
          <w:b/>
        </w:rPr>
        <w:t xml:space="preserve"> </w:t>
      </w:r>
      <w:r w:rsidR="00C65861" w:rsidRPr="00C65861">
        <w:rPr>
          <w:b/>
        </w:rPr>
        <w:fldChar w:fldCharType="begin"/>
      </w:r>
      <w:r w:rsidR="00C65861" w:rsidRPr="00C65861">
        <w:rPr>
          <w:b/>
        </w:rPr>
        <w:instrText xml:space="preserve"> REF _Ref151713367 \h  \* MERGEFORMAT </w:instrText>
      </w:r>
      <w:r w:rsidR="00C65861" w:rsidRPr="00C65861">
        <w:rPr>
          <w:b/>
        </w:rPr>
      </w:r>
      <w:r w:rsidR="00C65861" w:rsidRPr="00C65861">
        <w:rPr>
          <w:b/>
        </w:rPr>
        <w:fldChar w:fldCharType="separate"/>
      </w:r>
      <w:r w:rsidR="00C65861" w:rsidRPr="00C65861">
        <w:rPr>
          <w:b/>
        </w:rPr>
        <w:t>Figure SI</w:t>
      </w:r>
      <w:r w:rsidR="00C65861" w:rsidRPr="00C65861">
        <w:rPr>
          <w:b/>
          <w:noProof/>
        </w:rPr>
        <w:t>8</w:t>
      </w:r>
      <w:r w:rsidR="00C65861" w:rsidRPr="00C65861">
        <w:rPr>
          <w:b/>
        </w:rPr>
        <w:fldChar w:fldCharType="end"/>
      </w:r>
      <w:r w:rsidR="00360421">
        <w:t xml:space="preserve">). Moreover, both questions might not be </w:t>
      </w:r>
      <w:r>
        <w:t xml:space="preserve">solved </w:t>
      </w:r>
      <w:r w:rsidR="00360421">
        <w:t>with a simple “sufficient condition” (</w:t>
      </w:r>
      <w:r w:rsidRPr="00531900">
        <w:rPr>
          <w:b/>
        </w:rPr>
        <w:fldChar w:fldCharType="begin"/>
      </w:r>
      <w:r w:rsidRPr="00531900">
        <w:rPr>
          <w:b/>
        </w:rPr>
        <w:instrText xml:space="preserve"> REF _Ref151712937 \h </w:instrText>
      </w:r>
      <w:r>
        <w:rPr>
          <w:b/>
        </w:rPr>
        <w:instrText xml:space="preserve"> \* MERGEFORMAT </w:instrText>
      </w:r>
      <w:r w:rsidRPr="00531900">
        <w:rPr>
          <w:b/>
        </w:rPr>
      </w:r>
      <w:r w:rsidRPr="00531900">
        <w:rPr>
          <w:b/>
        </w:rPr>
        <w:fldChar w:fldCharType="separate"/>
      </w:r>
      <w:r w:rsidRPr="00531900">
        <w:rPr>
          <w:b/>
        </w:rPr>
        <w:t>Table SI</w:t>
      </w:r>
      <w:r w:rsidRPr="00531900">
        <w:rPr>
          <w:b/>
          <w:noProof/>
        </w:rPr>
        <w:t>18</w:t>
      </w:r>
      <w:r w:rsidRPr="00531900">
        <w:rPr>
          <w:b/>
        </w:rPr>
        <w:fldChar w:fldCharType="end"/>
      </w:r>
      <w:r w:rsidR="00360421">
        <w:t>).</w:t>
      </w:r>
    </w:p>
    <w:p w14:paraId="6A55BC4A" w14:textId="1CD437E2" w:rsidR="00360421" w:rsidRPr="00906BE7" w:rsidRDefault="00531900" w:rsidP="00531900">
      <w:pPr>
        <w:pStyle w:val="Lgende"/>
        <w:jc w:val="left"/>
      </w:pPr>
      <w:bookmarkStart w:id="70" w:name="_Ref151712937"/>
      <w:bookmarkStart w:id="71" w:name="_Toc126679913"/>
      <w:bookmarkStart w:id="72" w:name="_Toc155516854"/>
      <w:r>
        <w:t>Table SI</w:t>
      </w:r>
      <w:r>
        <w:fldChar w:fldCharType="begin"/>
      </w:r>
      <w:r>
        <w:instrText xml:space="preserve"> SEQ Table \* ARABIC </w:instrText>
      </w:r>
      <w:r>
        <w:fldChar w:fldCharType="separate"/>
      </w:r>
      <w:r w:rsidR="00C65861">
        <w:rPr>
          <w:noProof/>
        </w:rPr>
        <w:t>18</w:t>
      </w:r>
      <w:r>
        <w:fldChar w:fldCharType="end"/>
      </w:r>
      <w:bookmarkEnd w:id="70"/>
      <w:r>
        <w:t xml:space="preserve"> </w:t>
      </w:r>
      <w:r w:rsidR="00360421" w:rsidRPr="00906BE7">
        <w:t>– Sufficient condition finding, illustrated on</w:t>
      </w:r>
      <w:r w:rsidR="00360421">
        <w:t xml:space="preserve"> example I</w:t>
      </w:r>
      <w:bookmarkEnd w:id="71"/>
      <w:bookmarkEnd w:id="72"/>
    </w:p>
    <w:tbl>
      <w:tblPr>
        <w:tblStyle w:val="Tableausimple2"/>
        <w:tblW w:w="0" w:type="auto"/>
        <w:tblLook w:val="04A0" w:firstRow="1" w:lastRow="0" w:firstColumn="1" w:lastColumn="0" w:noHBand="0" w:noVBand="1"/>
      </w:tblPr>
      <w:tblGrid>
        <w:gridCol w:w="1986"/>
        <w:gridCol w:w="1067"/>
        <w:gridCol w:w="1767"/>
        <w:gridCol w:w="2126"/>
        <w:gridCol w:w="2126"/>
      </w:tblGrid>
      <w:tr w:rsidR="00360421" w:rsidRPr="00531900" w14:paraId="2D799A74" w14:textId="77777777" w:rsidTr="00531900">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Pr>
          <w:p w14:paraId="7625572B" w14:textId="77777777" w:rsidR="00360421" w:rsidRPr="00531900" w:rsidRDefault="00360421" w:rsidP="00531900">
            <w:pPr>
              <w:rPr>
                <w:sz w:val="18"/>
                <w:szCs w:val="18"/>
              </w:rPr>
            </w:pPr>
            <w:r w:rsidRPr="00531900">
              <w:rPr>
                <w:sz w:val="18"/>
                <w:szCs w:val="18"/>
              </w:rPr>
              <w:t>Decay on land against open-air burning</w:t>
            </w:r>
          </w:p>
        </w:tc>
        <w:tc>
          <w:tcPr>
            <w:tcW w:w="1067" w:type="dxa"/>
          </w:tcPr>
          <w:p w14:paraId="118E093B" w14:textId="77777777" w:rsidR="00360421" w:rsidRPr="00531900" w:rsidRDefault="00360421" w:rsidP="00531900">
            <w:pPr>
              <w:cnfStyle w:val="100000000000" w:firstRow="1" w:lastRow="0" w:firstColumn="0" w:lastColumn="0" w:oddVBand="0" w:evenVBand="0" w:oddHBand="0" w:evenHBand="0" w:firstRowFirstColumn="0" w:firstRowLastColumn="0" w:lastRowFirstColumn="0" w:lastRowLastColumn="0"/>
              <w:rPr>
                <w:sz w:val="18"/>
                <w:szCs w:val="18"/>
              </w:rPr>
            </w:pPr>
            <w:r w:rsidRPr="00531900">
              <w:rPr>
                <w:sz w:val="18"/>
                <w:szCs w:val="18"/>
              </w:rPr>
              <w:t>Occurrence</w:t>
            </w:r>
          </w:p>
        </w:tc>
        <w:tc>
          <w:tcPr>
            <w:tcW w:w="1767" w:type="dxa"/>
          </w:tcPr>
          <w:p w14:paraId="1104D29C" w14:textId="77777777" w:rsidR="00360421" w:rsidRPr="00531900" w:rsidRDefault="00360421" w:rsidP="00531900">
            <w:pPr>
              <w:cnfStyle w:val="100000000000" w:firstRow="1" w:lastRow="0" w:firstColumn="0" w:lastColumn="0" w:oddVBand="0" w:evenVBand="0" w:oddHBand="0" w:evenHBand="0" w:firstRowFirstColumn="0" w:firstRowLastColumn="0" w:lastRowFirstColumn="0" w:lastRowLastColumn="0"/>
              <w:rPr>
                <w:sz w:val="18"/>
                <w:szCs w:val="18"/>
              </w:rPr>
            </w:pPr>
            <w:r w:rsidRPr="00531900">
              <w:rPr>
                <w:sz w:val="18"/>
                <w:szCs w:val="18"/>
              </w:rPr>
              <w:t>CH</w:t>
            </w:r>
            <w:r w:rsidRPr="00531900">
              <w:rPr>
                <w:sz w:val="18"/>
                <w:szCs w:val="18"/>
                <w:vertAlign w:val="subscript"/>
              </w:rPr>
              <w:t xml:space="preserve">4 </w:t>
            </w:r>
            <w:r w:rsidRPr="00531900">
              <w:rPr>
                <w:sz w:val="18"/>
                <w:szCs w:val="18"/>
              </w:rPr>
              <w:t>EF average (SD)</w:t>
            </w:r>
          </w:p>
        </w:tc>
        <w:tc>
          <w:tcPr>
            <w:tcW w:w="2126" w:type="dxa"/>
          </w:tcPr>
          <w:p w14:paraId="01106AAA" w14:textId="77777777" w:rsidR="00360421" w:rsidRPr="00531900" w:rsidRDefault="00360421" w:rsidP="00531900">
            <w:pPr>
              <w:cnfStyle w:val="100000000000" w:firstRow="1" w:lastRow="0" w:firstColumn="0" w:lastColumn="0" w:oddVBand="0" w:evenVBand="0" w:oddHBand="0" w:evenHBand="0" w:firstRowFirstColumn="0" w:firstRowLastColumn="0" w:lastRowFirstColumn="0" w:lastRowLastColumn="0"/>
              <w:rPr>
                <w:sz w:val="18"/>
                <w:szCs w:val="18"/>
              </w:rPr>
            </w:pPr>
            <w:r w:rsidRPr="00531900">
              <w:rPr>
                <w:sz w:val="18"/>
                <w:szCs w:val="18"/>
              </w:rPr>
              <w:t>Occurrence if CH</w:t>
            </w:r>
            <w:r w:rsidRPr="00531900">
              <w:rPr>
                <w:sz w:val="18"/>
                <w:szCs w:val="18"/>
                <w:vertAlign w:val="subscript"/>
              </w:rPr>
              <w:t>4</w:t>
            </w:r>
            <w:r w:rsidRPr="00531900">
              <w:rPr>
                <w:sz w:val="18"/>
                <w:szCs w:val="18"/>
              </w:rPr>
              <w:t xml:space="preserve"> EF </w:t>
            </w:r>
            <w:r w:rsidRPr="00531900">
              <w:rPr>
                <w:rFonts w:cstheme="minorHAnsi"/>
                <w:sz w:val="18"/>
                <w:szCs w:val="18"/>
              </w:rPr>
              <w:t xml:space="preserve">≤ </w:t>
            </w:r>
            <w:r w:rsidRPr="00531900">
              <w:rPr>
                <w:sz w:val="18"/>
                <w:szCs w:val="18"/>
              </w:rPr>
              <w:t>1%</w:t>
            </w:r>
          </w:p>
        </w:tc>
        <w:tc>
          <w:tcPr>
            <w:tcW w:w="2126" w:type="dxa"/>
          </w:tcPr>
          <w:p w14:paraId="6DD8B3E0" w14:textId="77777777" w:rsidR="00360421" w:rsidRPr="00531900" w:rsidRDefault="00360421" w:rsidP="00531900">
            <w:pPr>
              <w:cnfStyle w:val="100000000000" w:firstRow="1" w:lastRow="0" w:firstColumn="0" w:lastColumn="0" w:oddVBand="0" w:evenVBand="0" w:oddHBand="0" w:evenHBand="0" w:firstRowFirstColumn="0" w:firstRowLastColumn="0" w:lastRowFirstColumn="0" w:lastRowLastColumn="0"/>
              <w:rPr>
                <w:sz w:val="18"/>
                <w:szCs w:val="18"/>
              </w:rPr>
            </w:pPr>
            <w:r w:rsidRPr="00531900">
              <w:rPr>
                <w:sz w:val="18"/>
                <w:szCs w:val="18"/>
              </w:rPr>
              <w:t>Occurrence if CH</w:t>
            </w:r>
            <w:r w:rsidRPr="00531900">
              <w:rPr>
                <w:sz w:val="18"/>
                <w:szCs w:val="18"/>
                <w:vertAlign w:val="subscript"/>
              </w:rPr>
              <w:t>4</w:t>
            </w:r>
            <w:r w:rsidRPr="00531900">
              <w:rPr>
                <w:sz w:val="18"/>
                <w:szCs w:val="18"/>
              </w:rPr>
              <w:t xml:space="preserve"> EF </w:t>
            </w:r>
            <w:r w:rsidRPr="00531900">
              <w:rPr>
                <w:rFonts w:cstheme="minorHAnsi"/>
                <w:sz w:val="18"/>
                <w:szCs w:val="18"/>
              </w:rPr>
              <w:t>≥ 6</w:t>
            </w:r>
            <w:r w:rsidRPr="00531900">
              <w:rPr>
                <w:sz w:val="18"/>
                <w:szCs w:val="18"/>
              </w:rPr>
              <w:t>%</w:t>
            </w:r>
          </w:p>
        </w:tc>
      </w:tr>
      <w:tr w:rsidR="00360421" w:rsidRPr="00531900" w14:paraId="301A3227" w14:textId="77777777" w:rsidTr="005319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Pr>
          <w:p w14:paraId="2D271FBF" w14:textId="77777777" w:rsidR="00360421" w:rsidRPr="00531900" w:rsidRDefault="00360421" w:rsidP="00531900">
            <w:pPr>
              <w:rPr>
                <w:sz w:val="18"/>
                <w:szCs w:val="18"/>
              </w:rPr>
            </w:pPr>
            <w:r w:rsidRPr="00531900">
              <w:rPr>
                <w:sz w:val="18"/>
                <w:szCs w:val="18"/>
              </w:rPr>
              <w:t>Total</w:t>
            </w:r>
          </w:p>
        </w:tc>
        <w:tc>
          <w:tcPr>
            <w:tcW w:w="1067" w:type="dxa"/>
          </w:tcPr>
          <w:p w14:paraId="50F9A06D" w14:textId="77777777" w:rsidR="00360421" w:rsidRPr="00531900" w:rsidRDefault="00360421" w:rsidP="00531900">
            <w:pPr>
              <w:cnfStyle w:val="000000100000" w:firstRow="0" w:lastRow="0" w:firstColumn="0" w:lastColumn="0" w:oddVBand="0" w:evenVBand="0" w:oddHBand="1" w:evenHBand="0" w:firstRowFirstColumn="0" w:firstRowLastColumn="0" w:lastRowFirstColumn="0" w:lastRowLastColumn="0"/>
              <w:rPr>
                <w:sz w:val="18"/>
                <w:szCs w:val="18"/>
              </w:rPr>
            </w:pPr>
            <w:r w:rsidRPr="00531900">
              <w:rPr>
                <w:sz w:val="18"/>
                <w:szCs w:val="18"/>
              </w:rPr>
              <w:t>8820</w:t>
            </w:r>
          </w:p>
        </w:tc>
        <w:tc>
          <w:tcPr>
            <w:tcW w:w="1767" w:type="dxa"/>
          </w:tcPr>
          <w:p w14:paraId="138C5EBA" w14:textId="77777777" w:rsidR="00360421" w:rsidRPr="00531900" w:rsidRDefault="00360421" w:rsidP="00531900">
            <w:pPr>
              <w:cnfStyle w:val="000000100000" w:firstRow="0" w:lastRow="0" w:firstColumn="0" w:lastColumn="0" w:oddVBand="0" w:evenVBand="0" w:oddHBand="1" w:evenHBand="0" w:firstRowFirstColumn="0" w:firstRowLastColumn="0" w:lastRowFirstColumn="0" w:lastRowLastColumn="0"/>
              <w:rPr>
                <w:sz w:val="18"/>
                <w:szCs w:val="18"/>
              </w:rPr>
            </w:pPr>
            <w:r w:rsidRPr="00531900">
              <w:rPr>
                <w:sz w:val="18"/>
                <w:szCs w:val="18"/>
              </w:rPr>
              <w:t>5.6% (3.1%)</w:t>
            </w:r>
          </w:p>
        </w:tc>
        <w:tc>
          <w:tcPr>
            <w:tcW w:w="2126" w:type="dxa"/>
          </w:tcPr>
          <w:p w14:paraId="0B1AB2FB" w14:textId="77777777" w:rsidR="00360421" w:rsidRPr="00531900" w:rsidRDefault="00360421" w:rsidP="00531900">
            <w:pPr>
              <w:cnfStyle w:val="000000100000" w:firstRow="0" w:lastRow="0" w:firstColumn="0" w:lastColumn="0" w:oddVBand="0" w:evenVBand="0" w:oddHBand="1" w:evenHBand="0" w:firstRowFirstColumn="0" w:firstRowLastColumn="0" w:lastRowFirstColumn="0" w:lastRowLastColumn="0"/>
              <w:rPr>
                <w:sz w:val="18"/>
                <w:szCs w:val="18"/>
              </w:rPr>
            </w:pPr>
            <w:r w:rsidRPr="00531900">
              <w:rPr>
                <w:sz w:val="18"/>
                <w:szCs w:val="18"/>
              </w:rPr>
              <w:t>1339</w:t>
            </w:r>
          </w:p>
        </w:tc>
        <w:tc>
          <w:tcPr>
            <w:tcW w:w="2126" w:type="dxa"/>
          </w:tcPr>
          <w:p w14:paraId="1A50FD82" w14:textId="77777777" w:rsidR="00360421" w:rsidRPr="00531900" w:rsidRDefault="00360421" w:rsidP="00531900">
            <w:pPr>
              <w:cnfStyle w:val="000000100000" w:firstRow="0" w:lastRow="0" w:firstColumn="0" w:lastColumn="0" w:oddVBand="0" w:evenVBand="0" w:oddHBand="1" w:evenHBand="0" w:firstRowFirstColumn="0" w:firstRowLastColumn="0" w:lastRowFirstColumn="0" w:lastRowLastColumn="0"/>
              <w:rPr>
                <w:sz w:val="18"/>
                <w:szCs w:val="18"/>
              </w:rPr>
            </w:pPr>
            <w:r w:rsidRPr="00531900">
              <w:rPr>
                <w:sz w:val="18"/>
                <w:szCs w:val="18"/>
              </w:rPr>
              <w:t>4118</w:t>
            </w:r>
          </w:p>
        </w:tc>
      </w:tr>
      <w:tr w:rsidR="00360421" w:rsidRPr="00531900" w14:paraId="105B2FC1" w14:textId="77777777" w:rsidTr="00531900">
        <w:tc>
          <w:tcPr>
            <w:cnfStyle w:val="001000000000" w:firstRow="0" w:lastRow="0" w:firstColumn="1" w:lastColumn="0" w:oddVBand="0" w:evenVBand="0" w:oddHBand="0" w:evenHBand="0" w:firstRowFirstColumn="0" w:firstRowLastColumn="0" w:lastRowFirstColumn="0" w:lastRowLastColumn="0"/>
            <w:tcW w:w="1986" w:type="dxa"/>
          </w:tcPr>
          <w:p w14:paraId="7802D868" w14:textId="77777777" w:rsidR="00360421" w:rsidRPr="00531900" w:rsidRDefault="00360421" w:rsidP="00531900">
            <w:pPr>
              <w:rPr>
                <w:sz w:val="18"/>
                <w:szCs w:val="18"/>
              </w:rPr>
            </w:pPr>
            <w:r w:rsidRPr="00531900">
              <w:rPr>
                <w:sz w:val="18"/>
                <w:szCs w:val="18"/>
              </w:rPr>
              <w:t>Burning worse (</w:t>
            </w:r>
            <w:proofErr w:type="spellStart"/>
            <w:proofErr w:type="gramStart"/>
            <w:r w:rsidRPr="00531900">
              <w:rPr>
                <w:sz w:val="18"/>
                <w:szCs w:val="18"/>
              </w:rPr>
              <w:t>A,i</w:t>
            </w:r>
            <w:proofErr w:type="spellEnd"/>
            <w:proofErr w:type="gramEnd"/>
            <w:r w:rsidRPr="00531900">
              <w:rPr>
                <w:sz w:val="18"/>
                <w:szCs w:val="18"/>
              </w:rPr>
              <w:t>)</w:t>
            </w:r>
          </w:p>
        </w:tc>
        <w:tc>
          <w:tcPr>
            <w:tcW w:w="1067" w:type="dxa"/>
          </w:tcPr>
          <w:p w14:paraId="2035109C" w14:textId="77777777" w:rsidR="00360421" w:rsidRPr="00531900" w:rsidRDefault="00360421" w:rsidP="00531900">
            <w:pPr>
              <w:cnfStyle w:val="000000000000" w:firstRow="0" w:lastRow="0" w:firstColumn="0" w:lastColumn="0" w:oddVBand="0" w:evenVBand="0" w:oddHBand="0" w:evenHBand="0" w:firstRowFirstColumn="0" w:firstRowLastColumn="0" w:lastRowFirstColumn="0" w:lastRowLastColumn="0"/>
              <w:rPr>
                <w:sz w:val="18"/>
                <w:szCs w:val="18"/>
              </w:rPr>
            </w:pPr>
            <w:r w:rsidRPr="00531900">
              <w:rPr>
                <w:sz w:val="18"/>
                <w:szCs w:val="18"/>
              </w:rPr>
              <w:t>598 (7%)</w:t>
            </w:r>
          </w:p>
        </w:tc>
        <w:tc>
          <w:tcPr>
            <w:tcW w:w="1767" w:type="dxa"/>
          </w:tcPr>
          <w:p w14:paraId="2ECAE9D8" w14:textId="77777777" w:rsidR="00360421" w:rsidRPr="00531900" w:rsidRDefault="00360421" w:rsidP="00531900">
            <w:pPr>
              <w:cnfStyle w:val="000000000000" w:firstRow="0" w:lastRow="0" w:firstColumn="0" w:lastColumn="0" w:oddVBand="0" w:evenVBand="0" w:oddHBand="0" w:evenHBand="0" w:firstRowFirstColumn="0" w:firstRowLastColumn="0" w:lastRowFirstColumn="0" w:lastRowLastColumn="0"/>
              <w:rPr>
                <w:sz w:val="18"/>
                <w:szCs w:val="18"/>
              </w:rPr>
            </w:pPr>
            <w:r w:rsidRPr="00531900">
              <w:rPr>
                <w:b/>
                <w:sz w:val="18"/>
                <w:szCs w:val="18"/>
              </w:rPr>
              <w:t>1%</w:t>
            </w:r>
            <w:r w:rsidRPr="00531900">
              <w:rPr>
                <w:sz w:val="18"/>
                <w:szCs w:val="18"/>
              </w:rPr>
              <w:t xml:space="preserve"> (0%)</w:t>
            </w:r>
          </w:p>
        </w:tc>
        <w:tc>
          <w:tcPr>
            <w:tcW w:w="2126" w:type="dxa"/>
          </w:tcPr>
          <w:p w14:paraId="3979CDA6" w14:textId="77777777" w:rsidR="00360421" w:rsidRPr="00531900" w:rsidRDefault="00360421" w:rsidP="00531900">
            <w:pPr>
              <w:cnfStyle w:val="000000000000" w:firstRow="0" w:lastRow="0" w:firstColumn="0" w:lastColumn="0" w:oddVBand="0" w:evenVBand="0" w:oddHBand="0" w:evenHBand="0" w:firstRowFirstColumn="0" w:firstRowLastColumn="0" w:lastRowFirstColumn="0" w:lastRowLastColumn="0"/>
              <w:rPr>
                <w:sz w:val="18"/>
                <w:szCs w:val="18"/>
              </w:rPr>
            </w:pPr>
            <w:r w:rsidRPr="00531900">
              <w:rPr>
                <w:sz w:val="18"/>
                <w:szCs w:val="18"/>
              </w:rPr>
              <w:t>598 (45%)</w:t>
            </w:r>
          </w:p>
        </w:tc>
        <w:tc>
          <w:tcPr>
            <w:tcW w:w="2126" w:type="dxa"/>
          </w:tcPr>
          <w:p w14:paraId="10D32C67" w14:textId="77777777" w:rsidR="00360421" w:rsidRPr="00531900" w:rsidRDefault="00360421" w:rsidP="00531900">
            <w:pPr>
              <w:cnfStyle w:val="000000000000" w:firstRow="0" w:lastRow="0" w:firstColumn="0" w:lastColumn="0" w:oddVBand="0" w:evenVBand="0" w:oddHBand="0" w:evenHBand="0" w:firstRowFirstColumn="0" w:firstRowLastColumn="0" w:lastRowFirstColumn="0" w:lastRowLastColumn="0"/>
              <w:rPr>
                <w:sz w:val="18"/>
                <w:szCs w:val="18"/>
              </w:rPr>
            </w:pPr>
          </w:p>
        </w:tc>
      </w:tr>
      <w:tr w:rsidR="00360421" w:rsidRPr="00531900" w14:paraId="0408FF5E" w14:textId="77777777" w:rsidTr="00531900">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86" w:type="dxa"/>
          </w:tcPr>
          <w:p w14:paraId="1543CBC5" w14:textId="77777777" w:rsidR="00360421" w:rsidRPr="00531900" w:rsidRDefault="00360421" w:rsidP="00531900">
            <w:pPr>
              <w:rPr>
                <w:sz w:val="18"/>
                <w:szCs w:val="18"/>
              </w:rPr>
            </w:pPr>
            <w:r w:rsidRPr="00531900">
              <w:rPr>
                <w:sz w:val="18"/>
                <w:szCs w:val="18"/>
              </w:rPr>
              <w:t>Burning better (</w:t>
            </w:r>
            <w:proofErr w:type="spellStart"/>
            <w:r w:rsidRPr="00531900">
              <w:rPr>
                <w:sz w:val="18"/>
                <w:szCs w:val="18"/>
              </w:rPr>
              <w:t>A.ii</w:t>
            </w:r>
            <w:proofErr w:type="spellEnd"/>
            <w:r w:rsidRPr="00531900">
              <w:rPr>
                <w:sz w:val="18"/>
                <w:szCs w:val="18"/>
              </w:rPr>
              <w:t>)</w:t>
            </w:r>
          </w:p>
        </w:tc>
        <w:tc>
          <w:tcPr>
            <w:tcW w:w="1067" w:type="dxa"/>
          </w:tcPr>
          <w:p w14:paraId="64ECF112" w14:textId="77777777" w:rsidR="00360421" w:rsidRPr="00531900" w:rsidRDefault="00360421" w:rsidP="00531900">
            <w:pPr>
              <w:cnfStyle w:val="000000100000" w:firstRow="0" w:lastRow="0" w:firstColumn="0" w:lastColumn="0" w:oddVBand="0" w:evenVBand="0" w:oddHBand="1" w:evenHBand="0" w:firstRowFirstColumn="0" w:firstRowLastColumn="0" w:lastRowFirstColumn="0" w:lastRowLastColumn="0"/>
              <w:rPr>
                <w:sz w:val="18"/>
                <w:szCs w:val="18"/>
              </w:rPr>
            </w:pPr>
            <w:r w:rsidRPr="00531900">
              <w:rPr>
                <w:sz w:val="18"/>
                <w:szCs w:val="18"/>
              </w:rPr>
              <w:t>8222 (93%)</w:t>
            </w:r>
          </w:p>
        </w:tc>
        <w:tc>
          <w:tcPr>
            <w:tcW w:w="1767" w:type="dxa"/>
          </w:tcPr>
          <w:p w14:paraId="70E93BB1" w14:textId="77777777" w:rsidR="00360421" w:rsidRPr="00531900" w:rsidRDefault="00360421" w:rsidP="00531900">
            <w:pPr>
              <w:cnfStyle w:val="000000100000" w:firstRow="0" w:lastRow="0" w:firstColumn="0" w:lastColumn="0" w:oddVBand="0" w:evenVBand="0" w:oddHBand="1" w:evenHBand="0" w:firstRowFirstColumn="0" w:firstRowLastColumn="0" w:lastRowFirstColumn="0" w:lastRowLastColumn="0"/>
              <w:rPr>
                <w:sz w:val="18"/>
                <w:szCs w:val="18"/>
              </w:rPr>
            </w:pPr>
            <w:r w:rsidRPr="00531900">
              <w:rPr>
                <w:b/>
                <w:sz w:val="18"/>
                <w:szCs w:val="18"/>
              </w:rPr>
              <w:t>6%</w:t>
            </w:r>
            <w:r w:rsidRPr="00531900">
              <w:rPr>
                <w:sz w:val="18"/>
                <w:szCs w:val="18"/>
              </w:rPr>
              <w:t xml:space="preserve"> (2.9%)</w:t>
            </w:r>
          </w:p>
        </w:tc>
        <w:tc>
          <w:tcPr>
            <w:tcW w:w="2126" w:type="dxa"/>
          </w:tcPr>
          <w:p w14:paraId="3EA3F4AE" w14:textId="77777777" w:rsidR="00360421" w:rsidRPr="00531900" w:rsidRDefault="00360421" w:rsidP="00531900">
            <w:pPr>
              <w:cnfStyle w:val="000000100000" w:firstRow="0" w:lastRow="0" w:firstColumn="0" w:lastColumn="0" w:oddVBand="0" w:evenVBand="0" w:oddHBand="1" w:evenHBand="0" w:firstRowFirstColumn="0" w:firstRowLastColumn="0" w:lastRowFirstColumn="0" w:lastRowLastColumn="0"/>
              <w:rPr>
                <w:sz w:val="18"/>
                <w:szCs w:val="18"/>
              </w:rPr>
            </w:pPr>
          </w:p>
        </w:tc>
        <w:tc>
          <w:tcPr>
            <w:tcW w:w="2126" w:type="dxa"/>
          </w:tcPr>
          <w:p w14:paraId="32EE88F5" w14:textId="77777777" w:rsidR="00360421" w:rsidRPr="00531900" w:rsidRDefault="00360421" w:rsidP="00531900">
            <w:pPr>
              <w:cnfStyle w:val="000000100000" w:firstRow="0" w:lastRow="0" w:firstColumn="0" w:lastColumn="0" w:oddVBand="0" w:evenVBand="0" w:oddHBand="1" w:evenHBand="0" w:firstRowFirstColumn="0" w:firstRowLastColumn="0" w:lastRowFirstColumn="0" w:lastRowLastColumn="0"/>
              <w:rPr>
                <w:sz w:val="18"/>
                <w:szCs w:val="18"/>
              </w:rPr>
            </w:pPr>
            <w:r w:rsidRPr="00531900">
              <w:rPr>
                <w:sz w:val="18"/>
                <w:szCs w:val="18"/>
              </w:rPr>
              <w:t>4118 (100%)</w:t>
            </w:r>
          </w:p>
        </w:tc>
      </w:tr>
    </w:tbl>
    <w:p w14:paraId="68395CE3" w14:textId="4BBD25EF" w:rsidR="00360421" w:rsidRDefault="00531900" w:rsidP="00531900">
      <w:pPr>
        <w:rPr>
          <w:sz w:val="18"/>
        </w:rPr>
      </w:pPr>
      <w:r>
        <w:rPr>
          <w:sz w:val="18"/>
        </w:rPr>
        <w:t>Scenario “Towards renewable energies”</w:t>
      </w:r>
      <w:r w:rsidR="00360421">
        <w:rPr>
          <w:sz w:val="18"/>
        </w:rPr>
        <w:t xml:space="preserve">, case of hardwood residues and climate change impact category. New average of the </w:t>
      </w:r>
      <w:r>
        <w:rPr>
          <w:sz w:val="18"/>
        </w:rPr>
        <w:t xml:space="preserve">key </w:t>
      </w:r>
      <w:r w:rsidR="00360421">
        <w:rPr>
          <w:sz w:val="18"/>
        </w:rPr>
        <w:t>parameter</w:t>
      </w:r>
      <w:r>
        <w:rPr>
          <w:sz w:val="18"/>
        </w:rPr>
        <w:t xml:space="preserve"> discriminating the two pathways being compared was calculated</w:t>
      </w:r>
      <w:r w:rsidR="00360421">
        <w:rPr>
          <w:sz w:val="18"/>
        </w:rPr>
        <w:t xml:space="preserve"> on the </w:t>
      </w:r>
      <w:r>
        <w:rPr>
          <w:sz w:val="18"/>
        </w:rPr>
        <w:t xml:space="preserve">different </w:t>
      </w:r>
      <w:r w:rsidR="00360421">
        <w:rPr>
          <w:sz w:val="18"/>
        </w:rPr>
        <w:t>subsets of simulation</w:t>
      </w:r>
      <w:r>
        <w:rPr>
          <w:sz w:val="18"/>
        </w:rPr>
        <w:t>s complying with a statement,</w:t>
      </w:r>
      <w:r w:rsidR="00360421">
        <w:rPr>
          <w:sz w:val="18"/>
        </w:rPr>
        <w:t xml:space="preserve"> </w:t>
      </w:r>
      <w:r>
        <w:rPr>
          <w:sz w:val="18"/>
        </w:rPr>
        <w:t xml:space="preserve">and </w:t>
      </w:r>
      <w:r w:rsidR="00360421">
        <w:rPr>
          <w:sz w:val="18"/>
        </w:rPr>
        <w:t>used to formulate threshold conditions</w:t>
      </w:r>
      <w:r>
        <w:rPr>
          <w:sz w:val="18"/>
        </w:rPr>
        <w:t xml:space="preserve"> on parameter’s value</w:t>
      </w:r>
      <w:r w:rsidR="00360421">
        <w:rPr>
          <w:sz w:val="18"/>
        </w:rPr>
        <w:t>, which can result sufficient or not.</w:t>
      </w:r>
      <w:r>
        <w:rPr>
          <w:sz w:val="18"/>
        </w:rPr>
        <w:t xml:space="preserve"> </w:t>
      </w:r>
      <w:r w:rsidRPr="00C65861">
        <w:rPr>
          <w:i/>
          <w:sz w:val="18"/>
        </w:rPr>
        <w:t>Note: here</w:t>
      </w:r>
      <w:r w:rsidR="00C65861">
        <w:rPr>
          <w:i/>
          <w:sz w:val="18"/>
        </w:rPr>
        <w:t>, non-arable land</w:t>
      </w:r>
      <w:r w:rsidRPr="00C65861">
        <w:rPr>
          <w:i/>
          <w:sz w:val="18"/>
        </w:rPr>
        <w:t xml:space="preserve"> CH</w:t>
      </w:r>
      <w:r w:rsidRPr="00C65861">
        <w:rPr>
          <w:i/>
          <w:sz w:val="18"/>
          <w:vertAlign w:val="subscript"/>
        </w:rPr>
        <w:t>4</w:t>
      </w:r>
      <w:r w:rsidRPr="00C65861">
        <w:rPr>
          <w:i/>
          <w:sz w:val="18"/>
        </w:rPr>
        <w:t xml:space="preserve"> EF was considered as broad as 1-10%, which does not represent any national average but rather possible variation among local pedoclimatic conditions, discussions in companion work</w:t>
      </w:r>
      <w:r w:rsidRPr="00C65861">
        <w:rPr>
          <w:i/>
          <w:sz w:val="18"/>
        </w:rPr>
        <w:fldChar w:fldCharType="begin"/>
      </w:r>
      <w:r w:rsidR="00CD084F">
        <w:rPr>
          <w:i/>
          <w:sz w:val="18"/>
        </w:rPr>
        <w:instrText xml:space="preserve"> ADDIN ZOTERO_ITEM CSL_CITATION {"citationID":"ZOEEOYFY","properties":{"formattedCitation":"\\super 3\\nosupersub{}","plainCitation":"3","noteIndex":0},"citationItems":[{"id":14333,"uris":["http://zotero.org/users/6423791/items/XCNA2SYX"],"itemData":{"id":14333,"type":"article","DOI":"10.21203/rs.3.rs-3626167/v2","genre":"preprint","publisher":"Research Square","title":"Setting the environmental performance threshold for diverting residual streams towards bioeconomy strategies","author":[{"family":"Javourez","given":"U."},{"family":"Karan","given":"S. K."},{"family":"Hamelin","given":"L."}],"issued":{"date-parts":[["2023",11,20]]}}}],"schema":"https://github.com/citation-style-language/schema/raw/master/csl-citation.json"} </w:instrText>
      </w:r>
      <w:r w:rsidRPr="00C65861">
        <w:rPr>
          <w:i/>
          <w:sz w:val="18"/>
        </w:rPr>
        <w:fldChar w:fldCharType="separate"/>
      </w:r>
      <w:r w:rsidR="00C65861" w:rsidRPr="00C65861">
        <w:rPr>
          <w:rFonts w:ascii="Calibri" w:hAnsi="Calibri" w:cs="Calibri"/>
          <w:i/>
          <w:sz w:val="18"/>
          <w:szCs w:val="24"/>
          <w:vertAlign w:val="superscript"/>
        </w:rPr>
        <w:t>3</w:t>
      </w:r>
      <w:r w:rsidRPr="00C65861">
        <w:rPr>
          <w:i/>
          <w:sz w:val="18"/>
        </w:rPr>
        <w:fldChar w:fldCharType="end"/>
      </w:r>
      <w:r>
        <w:rPr>
          <w:sz w:val="18"/>
        </w:rPr>
        <w:t>.</w:t>
      </w:r>
    </w:p>
    <w:p w14:paraId="45BA1976" w14:textId="21CACBB9" w:rsidR="00360421" w:rsidRDefault="00360421" w:rsidP="00360421">
      <w:pPr>
        <w:jc w:val="both"/>
      </w:pPr>
      <w:r>
        <w:t>Once the key parameters are found (resulting from the cluster analysis), their average over the subset of simulations can be used as threshold value to identify a “sufficient condition”. In the example of</w:t>
      </w:r>
      <w:r w:rsidR="00C65861">
        <w:t xml:space="preserve"> </w:t>
      </w:r>
      <w:r w:rsidR="00C65861" w:rsidRPr="00C65861">
        <w:rPr>
          <w:b/>
        </w:rPr>
        <w:fldChar w:fldCharType="begin"/>
      </w:r>
      <w:r w:rsidR="00C65861" w:rsidRPr="00C65861">
        <w:rPr>
          <w:b/>
        </w:rPr>
        <w:instrText xml:space="preserve"> REF _Ref151712937 \h </w:instrText>
      </w:r>
      <w:r w:rsidR="00C65861">
        <w:rPr>
          <w:b/>
        </w:rPr>
        <w:instrText xml:space="preserve"> \* MERGEFORMAT </w:instrText>
      </w:r>
      <w:r w:rsidR="00C65861" w:rsidRPr="00C65861">
        <w:rPr>
          <w:b/>
        </w:rPr>
      </w:r>
      <w:r w:rsidR="00C65861" w:rsidRPr="00C65861">
        <w:rPr>
          <w:b/>
        </w:rPr>
        <w:fldChar w:fldCharType="separate"/>
      </w:r>
      <w:r w:rsidR="00C65861" w:rsidRPr="00C65861">
        <w:rPr>
          <w:b/>
        </w:rPr>
        <w:t>Table SI</w:t>
      </w:r>
      <w:r w:rsidR="00C65861" w:rsidRPr="00C65861">
        <w:rPr>
          <w:b/>
          <w:noProof/>
        </w:rPr>
        <w:t>18</w:t>
      </w:r>
      <w:r w:rsidR="00C65861" w:rsidRPr="00C65861">
        <w:rPr>
          <w:b/>
        </w:rPr>
        <w:fldChar w:fldCharType="end"/>
      </w:r>
      <w:r>
        <w:t xml:space="preserve">, it is clear that over all the simulations complying with </w:t>
      </w:r>
      <w:r w:rsidRPr="003A7F30">
        <w:t>CH</w:t>
      </w:r>
      <w:r w:rsidRPr="003A7F30">
        <w:rPr>
          <w:vertAlign w:val="subscript"/>
        </w:rPr>
        <w:t>4</w:t>
      </w:r>
      <w:r w:rsidRPr="003A7F30">
        <w:t xml:space="preserve"> EF ≥ 6%</w:t>
      </w:r>
      <w:r>
        <w:t xml:space="preserve">, burning was better than decay on land. On the other hand, a </w:t>
      </w:r>
      <w:r w:rsidRPr="003A7F30">
        <w:t xml:space="preserve">CH4 EF </w:t>
      </w:r>
      <w:r>
        <w:rPr>
          <w:rFonts w:cstheme="minorHAnsi"/>
        </w:rPr>
        <w:t>≤ 1</w:t>
      </w:r>
      <w:r w:rsidRPr="003A7F30">
        <w:t>%,</w:t>
      </w:r>
      <w:r>
        <w:t xml:space="preserve"> does not guarantee that burning is worse than decay on land: other parameters </w:t>
      </w:r>
      <w:r w:rsidR="00C65861">
        <w:t>are involved</w:t>
      </w:r>
      <w:r>
        <w:t>. This procedure was developed individually for all the cases (pathways performance discrimination), and was not automated due to the different shape and number of parameters clusters and the differentiated relevance of responding to “A&gt;B” and/or “A&lt;B” among the pairwise comparisons. Example II (</w:t>
      </w:r>
      <w:r w:rsidR="00C65861" w:rsidRPr="00C65861">
        <w:rPr>
          <w:b/>
        </w:rPr>
        <w:fldChar w:fldCharType="begin"/>
      </w:r>
      <w:r w:rsidR="00C65861" w:rsidRPr="00C65861">
        <w:rPr>
          <w:b/>
        </w:rPr>
        <w:instrText xml:space="preserve"> REF _Ref151713446 \h </w:instrText>
      </w:r>
      <w:r w:rsidR="00C65861">
        <w:rPr>
          <w:b/>
        </w:rPr>
        <w:instrText xml:space="preserve"> \* MERGEFORMAT </w:instrText>
      </w:r>
      <w:r w:rsidR="00C65861" w:rsidRPr="00C65861">
        <w:rPr>
          <w:b/>
        </w:rPr>
      </w:r>
      <w:r w:rsidR="00C65861" w:rsidRPr="00C65861">
        <w:rPr>
          <w:b/>
        </w:rPr>
        <w:fldChar w:fldCharType="separate"/>
      </w:r>
      <w:r w:rsidR="00C65861" w:rsidRPr="00C65861">
        <w:rPr>
          <w:b/>
        </w:rPr>
        <w:t>Figure SI</w:t>
      </w:r>
      <w:r w:rsidR="00C65861" w:rsidRPr="00C65861">
        <w:rPr>
          <w:b/>
          <w:noProof/>
        </w:rPr>
        <w:t>5</w:t>
      </w:r>
      <w:r w:rsidR="00C65861" w:rsidRPr="00C65861">
        <w:rPr>
          <w:b/>
        </w:rPr>
        <w:fldChar w:fldCharType="end"/>
      </w:r>
      <w:r w:rsidR="00C65861">
        <w:t xml:space="preserve"> and </w:t>
      </w:r>
      <w:r w:rsidR="00C65861" w:rsidRPr="00C65861">
        <w:rPr>
          <w:b/>
        </w:rPr>
        <w:fldChar w:fldCharType="begin"/>
      </w:r>
      <w:r w:rsidR="00C65861" w:rsidRPr="00C65861">
        <w:rPr>
          <w:b/>
        </w:rPr>
        <w:instrText xml:space="preserve"> REF _Ref151713484 \h </w:instrText>
      </w:r>
      <w:r w:rsidR="00C65861">
        <w:rPr>
          <w:b/>
        </w:rPr>
        <w:instrText xml:space="preserve"> \* MERGEFORMAT </w:instrText>
      </w:r>
      <w:r w:rsidR="00C65861" w:rsidRPr="00C65861">
        <w:rPr>
          <w:b/>
        </w:rPr>
      </w:r>
      <w:r w:rsidR="00C65861" w:rsidRPr="00C65861">
        <w:rPr>
          <w:b/>
        </w:rPr>
        <w:fldChar w:fldCharType="separate"/>
      </w:r>
      <w:r w:rsidR="00C65861" w:rsidRPr="00C65861">
        <w:rPr>
          <w:b/>
        </w:rPr>
        <w:t>Table SI</w:t>
      </w:r>
      <w:r w:rsidR="00C65861" w:rsidRPr="00C65861">
        <w:rPr>
          <w:b/>
          <w:noProof/>
        </w:rPr>
        <w:t>19</w:t>
      </w:r>
      <w:r w:rsidR="00C65861" w:rsidRPr="00C65861">
        <w:rPr>
          <w:b/>
        </w:rPr>
        <w:fldChar w:fldCharType="end"/>
      </w:r>
      <w:r>
        <w:t>) illustrates a case where a sufficient condition was found based on two parameters. Finally, example III (</w:t>
      </w:r>
      <w:r w:rsidR="00C65861" w:rsidRPr="00C65861">
        <w:rPr>
          <w:b/>
        </w:rPr>
        <w:fldChar w:fldCharType="begin"/>
      </w:r>
      <w:r w:rsidR="00C65861" w:rsidRPr="00C65861">
        <w:rPr>
          <w:b/>
        </w:rPr>
        <w:instrText xml:space="preserve"> REF _Ref151713515 \h  \* MERGEFORMAT </w:instrText>
      </w:r>
      <w:r w:rsidR="00C65861" w:rsidRPr="00C65861">
        <w:rPr>
          <w:b/>
        </w:rPr>
      </w:r>
      <w:r w:rsidR="00C65861" w:rsidRPr="00C65861">
        <w:rPr>
          <w:b/>
        </w:rPr>
        <w:fldChar w:fldCharType="separate"/>
      </w:r>
      <w:r w:rsidR="00C65861" w:rsidRPr="00C65861">
        <w:rPr>
          <w:b/>
        </w:rPr>
        <w:t>Figure SI</w:t>
      </w:r>
      <w:r w:rsidR="00C65861" w:rsidRPr="00C65861">
        <w:rPr>
          <w:b/>
          <w:noProof/>
        </w:rPr>
        <w:t>6</w:t>
      </w:r>
      <w:r w:rsidR="00C65861" w:rsidRPr="00C65861">
        <w:rPr>
          <w:b/>
        </w:rPr>
        <w:fldChar w:fldCharType="end"/>
      </w:r>
      <w:r>
        <w:t xml:space="preserve">) illustrates a case where the cluster analysis was unsuccessful, meaning no simple “sufficient condition” performed on a small set of key parameters likely exist to explain the differences between </w:t>
      </w:r>
      <w:r w:rsidR="00C65861">
        <w:t>alternative pathways</w:t>
      </w:r>
      <w:r>
        <w:t>.</w:t>
      </w:r>
    </w:p>
    <w:p w14:paraId="0F6F9039" w14:textId="444683CB" w:rsidR="00360421" w:rsidRDefault="00C65861" w:rsidP="00C65861">
      <w:pPr>
        <w:pStyle w:val="Lgende"/>
        <w:jc w:val="left"/>
      </w:pPr>
      <w:bookmarkStart w:id="73" w:name="_Ref151713446"/>
      <w:bookmarkStart w:id="74" w:name="_Toc134541570"/>
      <w:bookmarkStart w:id="75" w:name="_Toc155516860"/>
      <w:r>
        <w:t>Figure SI</w:t>
      </w:r>
      <w:r>
        <w:fldChar w:fldCharType="begin"/>
      </w:r>
      <w:r>
        <w:instrText xml:space="preserve"> SEQ Figure \* ARABIC </w:instrText>
      </w:r>
      <w:r>
        <w:fldChar w:fldCharType="separate"/>
      </w:r>
      <w:r>
        <w:rPr>
          <w:noProof/>
        </w:rPr>
        <w:t>5</w:t>
      </w:r>
      <w:r>
        <w:fldChar w:fldCharType="end"/>
      </w:r>
      <w:bookmarkEnd w:id="73"/>
      <w:r>
        <w:t xml:space="preserve"> </w:t>
      </w:r>
      <w:r w:rsidR="00360421" w:rsidRPr="00D152F6">
        <w:t xml:space="preserve">– Change in descriptive statistics, cluster analysis, example </w:t>
      </w:r>
      <w:r w:rsidR="00360421">
        <w:t>II</w:t>
      </w:r>
      <w:bookmarkEnd w:id="74"/>
      <w:bookmarkEnd w:id="75"/>
    </w:p>
    <w:p w14:paraId="45FC91B4" w14:textId="77777777" w:rsidR="00360421" w:rsidRPr="00CB3A8B" w:rsidRDefault="00360421" w:rsidP="00C65861">
      <w:r>
        <w:rPr>
          <w:noProof/>
        </w:rPr>
        <w:drawing>
          <wp:inline distT="0" distB="0" distL="0" distR="0" wp14:anchorId="25B3E8A0" wp14:editId="01F01347">
            <wp:extent cx="3780000" cy="2520000"/>
            <wp:effectExtent l="0" t="0" r="0" b="0"/>
            <wp:docPr id="13" name="Imag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4.5.png"/>
                    <pic:cNvPicPr/>
                  </pic:nvPicPr>
                  <pic:blipFill>
                    <a:blip r:embed="rId15"/>
                    <a:stretch>
                      <a:fillRect/>
                    </a:stretch>
                  </pic:blipFill>
                  <pic:spPr>
                    <a:xfrm>
                      <a:off x="0" y="0"/>
                      <a:ext cx="3780000" cy="2520000"/>
                    </a:xfrm>
                    <a:prstGeom prst="rect">
                      <a:avLst/>
                    </a:prstGeom>
                  </pic:spPr>
                </pic:pic>
              </a:graphicData>
            </a:graphic>
          </wp:inline>
        </w:drawing>
      </w:r>
    </w:p>
    <w:p w14:paraId="056E8CAC" w14:textId="0820AAF8" w:rsidR="009955BF" w:rsidRDefault="00C65861" w:rsidP="00360421">
      <w:pPr>
        <w:jc w:val="both"/>
        <w:rPr>
          <w:sz w:val="18"/>
        </w:rPr>
      </w:pPr>
      <w:r>
        <w:rPr>
          <w:sz w:val="18"/>
        </w:rPr>
        <w:t>Illustration on the case of comparing “insect farming for food production” (</w:t>
      </w:r>
      <w:proofErr w:type="spellStart"/>
      <w:r>
        <w:rPr>
          <w:sz w:val="18"/>
        </w:rPr>
        <w:t>BSF_food</w:t>
      </w:r>
      <w:proofErr w:type="spellEnd"/>
      <w:r>
        <w:rPr>
          <w:sz w:val="18"/>
        </w:rPr>
        <w:t>) pathway against “direct animal feeding” (CF) to manage corn spent grains, for climate change. The figure displays the change in descriptive statistics (293 technological parameters) between the whole set of simulations (no condition) and the subset of simulations complying with the statement “</w:t>
      </w:r>
      <w:proofErr w:type="spellStart"/>
      <w:r>
        <w:rPr>
          <w:sz w:val="18"/>
        </w:rPr>
        <w:t>BSF_food</w:t>
      </w:r>
      <w:proofErr w:type="spellEnd"/>
      <w:r>
        <w:rPr>
          <w:sz w:val="18"/>
        </w:rPr>
        <w:t xml:space="preserve"> </w:t>
      </w:r>
      <w:r w:rsidRPr="003E0F52">
        <w:rPr>
          <w:b/>
          <w:sz w:val="18"/>
        </w:rPr>
        <w:t xml:space="preserve">is </w:t>
      </w:r>
      <w:r>
        <w:rPr>
          <w:b/>
          <w:sz w:val="18"/>
        </w:rPr>
        <w:t>worse</w:t>
      </w:r>
      <w:r w:rsidRPr="003E0F52">
        <w:rPr>
          <w:b/>
          <w:sz w:val="18"/>
        </w:rPr>
        <w:t xml:space="preserve"> than</w:t>
      </w:r>
      <w:r>
        <w:rPr>
          <w:sz w:val="18"/>
        </w:rPr>
        <w:t xml:space="preserve"> CF”. Important parameters are in the two bottom corners as their average changed and their standard deviation decreased in the subset compared to the whole set of simulations.</w:t>
      </w:r>
    </w:p>
    <w:p w14:paraId="684BB047" w14:textId="77777777" w:rsidR="009955BF" w:rsidRDefault="009955BF">
      <w:pPr>
        <w:rPr>
          <w:sz w:val="18"/>
        </w:rPr>
      </w:pPr>
      <w:r>
        <w:rPr>
          <w:sz w:val="18"/>
        </w:rPr>
        <w:br w:type="page"/>
      </w:r>
    </w:p>
    <w:p w14:paraId="7D1753A2" w14:textId="47A02654" w:rsidR="00360421" w:rsidRPr="00906BE7" w:rsidRDefault="00C65861" w:rsidP="00C65861">
      <w:pPr>
        <w:pStyle w:val="Lgende"/>
        <w:jc w:val="left"/>
      </w:pPr>
      <w:bookmarkStart w:id="76" w:name="_Ref151713484"/>
      <w:bookmarkStart w:id="77" w:name="_Toc126679914"/>
      <w:bookmarkStart w:id="78" w:name="_Toc155516855"/>
      <w:r>
        <w:lastRenderedPageBreak/>
        <w:t>Table SI</w:t>
      </w:r>
      <w:r>
        <w:fldChar w:fldCharType="begin"/>
      </w:r>
      <w:r>
        <w:instrText xml:space="preserve"> SEQ Table \* ARABIC </w:instrText>
      </w:r>
      <w:r>
        <w:fldChar w:fldCharType="separate"/>
      </w:r>
      <w:r>
        <w:rPr>
          <w:noProof/>
        </w:rPr>
        <w:t>19</w:t>
      </w:r>
      <w:r>
        <w:fldChar w:fldCharType="end"/>
      </w:r>
      <w:bookmarkEnd w:id="76"/>
      <w:r w:rsidR="00360421">
        <w:t xml:space="preserve"> </w:t>
      </w:r>
      <w:r w:rsidR="00360421" w:rsidRPr="00906BE7">
        <w:t>– Sufficient condition finding, illustrated on</w:t>
      </w:r>
      <w:r w:rsidR="00360421">
        <w:t xml:space="preserve"> example II</w:t>
      </w:r>
      <w:bookmarkEnd w:id="77"/>
      <w:bookmarkEnd w:id="78"/>
    </w:p>
    <w:tbl>
      <w:tblPr>
        <w:tblStyle w:val="Tableausimple2"/>
        <w:tblW w:w="5000" w:type="pct"/>
        <w:tblLook w:val="04A0" w:firstRow="1" w:lastRow="0" w:firstColumn="1" w:lastColumn="0" w:noHBand="0" w:noVBand="1"/>
      </w:tblPr>
      <w:tblGrid>
        <w:gridCol w:w="1977"/>
        <w:gridCol w:w="1067"/>
        <w:gridCol w:w="1635"/>
        <w:gridCol w:w="1842"/>
        <w:gridCol w:w="2551"/>
      </w:tblGrid>
      <w:tr w:rsidR="00360421" w:rsidRPr="00C65861" w14:paraId="674EDC48" w14:textId="77777777" w:rsidTr="00C6586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tcPr>
          <w:p w14:paraId="02F0740D" w14:textId="77777777" w:rsidR="00360421" w:rsidRPr="00C65861" w:rsidRDefault="00360421" w:rsidP="00C65861">
            <w:pPr>
              <w:rPr>
                <w:sz w:val="18"/>
                <w:szCs w:val="18"/>
              </w:rPr>
            </w:pPr>
            <w:proofErr w:type="spellStart"/>
            <w:r w:rsidRPr="00C65861">
              <w:rPr>
                <w:sz w:val="18"/>
                <w:szCs w:val="18"/>
              </w:rPr>
              <w:t>BSF_food</w:t>
            </w:r>
            <w:proofErr w:type="spellEnd"/>
            <w:r w:rsidRPr="00C65861">
              <w:rPr>
                <w:sz w:val="18"/>
                <w:szCs w:val="18"/>
              </w:rPr>
              <w:t xml:space="preserve"> against CF</w:t>
            </w:r>
          </w:p>
        </w:tc>
        <w:tc>
          <w:tcPr>
            <w:tcW w:w="588" w:type="pct"/>
          </w:tcPr>
          <w:p w14:paraId="5DA0D67C" w14:textId="77777777" w:rsidR="00360421" w:rsidRPr="00C65861" w:rsidRDefault="00360421" w:rsidP="00C65861">
            <w:pPr>
              <w:cnfStyle w:val="100000000000" w:firstRow="1" w:lastRow="0" w:firstColumn="0" w:lastColumn="0" w:oddVBand="0" w:evenVBand="0" w:oddHBand="0" w:evenHBand="0" w:firstRowFirstColumn="0" w:firstRowLastColumn="0" w:lastRowFirstColumn="0" w:lastRowLastColumn="0"/>
              <w:rPr>
                <w:sz w:val="18"/>
                <w:szCs w:val="18"/>
              </w:rPr>
            </w:pPr>
            <w:r w:rsidRPr="00C65861">
              <w:rPr>
                <w:sz w:val="18"/>
                <w:szCs w:val="18"/>
              </w:rPr>
              <w:t>Occurrence</w:t>
            </w:r>
          </w:p>
        </w:tc>
        <w:tc>
          <w:tcPr>
            <w:tcW w:w="901" w:type="pct"/>
          </w:tcPr>
          <w:p w14:paraId="7E5142FD" w14:textId="77777777" w:rsidR="00360421" w:rsidRPr="00C65861" w:rsidRDefault="00360421" w:rsidP="00C65861">
            <w:pPr>
              <w:cnfStyle w:val="100000000000" w:firstRow="1" w:lastRow="0" w:firstColumn="0" w:lastColumn="0" w:oddVBand="0" w:evenVBand="0" w:oddHBand="0" w:evenHBand="0" w:firstRowFirstColumn="0" w:firstRowLastColumn="0" w:lastRowFirstColumn="0" w:lastRowLastColumn="0"/>
              <w:rPr>
                <w:sz w:val="18"/>
                <w:szCs w:val="18"/>
              </w:rPr>
            </w:pPr>
            <w:r w:rsidRPr="00C65861">
              <w:rPr>
                <w:sz w:val="18"/>
                <w:szCs w:val="18"/>
              </w:rPr>
              <w:t>PCR average (SD)</w:t>
            </w:r>
          </w:p>
        </w:tc>
        <w:tc>
          <w:tcPr>
            <w:tcW w:w="1015" w:type="pct"/>
          </w:tcPr>
          <w:p w14:paraId="0E83E2FE" w14:textId="77777777" w:rsidR="00360421" w:rsidRPr="00C65861" w:rsidRDefault="00360421" w:rsidP="00C65861">
            <w:pPr>
              <w:cnfStyle w:val="100000000000" w:firstRow="1" w:lastRow="0" w:firstColumn="0" w:lastColumn="0" w:oddVBand="0" w:evenVBand="0" w:oddHBand="0" w:evenHBand="0" w:firstRowFirstColumn="0" w:firstRowLastColumn="0" w:lastRowFirstColumn="0" w:lastRowLastColumn="0"/>
              <w:rPr>
                <w:sz w:val="18"/>
                <w:szCs w:val="18"/>
              </w:rPr>
            </w:pPr>
            <w:r w:rsidRPr="00C65861">
              <w:rPr>
                <w:sz w:val="18"/>
                <w:szCs w:val="18"/>
              </w:rPr>
              <w:t>Meat-eq. average (SD)</w:t>
            </w:r>
          </w:p>
        </w:tc>
        <w:tc>
          <w:tcPr>
            <w:tcW w:w="1406" w:type="pct"/>
          </w:tcPr>
          <w:p w14:paraId="74A7E025" w14:textId="77777777" w:rsidR="00360421" w:rsidRPr="00C65861" w:rsidRDefault="00360421" w:rsidP="00C65861">
            <w:pPr>
              <w:cnfStyle w:val="100000000000" w:firstRow="1" w:lastRow="0" w:firstColumn="0" w:lastColumn="0" w:oddVBand="0" w:evenVBand="0" w:oddHBand="0" w:evenHBand="0" w:firstRowFirstColumn="0" w:firstRowLastColumn="0" w:lastRowFirstColumn="0" w:lastRowLastColumn="0"/>
              <w:rPr>
                <w:sz w:val="18"/>
                <w:szCs w:val="18"/>
              </w:rPr>
            </w:pPr>
            <w:r w:rsidRPr="00C65861">
              <w:rPr>
                <w:sz w:val="18"/>
                <w:szCs w:val="18"/>
              </w:rPr>
              <w:t xml:space="preserve">Occurrence if PCR </w:t>
            </w:r>
            <w:r w:rsidRPr="00C65861">
              <w:rPr>
                <w:rFonts w:cstheme="minorHAnsi"/>
                <w:sz w:val="18"/>
                <w:szCs w:val="18"/>
              </w:rPr>
              <w:t>≥ 30</w:t>
            </w:r>
            <w:r w:rsidRPr="00C65861">
              <w:rPr>
                <w:sz w:val="18"/>
                <w:szCs w:val="18"/>
              </w:rPr>
              <w:t>% &amp; Meat-eq.</w:t>
            </w:r>
            <w:r w:rsidRPr="00C65861">
              <w:rPr>
                <w:rFonts w:cstheme="minorHAnsi"/>
                <w:sz w:val="18"/>
                <w:szCs w:val="18"/>
              </w:rPr>
              <w:t xml:space="preserve"> ≥ 61%</w:t>
            </w:r>
          </w:p>
        </w:tc>
      </w:tr>
      <w:tr w:rsidR="00360421" w:rsidRPr="00C65861" w14:paraId="3A2C2B66" w14:textId="77777777" w:rsidTr="00C6586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090" w:type="pct"/>
          </w:tcPr>
          <w:p w14:paraId="5765A546" w14:textId="77777777" w:rsidR="00360421" w:rsidRPr="00C65861" w:rsidRDefault="00360421" w:rsidP="00C65861">
            <w:pPr>
              <w:rPr>
                <w:sz w:val="18"/>
                <w:szCs w:val="18"/>
              </w:rPr>
            </w:pPr>
            <w:r w:rsidRPr="00C65861">
              <w:rPr>
                <w:sz w:val="18"/>
                <w:szCs w:val="18"/>
              </w:rPr>
              <w:t>Total</w:t>
            </w:r>
          </w:p>
        </w:tc>
        <w:tc>
          <w:tcPr>
            <w:tcW w:w="588" w:type="pct"/>
          </w:tcPr>
          <w:p w14:paraId="71825694" w14:textId="77777777" w:rsidR="00360421" w:rsidRPr="00C65861" w:rsidRDefault="00360421" w:rsidP="00C65861">
            <w:pPr>
              <w:cnfStyle w:val="000000100000" w:firstRow="0" w:lastRow="0" w:firstColumn="0" w:lastColumn="0" w:oddVBand="0" w:evenVBand="0" w:oddHBand="1" w:evenHBand="0" w:firstRowFirstColumn="0" w:firstRowLastColumn="0" w:lastRowFirstColumn="0" w:lastRowLastColumn="0"/>
              <w:rPr>
                <w:sz w:val="18"/>
                <w:szCs w:val="18"/>
              </w:rPr>
            </w:pPr>
            <w:r w:rsidRPr="00C65861">
              <w:rPr>
                <w:sz w:val="18"/>
                <w:szCs w:val="18"/>
              </w:rPr>
              <w:t>8820</w:t>
            </w:r>
          </w:p>
        </w:tc>
        <w:tc>
          <w:tcPr>
            <w:tcW w:w="901" w:type="pct"/>
          </w:tcPr>
          <w:p w14:paraId="3040580A" w14:textId="77777777" w:rsidR="00360421" w:rsidRPr="00C65861" w:rsidRDefault="00360421" w:rsidP="00C65861">
            <w:pPr>
              <w:cnfStyle w:val="000000100000" w:firstRow="0" w:lastRow="0" w:firstColumn="0" w:lastColumn="0" w:oddVBand="0" w:evenVBand="0" w:oddHBand="1" w:evenHBand="0" w:firstRowFirstColumn="0" w:firstRowLastColumn="0" w:lastRowFirstColumn="0" w:lastRowLastColumn="0"/>
              <w:rPr>
                <w:sz w:val="18"/>
                <w:szCs w:val="18"/>
              </w:rPr>
            </w:pPr>
            <w:r w:rsidRPr="00C65861">
              <w:rPr>
                <w:sz w:val="18"/>
                <w:szCs w:val="18"/>
              </w:rPr>
              <w:t>46% (11%)</w:t>
            </w:r>
          </w:p>
        </w:tc>
        <w:tc>
          <w:tcPr>
            <w:tcW w:w="1015" w:type="pct"/>
          </w:tcPr>
          <w:p w14:paraId="2F7E3D3E" w14:textId="77777777" w:rsidR="00360421" w:rsidRPr="00C65861" w:rsidRDefault="00360421" w:rsidP="00C65861">
            <w:pPr>
              <w:cnfStyle w:val="000000100000" w:firstRow="0" w:lastRow="0" w:firstColumn="0" w:lastColumn="0" w:oddVBand="0" w:evenVBand="0" w:oddHBand="1" w:evenHBand="0" w:firstRowFirstColumn="0" w:firstRowLastColumn="0" w:lastRowFirstColumn="0" w:lastRowLastColumn="0"/>
              <w:rPr>
                <w:sz w:val="18"/>
                <w:szCs w:val="18"/>
              </w:rPr>
            </w:pPr>
            <w:r w:rsidRPr="00C65861">
              <w:rPr>
                <w:sz w:val="18"/>
                <w:szCs w:val="18"/>
              </w:rPr>
              <w:t>76% (16%)</w:t>
            </w:r>
          </w:p>
        </w:tc>
        <w:tc>
          <w:tcPr>
            <w:tcW w:w="1406" w:type="pct"/>
          </w:tcPr>
          <w:p w14:paraId="1900438D" w14:textId="77777777" w:rsidR="00360421" w:rsidRPr="00C65861" w:rsidRDefault="00360421" w:rsidP="00C65861">
            <w:pPr>
              <w:cnfStyle w:val="000000100000" w:firstRow="0" w:lastRow="0" w:firstColumn="0" w:lastColumn="0" w:oddVBand="0" w:evenVBand="0" w:oddHBand="1" w:evenHBand="0" w:firstRowFirstColumn="0" w:firstRowLastColumn="0" w:lastRowFirstColumn="0" w:lastRowLastColumn="0"/>
              <w:rPr>
                <w:sz w:val="18"/>
                <w:szCs w:val="18"/>
              </w:rPr>
            </w:pPr>
            <w:r w:rsidRPr="00C65861">
              <w:rPr>
                <w:sz w:val="18"/>
                <w:szCs w:val="18"/>
              </w:rPr>
              <w:t>5579</w:t>
            </w:r>
          </w:p>
        </w:tc>
      </w:tr>
      <w:tr w:rsidR="00360421" w:rsidRPr="00C65861" w14:paraId="2950BC1C" w14:textId="77777777" w:rsidTr="00C65861">
        <w:tc>
          <w:tcPr>
            <w:cnfStyle w:val="001000000000" w:firstRow="0" w:lastRow="0" w:firstColumn="1" w:lastColumn="0" w:oddVBand="0" w:evenVBand="0" w:oddHBand="0" w:evenHBand="0" w:firstRowFirstColumn="0" w:firstRowLastColumn="0" w:lastRowFirstColumn="0" w:lastRowLastColumn="0"/>
            <w:tcW w:w="1090" w:type="pct"/>
          </w:tcPr>
          <w:p w14:paraId="4B89C437" w14:textId="77777777" w:rsidR="00360421" w:rsidRPr="00C65861" w:rsidRDefault="00360421" w:rsidP="00C65861">
            <w:pPr>
              <w:rPr>
                <w:sz w:val="18"/>
                <w:szCs w:val="18"/>
              </w:rPr>
            </w:pPr>
            <w:proofErr w:type="spellStart"/>
            <w:r w:rsidRPr="00C65861">
              <w:rPr>
                <w:sz w:val="18"/>
                <w:szCs w:val="18"/>
              </w:rPr>
              <w:t>BSF_food</w:t>
            </w:r>
            <w:proofErr w:type="spellEnd"/>
            <w:r w:rsidRPr="00C65861">
              <w:rPr>
                <w:sz w:val="18"/>
                <w:szCs w:val="18"/>
              </w:rPr>
              <w:t xml:space="preserve"> worse</w:t>
            </w:r>
          </w:p>
        </w:tc>
        <w:tc>
          <w:tcPr>
            <w:tcW w:w="588" w:type="pct"/>
          </w:tcPr>
          <w:p w14:paraId="7F395BDA" w14:textId="77777777" w:rsidR="00360421" w:rsidRPr="00C65861" w:rsidRDefault="00360421" w:rsidP="00C65861">
            <w:pPr>
              <w:cnfStyle w:val="000000000000" w:firstRow="0" w:lastRow="0" w:firstColumn="0" w:lastColumn="0" w:oddVBand="0" w:evenVBand="0" w:oddHBand="0" w:evenHBand="0" w:firstRowFirstColumn="0" w:firstRowLastColumn="0" w:lastRowFirstColumn="0" w:lastRowLastColumn="0"/>
              <w:rPr>
                <w:sz w:val="18"/>
                <w:szCs w:val="18"/>
              </w:rPr>
            </w:pPr>
            <w:r w:rsidRPr="00C65861">
              <w:rPr>
                <w:sz w:val="18"/>
                <w:szCs w:val="18"/>
              </w:rPr>
              <w:t>930 (11%)</w:t>
            </w:r>
          </w:p>
        </w:tc>
        <w:tc>
          <w:tcPr>
            <w:tcW w:w="901" w:type="pct"/>
          </w:tcPr>
          <w:p w14:paraId="5685AD49" w14:textId="77777777" w:rsidR="00360421" w:rsidRPr="00C65861" w:rsidRDefault="00360421" w:rsidP="00C65861">
            <w:pPr>
              <w:cnfStyle w:val="000000000000" w:firstRow="0" w:lastRow="0" w:firstColumn="0" w:lastColumn="0" w:oddVBand="0" w:evenVBand="0" w:oddHBand="0" w:evenHBand="0" w:firstRowFirstColumn="0" w:firstRowLastColumn="0" w:lastRowFirstColumn="0" w:lastRowLastColumn="0"/>
              <w:rPr>
                <w:sz w:val="18"/>
                <w:szCs w:val="18"/>
              </w:rPr>
            </w:pPr>
            <w:r w:rsidRPr="00C65861">
              <w:rPr>
                <w:b/>
                <w:sz w:val="18"/>
                <w:szCs w:val="18"/>
              </w:rPr>
              <w:t>30%</w:t>
            </w:r>
            <w:r w:rsidRPr="00C65861">
              <w:rPr>
                <w:sz w:val="18"/>
                <w:szCs w:val="18"/>
              </w:rPr>
              <w:t xml:space="preserve"> (6%)</w:t>
            </w:r>
          </w:p>
        </w:tc>
        <w:tc>
          <w:tcPr>
            <w:tcW w:w="1015" w:type="pct"/>
          </w:tcPr>
          <w:p w14:paraId="6155A35B" w14:textId="77777777" w:rsidR="00360421" w:rsidRPr="00C65861" w:rsidRDefault="00360421" w:rsidP="00C65861">
            <w:pPr>
              <w:cnfStyle w:val="000000000000" w:firstRow="0" w:lastRow="0" w:firstColumn="0" w:lastColumn="0" w:oddVBand="0" w:evenVBand="0" w:oddHBand="0" w:evenHBand="0" w:firstRowFirstColumn="0" w:firstRowLastColumn="0" w:lastRowFirstColumn="0" w:lastRowLastColumn="0"/>
              <w:rPr>
                <w:sz w:val="18"/>
                <w:szCs w:val="18"/>
              </w:rPr>
            </w:pPr>
            <w:r w:rsidRPr="00C65861">
              <w:rPr>
                <w:b/>
                <w:sz w:val="18"/>
                <w:szCs w:val="18"/>
              </w:rPr>
              <w:t>61%</w:t>
            </w:r>
            <w:r w:rsidRPr="00C65861">
              <w:rPr>
                <w:sz w:val="18"/>
                <w:szCs w:val="18"/>
              </w:rPr>
              <w:t xml:space="preserve"> (10%)</w:t>
            </w:r>
          </w:p>
        </w:tc>
        <w:tc>
          <w:tcPr>
            <w:tcW w:w="1406" w:type="pct"/>
          </w:tcPr>
          <w:p w14:paraId="2D68D218" w14:textId="77777777" w:rsidR="00360421" w:rsidRPr="00C65861" w:rsidRDefault="00360421" w:rsidP="00C65861">
            <w:pPr>
              <w:cnfStyle w:val="000000000000" w:firstRow="0" w:lastRow="0" w:firstColumn="0" w:lastColumn="0" w:oddVBand="0" w:evenVBand="0" w:oddHBand="0" w:evenHBand="0" w:firstRowFirstColumn="0" w:firstRowLastColumn="0" w:lastRowFirstColumn="0" w:lastRowLastColumn="0"/>
              <w:rPr>
                <w:sz w:val="18"/>
                <w:szCs w:val="18"/>
              </w:rPr>
            </w:pPr>
            <w:r w:rsidRPr="00C65861">
              <w:rPr>
                <w:sz w:val="18"/>
                <w:szCs w:val="18"/>
              </w:rPr>
              <w:t>0 (0%)</w:t>
            </w:r>
          </w:p>
        </w:tc>
      </w:tr>
    </w:tbl>
    <w:p w14:paraId="5342AAA3" w14:textId="41B58237" w:rsidR="00C65861" w:rsidRDefault="00C65861" w:rsidP="00C65861">
      <w:pPr>
        <w:jc w:val="both"/>
        <w:rPr>
          <w:sz w:val="18"/>
        </w:rPr>
      </w:pPr>
      <w:r>
        <w:rPr>
          <w:sz w:val="18"/>
        </w:rPr>
        <w:t>Scenario “Towards renewable energies”, case corn spent grains and climate change impact category. New average of the key parameter discriminating the two pathways being compared was calculated on the different subsets of simulations complying with a statement, and used to formulate threshold conditions on parameter’s value, which can result sufficient or not.</w:t>
      </w:r>
    </w:p>
    <w:p w14:paraId="4578B0CF" w14:textId="672E80F6" w:rsidR="00360421" w:rsidRDefault="00C65861" w:rsidP="00C65861">
      <w:pPr>
        <w:pStyle w:val="Lgende"/>
        <w:jc w:val="left"/>
      </w:pPr>
      <w:bookmarkStart w:id="79" w:name="_Ref151713515"/>
      <w:bookmarkStart w:id="80" w:name="_Toc134541571"/>
      <w:bookmarkStart w:id="81" w:name="_Toc155516861"/>
      <w:r>
        <w:t>Figure SI</w:t>
      </w:r>
      <w:r>
        <w:fldChar w:fldCharType="begin"/>
      </w:r>
      <w:r>
        <w:instrText xml:space="preserve"> SEQ Figure \* ARABIC </w:instrText>
      </w:r>
      <w:r>
        <w:fldChar w:fldCharType="separate"/>
      </w:r>
      <w:r>
        <w:rPr>
          <w:noProof/>
        </w:rPr>
        <w:t>6</w:t>
      </w:r>
      <w:r>
        <w:fldChar w:fldCharType="end"/>
      </w:r>
      <w:bookmarkEnd w:id="79"/>
      <w:r>
        <w:t xml:space="preserve"> </w:t>
      </w:r>
      <w:r w:rsidR="00360421" w:rsidRPr="005A0A61">
        <w:t xml:space="preserve">– Change in descriptive statistics, cluster analysis, example </w:t>
      </w:r>
      <w:r w:rsidR="00360421">
        <w:t>III</w:t>
      </w:r>
      <w:bookmarkEnd w:id="80"/>
      <w:bookmarkEnd w:id="81"/>
    </w:p>
    <w:p w14:paraId="4223C12D" w14:textId="77777777" w:rsidR="00360421" w:rsidRPr="00CB3A8B" w:rsidRDefault="00360421" w:rsidP="00C65861">
      <w:r>
        <w:rPr>
          <w:noProof/>
        </w:rPr>
        <w:drawing>
          <wp:inline distT="0" distB="0" distL="0" distR="0" wp14:anchorId="72203367" wp14:editId="5860E17E">
            <wp:extent cx="3780000" cy="2520000"/>
            <wp:effectExtent l="0" t="0" r="0" b="0"/>
            <wp:docPr id="14" name="Imag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4.6.png"/>
                    <pic:cNvPicPr/>
                  </pic:nvPicPr>
                  <pic:blipFill>
                    <a:blip r:embed="rId16"/>
                    <a:stretch>
                      <a:fillRect/>
                    </a:stretch>
                  </pic:blipFill>
                  <pic:spPr>
                    <a:xfrm>
                      <a:off x="0" y="0"/>
                      <a:ext cx="3780000" cy="2520000"/>
                    </a:xfrm>
                    <a:prstGeom prst="rect">
                      <a:avLst/>
                    </a:prstGeom>
                  </pic:spPr>
                </pic:pic>
              </a:graphicData>
            </a:graphic>
          </wp:inline>
        </w:drawing>
      </w:r>
    </w:p>
    <w:p w14:paraId="23C60B0B" w14:textId="3AB678DF" w:rsidR="00C65861" w:rsidRDefault="00C65861" w:rsidP="00360421">
      <w:pPr>
        <w:jc w:val="both"/>
        <w:rPr>
          <w:sz w:val="18"/>
        </w:rPr>
      </w:pPr>
      <w:r>
        <w:rPr>
          <w:sz w:val="18"/>
        </w:rPr>
        <w:t xml:space="preserve">Illustration on the case of </w:t>
      </w:r>
      <w:r w:rsidR="00606B40">
        <w:rPr>
          <w:sz w:val="18"/>
        </w:rPr>
        <w:t>comparing “Composting” pathway against “incineration” (</w:t>
      </w:r>
      <w:proofErr w:type="spellStart"/>
      <w:r w:rsidR="00606B40">
        <w:rPr>
          <w:sz w:val="18"/>
        </w:rPr>
        <w:t>Dir_CHP</w:t>
      </w:r>
      <w:proofErr w:type="spellEnd"/>
      <w:r w:rsidR="00606B40">
        <w:rPr>
          <w:sz w:val="18"/>
        </w:rPr>
        <w:t xml:space="preserve">) </w:t>
      </w:r>
      <w:r>
        <w:rPr>
          <w:sz w:val="18"/>
        </w:rPr>
        <w:t xml:space="preserve">to manage </w:t>
      </w:r>
      <w:r w:rsidR="00606B40">
        <w:rPr>
          <w:sz w:val="18"/>
        </w:rPr>
        <w:t>household food waste</w:t>
      </w:r>
      <w:r>
        <w:rPr>
          <w:sz w:val="18"/>
        </w:rPr>
        <w:t xml:space="preserve">, for climate change. The figure displays the change in descriptive statistics (293 technological parameters) between the whole set of simulations (no condition) and the subset of simulations complying with the statement </w:t>
      </w:r>
      <w:r w:rsidR="00606B40">
        <w:rPr>
          <w:sz w:val="18"/>
        </w:rPr>
        <w:t xml:space="preserve">“Composting </w:t>
      </w:r>
      <w:r w:rsidR="00606B40" w:rsidRPr="003E0F52">
        <w:rPr>
          <w:b/>
          <w:sz w:val="18"/>
        </w:rPr>
        <w:t xml:space="preserve">is </w:t>
      </w:r>
      <w:r w:rsidR="00606B40">
        <w:rPr>
          <w:b/>
          <w:sz w:val="18"/>
        </w:rPr>
        <w:t>better</w:t>
      </w:r>
      <w:r w:rsidR="00606B40" w:rsidRPr="003E0F52">
        <w:rPr>
          <w:b/>
          <w:sz w:val="18"/>
        </w:rPr>
        <w:t xml:space="preserve"> than</w:t>
      </w:r>
      <w:r w:rsidR="00606B40">
        <w:rPr>
          <w:sz w:val="18"/>
        </w:rPr>
        <w:t xml:space="preserve"> </w:t>
      </w:r>
      <w:proofErr w:type="spellStart"/>
      <w:r w:rsidR="00606B40">
        <w:rPr>
          <w:sz w:val="18"/>
        </w:rPr>
        <w:t>Dir_CHP</w:t>
      </w:r>
      <w:proofErr w:type="spellEnd"/>
      <w:r w:rsidR="00606B40">
        <w:rPr>
          <w:sz w:val="18"/>
        </w:rPr>
        <w:t>”</w:t>
      </w:r>
      <w:r>
        <w:rPr>
          <w:sz w:val="18"/>
        </w:rPr>
        <w:t>. Important parameters are in the two bottom corners as their average changed and their standard deviation decreased in the subset compared to the whole set of simulations.</w:t>
      </w:r>
    </w:p>
    <w:p w14:paraId="42C99FF3" w14:textId="0AD04DAE" w:rsidR="009955BF" w:rsidRDefault="009955BF" w:rsidP="009955BF">
      <w:pPr>
        <w:jc w:val="both"/>
      </w:pPr>
      <w:r>
        <w:t xml:space="preserve">The present “identification of sufficient conditions” procedure based on comparative statistics only serves if parameters are much more influent on the results than all the others. Deeper analysis would require an alternative screening procedure which continuously cover </w:t>
      </w:r>
      <m:oMath>
        <m:sSub>
          <m:sSubPr>
            <m:ctrlPr>
              <w:rPr>
                <w:rFonts w:ascii="Cambria Math" w:hAnsi="Cambria Math"/>
              </w:rPr>
            </m:ctrlPr>
          </m:sSubPr>
          <m:e>
            <m:r>
              <m:rPr>
                <m:sty m:val="p"/>
              </m:rPr>
              <w:rPr>
                <w:rFonts w:ascii="Cambria Math" w:hAnsi="Cambria Math"/>
              </w:rPr>
              <m:t>∆P</m:t>
            </m:r>
          </m:e>
          <m:sub>
            <m:r>
              <w:rPr>
                <w:rFonts w:ascii="Cambria Math" w:hAnsi="Cambria Math"/>
              </w:rPr>
              <m:t>j</m:t>
            </m:r>
          </m:sub>
        </m:sSub>
      </m:oMath>
      <w:r>
        <w:rPr>
          <w:rFonts w:eastAsiaTheme="minorEastAsia"/>
        </w:rPr>
        <w:t xml:space="preserve"> (here, discretized on six values) </w:t>
      </w:r>
      <w:r>
        <w:t xml:space="preserve">and likely involve more simulations to refine the screening granularity of the input space. In turn, this would enable to build alternative statistics-based method, such as correlation and regression. Not implementable here due to the </w:t>
      </w:r>
      <w:proofErr w:type="spellStart"/>
      <w:r>
        <w:t>OaT</w:t>
      </w:r>
      <w:proofErr w:type="spellEnd"/>
      <w:r>
        <w:t xml:space="preserve"> design, classifying the technology parameters according to their correlation with each column of </w:t>
      </w:r>
      <m:oMath>
        <m:r>
          <m:rPr>
            <m:sty m:val="p"/>
          </m:rPr>
          <w:rPr>
            <w:rFonts w:ascii="Cambria Math" w:hAnsi="Cambria Math" w:cstheme="minorHAnsi"/>
          </w:rPr>
          <m:t>∆</m:t>
        </m:r>
        <m:r>
          <m:rPr>
            <m:sty m:val="p"/>
          </m:rPr>
          <w:rPr>
            <w:rFonts w:ascii="Cambria Math" w:cstheme="minorHAnsi"/>
          </w:rPr>
          <m:t>V</m:t>
        </m:r>
      </m:oMath>
      <w:r>
        <w:rPr>
          <w:rFonts w:eastAsiaTheme="minorEastAsia"/>
        </w:rPr>
        <w:t xml:space="preserve"> could allow to build new indicators such as “contribution of the parameters to the difference between pathway A and pathway B”. Additionally, more advanced methods such as the principal component analysis or delta method can be performed for deeper understanding of the models and the results. Other limits and methodological improvement leverages are detailed in the </w:t>
      </w:r>
      <w:r w:rsidRPr="004C5618">
        <w:rPr>
          <w:rFonts w:eastAsiaTheme="minorEastAsia"/>
          <w:b/>
        </w:rPr>
        <w:t>PhD thesis manuscript</w:t>
      </w:r>
      <w:r>
        <w:rPr>
          <w:rFonts w:eastAsiaTheme="minorEastAsia"/>
        </w:rPr>
        <w:fldChar w:fldCharType="begin"/>
      </w:r>
      <w:r>
        <w:rPr>
          <w:rFonts w:eastAsiaTheme="minorEastAsia"/>
        </w:rPr>
        <w:instrText xml:space="preserve"> ADDIN ZOTERO_ITEM CSL_CITATION {"citationID":"4MqWdRb7","properties":{"formattedCitation":"\\super 34\\nosupersub{}","plainCitation":"34","noteIndex":0},"citationItems":[{"id":14134,"uris":["http://zotero.org/users/6423791/items/LU22SWNL"],"itemData":{"id":14134,"type":"thesis","event-place":"Toulouse","genre":"PhD","language":"fr","number-of-pages":"555","publisher":"INSA Toulouse","publisher-place":"Toulouse","source":"Root","title":"Transforming residual biomass into food and feed, towards an LCA optimization platform","URL":"https://dataverse.callisto.calmip.univ-toulouse.fr/dataset.xhtml?persistentId=doi:10.48531/JBRU.CALMIP/6NIPVB","author":[{"family":"Javourez","given":"U."}],"accessed":{"date-parts":[["2023",5,16]]},"issued":{"date-parts":[["2023",2,28]]}}}],"schema":"https://github.com/citation-style-language/schema/raw/master/csl-citation.json"} </w:instrText>
      </w:r>
      <w:r>
        <w:rPr>
          <w:rFonts w:eastAsiaTheme="minorEastAsia"/>
        </w:rPr>
        <w:fldChar w:fldCharType="separate"/>
      </w:r>
      <w:r w:rsidRPr="00657D9A">
        <w:rPr>
          <w:rFonts w:ascii="Calibri" w:hAnsi="Calibri" w:cs="Calibri"/>
          <w:szCs w:val="24"/>
          <w:vertAlign w:val="superscript"/>
        </w:rPr>
        <w:t>34</w:t>
      </w:r>
      <w:r>
        <w:rPr>
          <w:rFonts w:eastAsiaTheme="minorEastAsia"/>
        </w:rPr>
        <w:fldChar w:fldCharType="end"/>
      </w:r>
      <w:r>
        <w:rPr>
          <w:rFonts w:eastAsiaTheme="minorEastAsia"/>
        </w:rPr>
        <w:t>.</w:t>
      </w:r>
      <w:r>
        <w:t xml:space="preserve"> The future elaboration of a more comprehensive statistical analysis to refine the link between technological development and pathway ranking is made possible as the datasets and models are transparently provided.</w:t>
      </w:r>
    </w:p>
    <w:p w14:paraId="7440B472" w14:textId="77777777" w:rsidR="009955BF" w:rsidRDefault="009955BF">
      <w:r>
        <w:br w:type="page"/>
      </w:r>
    </w:p>
    <w:p w14:paraId="55B82148" w14:textId="1E4BF659" w:rsidR="00360421" w:rsidRDefault="00C65861" w:rsidP="00C65861">
      <w:pPr>
        <w:pStyle w:val="Lgende"/>
        <w:jc w:val="left"/>
      </w:pPr>
      <w:bookmarkStart w:id="82" w:name="_Ref151713366"/>
      <w:bookmarkStart w:id="83" w:name="_Toc134541572"/>
      <w:bookmarkStart w:id="84" w:name="_Toc155516862"/>
      <w:r>
        <w:lastRenderedPageBreak/>
        <w:t>Figure SI</w:t>
      </w:r>
      <w:r>
        <w:fldChar w:fldCharType="begin"/>
      </w:r>
      <w:r>
        <w:instrText xml:space="preserve"> SEQ Figure \* ARABIC </w:instrText>
      </w:r>
      <w:r>
        <w:fldChar w:fldCharType="separate"/>
      </w:r>
      <w:r>
        <w:rPr>
          <w:noProof/>
        </w:rPr>
        <w:t>7</w:t>
      </w:r>
      <w:r>
        <w:fldChar w:fldCharType="end"/>
      </w:r>
      <w:bookmarkEnd w:id="82"/>
      <w:r>
        <w:t xml:space="preserve"> </w:t>
      </w:r>
      <w:r w:rsidR="00360421" w:rsidRPr="00DB0EB7">
        <w:t xml:space="preserve">– Change in descriptive statistics, cluster analysis, example </w:t>
      </w:r>
      <w:proofErr w:type="spellStart"/>
      <w:r w:rsidR="00360421">
        <w:t>IV.i</w:t>
      </w:r>
      <w:bookmarkEnd w:id="83"/>
      <w:bookmarkEnd w:id="84"/>
      <w:proofErr w:type="spellEnd"/>
    </w:p>
    <w:p w14:paraId="13E1B89A" w14:textId="77777777" w:rsidR="00360421" w:rsidRPr="00CB3A8B" w:rsidRDefault="00360421" w:rsidP="00C65861">
      <w:r>
        <w:rPr>
          <w:noProof/>
        </w:rPr>
        <w:drawing>
          <wp:inline distT="0" distB="0" distL="0" distR="0" wp14:anchorId="17B77EE9" wp14:editId="758C65D7">
            <wp:extent cx="3780000" cy="2520000"/>
            <wp:effectExtent l="0" t="0" r="0" b="0"/>
            <wp:docPr id="15"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4.7.png"/>
                    <pic:cNvPicPr/>
                  </pic:nvPicPr>
                  <pic:blipFill>
                    <a:blip r:embed="rId17"/>
                    <a:stretch>
                      <a:fillRect/>
                    </a:stretch>
                  </pic:blipFill>
                  <pic:spPr>
                    <a:xfrm>
                      <a:off x="0" y="0"/>
                      <a:ext cx="3780000" cy="2520000"/>
                    </a:xfrm>
                    <a:prstGeom prst="rect">
                      <a:avLst/>
                    </a:prstGeom>
                  </pic:spPr>
                </pic:pic>
              </a:graphicData>
            </a:graphic>
          </wp:inline>
        </w:drawing>
      </w:r>
    </w:p>
    <w:p w14:paraId="55B7FB91" w14:textId="7FB1BF77" w:rsidR="00606B40" w:rsidRDefault="00606B40" w:rsidP="00606B40">
      <w:pPr>
        <w:jc w:val="both"/>
        <w:rPr>
          <w:sz w:val="18"/>
        </w:rPr>
      </w:pPr>
      <w:r>
        <w:rPr>
          <w:sz w:val="18"/>
        </w:rPr>
        <w:t>Illustration on the case of comparing “</w:t>
      </w:r>
      <w:proofErr w:type="spellStart"/>
      <w:r>
        <w:rPr>
          <w:sz w:val="18"/>
        </w:rPr>
        <w:t>MP_meths</w:t>
      </w:r>
      <w:proofErr w:type="spellEnd"/>
      <w:r>
        <w:rPr>
          <w:sz w:val="18"/>
        </w:rPr>
        <w:t>” pathway against “</w:t>
      </w:r>
      <w:proofErr w:type="spellStart"/>
      <w:r>
        <w:rPr>
          <w:sz w:val="18"/>
        </w:rPr>
        <w:t>BSF_food</w:t>
      </w:r>
      <w:proofErr w:type="spellEnd"/>
      <w:r>
        <w:rPr>
          <w:sz w:val="18"/>
        </w:rPr>
        <w:t>” to manage countryside management grass, for climate change. The figure displays the change in descriptive statistics (293 technological parameters) between the whole set of simulations (no condition) and the subset of simulations complying with the statement “</w:t>
      </w:r>
      <w:proofErr w:type="spellStart"/>
      <w:r>
        <w:rPr>
          <w:sz w:val="18"/>
        </w:rPr>
        <w:t>MP_meths</w:t>
      </w:r>
      <w:proofErr w:type="spellEnd"/>
      <w:r>
        <w:rPr>
          <w:sz w:val="18"/>
        </w:rPr>
        <w:t xml:space="preserve"> </w:t>
      </w:r>
      <w:r w:rsidRPr="003E0F52">
        <w:rPr>
          <w:b/>
          <w:sz w:val="18"/>
        </w:rPr>
        <w:t xml:space="preserve">is </w:t>
      </w:r>
      <w:r>
        <w:rPr>
          <w:b/>
          <w:sz w:val="18"/>
        </w:rPr>
        <w:t>better</w:t>
      </w:r>
      <w:r w:rsidRPr="003E0F52">
        <w:rPr>
          <w:b/>
          <w:sz w:val="18"/>
        </w:rPr>
        <w:t xml:space="preserve"> than</w:t>
      </w:r>
      <w:r>
        <w:rPr>
          <w:sz w:val="18"/>
        </w:rPr>
        <w:t xml:space="preserve"> </w:t>
      </w:r>
      <w:proofErr w:type="spellStart"/>
      <w:r>
        <w:rPr>
          <w:sz w:val="18"/>
        </w:rPr>
        <w:t>BSF_food</w:t>
      </w:r>
      <w:proofErr w:type="spellEnd"/>
      <w:r>
        <w:rPr>
          <w:sz w:val="18"/>
        </w:rPr>
        <w:t>”. Important parameters are in the two bottom corners as their average changed and their standard deviation decreased in the subset compared to the whole set of simulations.</w:t>
      </w:r>
    </w:p>
    <w:p w14:paraId="4FBD83A6" w14:textId="4C5174CA" w:rsidR="00360421" w:rsidRDefault="00C65861" w:rsidP="00C65861">
      <w:pPr>
        <w:pStyle w:val="Lgende"/>
        <w:jc w:val="left"/>
      </w:pPr>
      <w:bookmarkStart w:id="85" w:name="_Ref151713367"/>
      <w:bookmarkStart w:id="86" w:name="_Toc134541573"/>
      <w:bookmarkStart w:id="87" w:name="_Toc155516863"/>
      <w:r>
        <w:t>Figure SI</w:t>
      </w:r>
      <w:r>
        <w:fldChar w:fldCharType="begin"/>
      </w:r>
      <w:r>
        <w:instrText xml:space="preserve"> SEQ Figure \* ARABIC </w:instrText>
      </w:r>
      <w:r>
        <w:fldChar w:fldCharType="separate"/>
      </w:r>
      <w:r>
        <w:rPr>
          <w:noProof/>
        </w:rPr>
        <w:t>8</w:t>
      </w:r>
      <w:r>
        <w:fldChar w:fldCharType="end"/>
      </w:r>
      <w:bookmarkEnd w:id="85"/>
      <w:r>
        <w:t xml:space="preserve"> </w:t>
      </w:r>
      <w:r w:rsidR="00360421" w:rsidRPr="00DB0EB7">
        <w:t xml:space="preserve">– Change in descriptive statistics, cluster analysis, example </w:t>
      </w:r>
      <w:proofErr w:type="spellStart"/>
      <w:r w:rsidR="00360421">
        <w:t>IV.ii</w:t>
      </w:r>
      <w:bookmarkEnd w:id="86"/>
      <w:bookmarkEnd w:id="87"/>
      <w:proofErr w:type="spellEnd"/>
    </w:p>
    <w:p w14:paraId="34704874" w14:textId="77777777" w:rsidR="00360421" w:rsidRPr="00CB3A8B" w:rsidRDefault="00360421" w:rsidP="00C65861">
      <w:r>
        <w:rPr>
          <w:noProof/>
        </w:rPr>
        <w:drawing>
          <wp:inline distT="0" distB="0" distL="0" distR="0" wp14:anchorId="262BE7F6" wp14:editId="7D6E8FC5">
            <wp:extent cx="3780000" cy="2520000"/>
            <wp:effectExtent l="0" t="0" r="0" b="0"/>
            <wp:docPr id="16" name="Imag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A4.8.png"/>
                    <pic:cNvPicPr/>
                  </pic:nvPicPr>
                  <pic:blipFill>
                    <a:blip r:embed="rId18"/>
                    <a:stretch>
                      <a:fillRect/>
                    </a:stretch>
                  </pic:blipFill>
                  <pic:spPr>
                    <a:xfrm>
                      <a:off x="0" y="0"/>
                      <a:ext cx="3780000" cy="2520000"/>
                    </a:xfrm>
                    <a:prstGeom prst="rect">
                      <a:avLst/>
                    </a:prstGeom>
                  </pic:spPr>
                </pic:pic>
              </a:graphicData>
            </a:graphic>
          </wp:inline>
        </w:drawing>
      </w:r>
    </w:p>
    <w:p w14:paraId="399F989C" w14:textId="1ABDD2FC" w:rsidR="00360421" w:rsidRPr="00606B40" w:rsidRDefault="00606B40" w:rsidP="00360421">
      <w:pPr>
        <w:jc w:val="both"/>
        <w:rPr>
          <w:sz w:val="18"/>
        </w:rPr>
      </w:pPr>
      <w:r>
        <w:rPr>
          <w:sz w:val="18"/>
        </w:rPr>
        <w:t>Illustration on the case of comparing “</w:t>
      </w:r>
      <w:proofErr w:type="spellStart"/>
      <w:r>
        <w:rPr>
          <w:sz w:val="18"/>
        </w:rPr>
        <w:t>MP_meths</w:t>
      </w:r>
      <w:proofErr w:type="spellEnd"/>
      <w:r>
        <w:rPr>
          <w:sz w:val="18"/>
        </w:rPr>
        <w:t>” pathway against “</w:t>
      </w:r>
      <w:proofErr w:type="spellStart"/>
      <w:r>
        <w:rPr>
          <w:sz w:val="18"/>
        </w:rPr>
        <w:t>BSF_food</w:t>
      </w:r>
      <w:proofErr w:type="spellEnd"/>
      <w:r>
        <w:rPr>
          <w:sz w:val="18"/>
        </w:rPr>
        <w:t>” to manage countryside management grass, for climate change. The figure displays the change in descriptive statistics (293 technological parameters) between the whole set of simulations (no condition) and the subset of simulations complying with the statement “</w:t>
      </w:r>
      <w:proofErr w:type="spellStart"/>
      <w:r>
        <w:rPr>
          <w:sz w:val="18"/>
        </w:rPr>
        <w:t>MP_meths</w:t>
      </w:r>
      <w:proofErr w:type="spellEnd"/>
      <w:r>
        <w:rPr>
          <w:sz w:val="18"/>
        </w:rPr>
        <w:t xml:space="preserve"> </w:t>
      </w:r>
      <w:r w:rsidRPr="003E0F52">
        <w:rPr>
          <w:b/>
          <w:sz w:val="18"/>
        </w:rPr>
        <w:t xml:space="preserve">is </w:t>
      </w:r>
      <w:r>
        <w:rPr>
          <w:b/>
          <w:sz w:val="18"/>
        </w:rPr>
        <w:t>worse</w:t>
      </w:r>
      <w:r w:rsidRPr="003E0F52">
        <w:rPr>
          <w:b/>
          <w:sz w:val="18"/>
        </w:rPr>
        <w:t xml:space="preserve"> than</w:t>
      </w:r>
      <w:r>
        <w:rPr>
          <w:sz w:val="18"/>
        </w:rPr>
        <w:t xml:space="preserve"> </w:t>
      </w:r>
      <w:proofErr w:type="spellStart"/>
      <w:r>
        <w:rPr>
          <w:sz w:val="18"/>
        </w:rPr>
        <w:t>BSF_food</w:t>
      </w:r>
      <w:proofErr w:type="spellEnd"/>
      <w:r>
        <w:rPr>
          <w:sz w:val="18"/>
        </w:rPr>
        <w:t>”. Important parameters are in the two bottom corners as their average changed and their standard deviation decreased in the subset compared to the whole set of simulations.</w:t>
      </w:r>
    </w:p>
    <w:p w14:paraId="14C425C3" w14:textId="39C701A7" w:rsidR="004C5618" w:rsidRDefault="004C5618">
      <w:r>
        <w:br w:type="page"/>
      </w:r>
    </w:p>
    <w:p w14:paraId="2C4F88EA" w14:textId="40CC9F12" w:rsidR="00606B40" w:rsidRDefault="00ED24A2" w:rsidP="00ED24A2">
      <w:pPr>
        <w:pStyle w:val="Titre1"/>
        <w:numPr>
          <w:ilvl w:val="0"/>
          <w:numId w:val="31"/>
        </w:numPr>
      </w:pPr>
      <w:bookmarkStart w:id="88" w:name="_Toc155516867"/>
      <w:r>
        <w:lastRenderedPageBreak/>
        <w:t>Additional results</w:t>
      </w:r>
      <w:bookmarkEnd w:id="88"/>
    </w:p>
    <w:p w14:paraId="611A1FBB" w14:textId="3E6DD13D" w:rsidR="00ED24A2" w:rsidRDefault="00ED24A2" w:rsidP="00ED24A2">
      <w:pPr>
        <w:jc w:val="both"/>
      </w:pPr>
      <w:r>
        <w:t xml:space="preserve">For a given residual stream, the ranking of alternative </w:t>
      </w:r>
      <w:r w:rsidR="004C5618">
        <w:t>valorization</w:t>
      </w:r>
      <w:r>
        <w:t xml:space="preserve"> pathways is determined by the net balance between the</w:t>
      </w:r>
      <w:r w:rsidR="004C5618">
        <w:t xml:space="preserve"> environmental</w:t>
      </w:r>
      <w:r>
        <w:t xml:space="preserve"> impacts associated with the processing operations required (utilities and facilities) and the forecasted </w:t>
      </w:r>
      <w:r w:rsidR="004C5618">
        <w:t xml:space="preserve">environmental credits associated with the services supplied, if existing (credits </w:t>
      </w:r>
      <w:r w:rsidR="00C05083">
        <w:t xml:space="preserve">for substituting the </w:t>
      </w:r>
      <w:r w:rsidR="004C5618">
        <w:t>conventional production of the</w:t>
      </w:r>
      <w:r w:rsidR="00C05083">
        <w:t>se</w:t>
      </w:r>
      <w:r w:rsidR="004C5618">
        <w:t xml:space="preserve"> services</w:t>
      </w:r>
      <w:r w:rsidR="00C05083">
        <w:t>)</w:t>
      </w:r>
      <w:r w:rsidR="004C5618">
        <w:t>.</w:t>
      </w:r>
      <w:r w:rsidR="00C05083">
        <w:t xml:space="preserve"> In turn, the LCA scores and pathways ranking </w:t>
      </w:r>
      <w:r>
        <w:t>directly relate to their</w:t>
      </w:r>
      <w:r w:rsidR="00C05083">
        <w:t xml:space="preserve"> own</w:t>
      </w:r>
      <w:r>
        <w:t xml:space="preserve"> </w:t>
      </w:r>
      <w:r w:rsidR="00C05083">
        <w:t>waste</w:t>
      </w:r>
      <w:r>
        <w:t xml:space="preserve">-to-services conversion efficiencies and the relative </w:t>
      </w:r>
      <w:r w:rsidR="00C05083">
        <w:t>LCA scores</w:t>
      </w:r>
      <w:r>
        <w:t xml:space="preserve"> </w:t>
      </w:r>
      <w:r w:rsidR="00C05083">
        <w:t xml:space="preserve">of </w:t>
      </w:r>
      <w:r>
        <w:t>the marginal suppliers of food, feed, energy and fertilizing services</w:t>
      </w:r>
      <w:r w:rsidR="00C05083">
        <w:t xml:space="preserve"> (the main ones associated with the waste valorization pathways assessed in this study)</w:t>
      </w:r>
      <w:r>
        <w:t xml:space="preserve">. The latter directly relates to the </w:t>
      </w:r>
      <w:r w:rsidR="00C05083">
        <w:t xml:space="preserve">future deployment </w:t>
      </w:r>
      <w:r>
        <w:t xml:space="preserve">context in which these pathways will be implemented, traduced here in terms of scenarios to screen </w:t>
      </w:r>
      <w:r w:rsidR="00C05083">
        <w:t>contrasted</w:t>
      </w:r>
      <w:r>
        <w:t xml:space="preserve"> future food and energy systems</w:t>
      </w:r>
      <w:r w:rsidR="00C05083">
        <w:t xml:space="preserve"> trajectories</w:t>
      </w:r>
      <w:r>
        <w:t xml:space="preserve">. </w:t>
      </w:r>
      <w:r w:rsidRPr="005639F1">
        <w:rPr>
          <w:b/>
        </w:rPr>
        <w:t>This bioresources-pathways-services-impacts-scenario</w:t>
      </w:r>
      <w:r w:rsidR="00C05083">
        <w:rPr>
          <w:b/>
        </w:rPr>
        <w:t>s</w:t>
      </w:r>
      <w:r w:rsidRPr="005639F1">
        <w:rPr>
          <w:b/>
        </w:rPr>
        <w:t xml:space="preserve"> nexus was fully detailed in the</w:t>
      </w:r>
      <w:r>
        <w:t xml:space="preserve"> </w:t>
      </w:r>
      <w:r w:rsidRPr="00ED24A2">
        <w:rPr>
          <w:b/>
        </w:rPr>
        <w:t>PhD thesis manuscript</w:t>
      </w:r>
      <w:r>
        <w:fldChar w:fldCharType="begin"/>
      </w:r>
      <w:r w:rsidR="00657D9A">
        <w:instrText xml:space="preserve"> ADDIN ZOTERO_ITEM CSL_CITATION {"citationID":"pOYvq9aX","properties":{"formattedCitation":"\\super 34\\nosupersub{}","plainCitation":"34","noteIndex":0},"citationItems":[{"id":14134,"uris":["http://zotero.org/users/6423791/items/LU22SWNL"],"itemData":{"id":14134,"type":"thesis","event-place":"Toulouse","genre":"PhD","language":"fr","number-of-pages":"555","publisher":"INSA Toulouse","publisher-place":"Toulouse","source":"Root","title":"Transforming residual biomass into food and feed, towards an LCA optimization platform","URL":"https://dataverse.callisto.calmip.univ-toulouse.fr/dataset.xhtml?persistentId=doi:10.48531/JBRU.CALMIP/6NIPVB","author":[{"family":"Javourez","given":"U."}],"accessed":{"date-parts":[["2023",5,16]]},"issued":{"date-parts":[["2023",2,28]]}}}],"schema":"https://github.com/citation-style-language/schema/raw/master/csl-citation.json"} </w:instrText>
      </w:r>
      <w:r>
        <w:fldChar w:fldCharType="separate"/>
      </w:r>
      <w:r w:rsidR="00657D9A" w:rsidRPr="00657D9A">
        <w:rPr>
          <w:rFonts w:ascii="Calibri" w:hAnsi="Calibri" w:cs="Calibri"/>
          <w:szCs w:val="24"/>
          <w:vertAlign w:val="superscript"/>
        </w:rPr>
        <w:t>34</w:t>
      </w:r>
      <w:r>
        <w:fldChar w:fldCharType="end"/>
      </w:r>
      <w:r w:rsidR="008B0215">
        <w:t>.</w:t>
      </w:r>
      <w:r>
        <w:t xml:space="preserve"> It includes, among other, the LCA contribution analysis, the detailed sensitivity and discernibility analysis, and </w:t>
      </w:r>
      <w:r w:rsidR="007E3473">
        <w:t xml:space="preserve">the </w:t>
      </w:r>
      <w:r>
        <w:t xml:space="preserve">one-at-the-time marginal suppliers perturbation analysis </w:t>
      </w:r>
      <w:r w:rsidR="007E3473">
        <w:t xml:space="preserve">performed to design </w:t>
      </w:r>
      <w:r>
        <w:t xml:space="preserve">the scenario </w:t>
      </w:r>
      <w:r w:rsidR="007E3473">
        <w:t>assessment of this work</w:t>
      </w:r>
      <w:r>
        <w:t>.</w:t>
      </w:r>
    </w:p>
    <w:p w14:paraId="04FF3BD3" w14:textId="1600EA67" w:rsidR="00ED24A2" w:rsidRDefault="00ED24A2" w:rsidP="005639F1">
      <w:pPr>
        <w:pStyle w:val="Contenudetableau"/>
        <w:jc w:val="both"/>
      </w:pPr>
      <w:r>
        <w:t xml:space="preserve">As the main manuscript was focusing on the main findings and </w:t>
      </w:r>
      <w:r w:rsidR="007E3473">
        <w:t xml:space="preserve">particularly discuss the </w:t>
      </w:r>
      <w:r>
        <w:t>climate change impact categories, additional insights related to the other impact categories are further described.</w:t>
      </w:r>
      <w:r w:rsidR="00752BBB">
        <w:t xml:space="preserve"> Please refer to </w:t>
      </w:r>
      <w:r w:rsidR="00752BBB" w:rsidRPr="00D118EE">
        <w:rPr>
          <w:b/>
        </w:rPr>
        <w:t>Table 1</w:t>
      </w:r>
      <w:r w:rsidR="00752BBB">
        <w:t xml:space="preserve"> of the main manuscript for a description of each pathway and its acronym.</w:t>
      </w:r>
    </w:p>
    <w:p w14:paraId="3C2D31B5" w14:textId="77777777" w:rsidR="008B0215" w:rsidRDefault="008B0215" w:rsidP="005639F1">
      <w:pPr>
        <w:pStyle w:val="Contenudetableau"/>
        <w:jc w:val="both"/>
      </w:pPr>
    </w:p>
    <w:p w14:paraId="70798791" w14:textId="4A31562A" w:rsidR="00ED24A2" w:rsidRDefault="006D41F7" w:rsidP="006D41F7">
      <w:pPr>
        <w:pStyle w:val="Titre2"/>
      </w:pPr>
      <w:r>
        <w:t xml:space="preserve">Additional </w:t>
      </w:r>
      <w:r w:rsidR="00D118EE">
        <w:t>notes</w:t>
      </w:r>
      <w:r>
        <w:t xml:space="preserve"> for Figure 1</w:t>
      </w:r>
    </w:p>
    <w:p w14:paraId="2132307B" w14:textId="2CD8C0C0" w:rsidR="00D118EE" w:rsidRDefault="00D118EE" w:rsidP="00D118EE">
      <w:pPr>
        <w:jc w:val="both"/>
      </w:pPr>
      <w:r w:rsidRPr="00D118EE">
        <w:rPr>
          <w:vertAlign w:val="superscript"/>
        </w:rPr>
        <w:t>*</w:t>
      </w:r>
      <w:r w:rsidRPr="00D118EE">
        <w:t xml:space="preserve">: For lignocellulosic residues, in a </w:t>
      </w:r>
      <w:r w:rsidR="00752BBB">
        <w:t>scenario</w:t>
      </w:r>
      <w:r w:rsidRPr="00D118EE">
        <w:t xml:space="preserve"> of ongoing transitions towards renewable energies and sustainable food systems, microbial proteins (MP) production should at least yield 3.0 g</w:t>
      </w:r>
      <w:r w:rsidRPr="00D118EE">
        <w:rPr>
          <w:vertAlign w:val="subscript"/>
        </w:rPr>
        <w:t>OM</w:t>
      </w:r>
      <w:r w:rsidRPr="00D118EE">
        <w:t>.g</w:t>
      </w:r>
      <w:r w:rsidRPr="00D118EE">
        <w:rPr>
          <w:vertAlign w:val="subscript"/>
        </w:rPr>
        <w:t>H2</w:t>
      </w:r>
      <w:r w:rsidRPr="00D118EE">
        <w:rPr>
          <w:vertAlign w:val="superscript"/>
        </w:rPr>
        <w:t>-1</w:t>
      </w:r>
      <w:r w:rsidRPr="00D118EE">
        <w:t xml:space="preserve"> for MP pathways to outperform the </w:t>
      </w:r>
      <w:proofErr w:type="spellStart"/>
      <w:r w:rsidRPr="00D118EE">
        <w:t>Heat_ind</w:t>
      </w:r>
      <w:proofErr w:type="spellEnd"/>
      <w:r w:rsidRPr="00D118EE">
        <w:t xml:space="preserve"> pathway regarding land use. </w:t>
      </w:r>
      <w:r w:rsidRPr="00D118EE">
        <w:rPr>
          <w:vertAlign w:val="superscript"/>
        </w:rPr>
        <w:t>**</w:t>
      </w:r>
      <w:r w:rsidRPr="00D118EE">
        <w:t xml:space="preserve">: For lignocellulosic residues, in a </w:t>
      </w:r>
      <w:r w:rsidR="00752BBB">
        <w:t>scenario</w:t>
      </w:r>
      <w:r w:rsidRPr="00D118EE">
        <w:t xml:space="preserve"> of ongoing transition towards renewable energies but </w:t>
      </w:r>
      <w:r w:rsidR="00752BBB">
        <w:t>maintaining or exacerbating the current impacts of</w:t>
      </w:r>
      <w:r w:rsidRPr="00D118EE">
        <w:t xml:space="preserve"> food systems, MP pathways </w:t>
      </w:r>
      <w:r w:rsidR="00752BBB">
        <w:t xml:space="preserve">were identified as </w:t>
      </w:r>
      <w:r w:rsidRPr="00D118EE">
        <w:t>the best options to mitigate water use, except if mycoproteins production (</w:t>
      </w:r>
      <w:proofErr w:type="spellStart"/>
      <w:r w:rsidRPr="00D118EE">
        <w:t>Myco</w:t>
      </w:r>
      <w:proofErr w:type="spellEnd"/>
      <w:r w:rsidRPr="00D118EE">
        <w:t xml:space="preserve">) achieves its best forecasted </w:t>
      </w:r>
      <w:r w:rsidR="00752BBB">
        <w:t xml:space="preserve">technological improvements </w:t>
      </w:r>
      <w:r w:rsidRPr="00D118EE">
        <w:t xml:space="preserve">fully substitutes meat production. </w:t>
      </w:r>
      <w:r w:rsidRPr="00D118EE">
        <w:rPr>
          <w:vertAlign w:val="superscript"/>
        </w:rPr>
        <w:t>***</w:t>
      </w:r>
      <w:r w:rsidRPr="00D118EE">
        <w:t xml:space="preserve">: For nutrient-rich wastes, composting was found to always outperform anaerobic digestion (AD) pathways regarding marine eutrophication provided nitrates land leaching emissions factor remains below 7-8% of spread nitrogen. </w:t>
      </w:r>
      <w:r w:rsidR="00752BBB">
        <w:t>P</w:t>
      </w:r>
      <w:r w:rsidRPr="00D118EE">
        <w:t xml:space="preserve">referred MP variant (among the six assessed) </w:t>
      </w:r>
      <w:r w:rsidR="00752BBB">
        <w:t>are scenario-</w:t>
      </w:r>
      <w:r w:rsidRPr="00D118EE">
        <w:t xml:space="preserve">, technological </w:t>
      </w:r>
      <w:r w:rsidR="00752BBB">
        <w:t>improvement-</w:t>
      </w:r>
      <w:r w:rsidRPr="00D118EE">
        <w:t xml:space="preserve"> and impact categor</w:t>
      </w:r>
      <w:r w:rsidR="00752BBB">
        <w:t>y-dependent</w:t>
      </w:r>
      <w:r w:rsidRPr="00D118EE">
        <w:t xml:space="preserve"> (see </w:t>
      </w:r>
      <w:r>
        <w:rPr>
          <w:b/>
        </w:rPr>
        <w:t>PhD thesis manuscript, Chapter 4</w:t>
      </w:r>
      <w:r w:rsidRPr="00D118EE">
        <w:t>)</w:t>
      </w:r>
      <w:r>
        <w:fldChar w:fldCharType="begin"/>
      </w:r>
      <w:r w:rsidR="00657D9A">
        <w:instrText xml:space="preserve"> ADDIN ZOTERO_ITEM CSL_CITATION {"citationID":"e4tuT5LP","properties":{"formattedCitation":"\\super 34\\nosupersub{}","plainCitation":"34","noteIndex":0},"citationItems":[{"id":14134,"uris":["http://zotero.org/users/6423791/items/LU22SWNL"],"itemData":{"id":14134,"type":"thesis","event-place":"Toulouse","genre":"PhD","language":"fr","number-of-pages":"555","publisher":"INSA Toulouse","publisher-place":"Toulouse","source":"Root","title":"Transforming residual biomass into food and feed, towards an LCA optimization platform","URL":"https://dataverse.callisto.calmip.univ-toulouse.fr/dataset.xhtml?persistentId=doi:10.48531/JBRU.CALMIP/6NIPVB","author":[{"family":"Javourez","given":"U."}],"accessed":{"date-parts":[["2023",5,16]]},"issued":{"date-parts":[["2023",2,28]]}}}],"schema":"https://github.com/citation-style-language/schema/raw/master/csl-citation.json"} </w:instrText>
      </w:r>
      <w:r>
        <w:fldChar w:fldCharType="separate"/>
      </w:r>
      <w:r w:rsidR="00657D9A" w:rsidRPr="00657D9A">
        <w:rPr>
          <w:rFonts w:ascii="Calibri" w:hAnsi="Calibri" w:cs="Calibri"/>
          <w:szCs w:val="24"/>
          <w:vertAlign w:val="superscript"/>
        </w:rPr>
        <w:t>34</w:t>
      </w:r>
      <w:r>
        <w:fldChar w:fldCharType="end"/>
      </w:r>
      <w:r>
        <w:t>.</w:t>
      </w:r>
    </w:p>
    <w:p w14:paraId="126750FB" w14:textId="77777777" w:rsidR="008B0215" w:rsidRPr="00D118EE" w:rsidRDefault="008B0215" w:rsidP="00D118EE">
      <w:pPr>
        <w:jc w:val="both"/>
      </w:pPr>
    </w:p>
    <w:p w14:paraId="605890A8" w14:textId="358178C6" w:rsidR="00ED24A2" w:rsidRDefault="001C0689" w:rsidP="001C0689">
      <w:pPr>
        <w:pStyle w:val="Titre2"/>
      </w:pPr>
      <w:r>
        <w:t xml:space="preserve">Additional comments for lignocellulosic streams </w:t>
      </w:r>
      <w:r w:rsidR="00CD4412">
        <w:t>valorization</w:t>
      </w:r>
      <w:r w:rsidR="00730700">
        <w:t xml:space="preserve"> </w:t>
      </w:r>
      <w:r>
        <w:t>pathways ranking</w:t>
      </w:r>
    </w:p>
    <w:p w14:paraId="2C6C5F1D" w14:textId="2BEDCCB3" w:rsidR="001C0689" w:rsidRDefault="001C0689" w:rsidP="001C0689">
      <w:pPr>
        <w:jc w:val="both"/>
      </w:pPr>
      <w:r w:rsidRPr="003F70D6">
        <w:t xml:space="preserve">Lignocellulosic residues </w:t>
      </w:r>
      <w:r>
        <w:t xml:space="preserve">are forecasted to play a key role in the decarbonation of energy systems, particularly when it comes to industrial heat production (through e.g. direct combustion in industrial furnaces; </w:t>
      </w:r>
      <w:proofErr w:type="spellStart"/>
      <w:r>
        <w:t>Heat_ind</w:t>
      </w:r>
      <w:proofErr w:type="spellEnd"/>
      <w:r>
        <w:t xml:space="preserve"> or gasification with grid injection; </w:t>
      </w:r>
      <w:proofErr w:type="spellStart"/>
      <w:r>
        <w:t>GA_grid</w:t>
      </w:r>
      <w:proofErr w:type="spellEnd"/>
      <w:r>
        <w:t xml:space="preserve">). Naturally, there is much less GHG credits when substituting a 46 or 11 </w:t>
      </w:r>
      <w:r w:rsidRPr="00045200">
        <w:t>kgCO</w:t>
      </w:r>
      <w:r w:rsidRPr="00045200">
        <w:rPr>
          <w:vertAlign w:val="subscript"/>
        </w:rPr>
        <w:t>2-</w:t>
      </w:r>
      <w:proofErr w:type="gramStart"/>
      <w:r w:rsidRPr="00045200">
        <w:rPr>
          <w:vertAlign w:val="subscript"/>
        </w:rPr>
        <w:t>eq</w:t>
      </w:r>
      <w:r>
        <w:t>.GJ</w:t>
      </w:r>
      <w:proofErr w:type="gramEnd"/>
      <w:r w:rsidRPr="00045200">
        <w:rPr>
          <w:vertAlign w:val="superscript"/>
        </w:rPr>
        <w:t>-1</w:t>
      </w:r>
      <w:r>
        <w:t xml:space="preserve"> heat sources, respectively estimated for the “towards renewable energies” and “high electrification” scenarios, than the 76 </w:t>
      </w:r>
      <w:r w:rsidRPr="00045200">
        <w:t>kgCO</w:t>
      </w:r>
      <w:r w:rsidRPr="00045200">
        <w:rPr>
          <w:vertAlign w:val="subscript"/>
        </w:rPr>
        <w:t>2-eq</w:t>
      </w:r>
      <w:r>
        <w:t>.GJ</w:t>
      </w:r>
      <w:r w:rsidRPr="00045200">
        <w:rPr>
          <w:vertAlign w:val="superscript"/>
        </w:rPr>
        <w:t>-1</w:t>
      </w:r>
      <w:r>
        <w:t xml:space="preserve"> of current natural-gas based heat supplies. This is why the relative performances of wood-to-proteins pathways compared to heat-producing pathways is affected by different energy scenarios (</w:t>
      </w:r>
      <w:r w:rsidRPr="00773C7D">
        <w:rPr>
          <w:b/>
        </w:rPr>
        <w:t xml:space="preserve">Figure </w:t>
      </w:r>
      <w:r>
        <w:rPr>
          <w:b/>
        </w:rPr>
        <w:t>3</w:t>
      </w:r>
      <w:r>
        <w:t xml:space="preserve"> of the main manuscript). Notably, </w:t>
      </w:r>
      <w:proofErr w:type="spellStart"/>
      <w:r>
        <w:t>Myco</w:t>
      </w:r>
      <w:proofErr w:type="spellEnd"/>
      <w:r>
        <w:t xml:space="preserve"> and </w:t>
      </w:r>
      <w:proofErr w:type="spellStart"/>
      <w:r>
        <w:t>MP_syngas</w:t>
      </w:r>
      <w:proofErr w:type="spellEnd"/>
      <w:r>
        <w:t xml:space="preserve"> pathways’ GHG performances are slightly lower under a high electrification scenario (as these are net energy producers due to sensible heat and/or co-products recovery), while </w:t>
      </w:r>
      <w:proofErr w:type="spellStart"/>
      <w:r>
        <w:t>MP_meths</w:t>
      </w:r>
      <w:proofErr w:type="spellEnd"/>
      <w:r>
        <w:t xml:space="preserve"> and </w:t>
      </w:r>
      <w:proofErr w:type="spellStart"/>
      <w:r>
        <w:t>MP_shifts</w:t>
      </w:r>
      <w:proofErr w:type="spellEnd"/>
      <w:r>
        <w:t xml:space="preserve"> benefit from a decarbonized energy scenario (for being net energy consumers; </w:t>
      </w:r>
      <w:r w:rsidRPr="002A5859">
        <w:rPr>
          <w:b/>
        </w:rPr>
        <w:t xml:space="preserve">Figure </w:t>
      </w:r>
      <w:r>
        <w:rPr>
          <w:b/>
        </w:rPr>
        <w:t>3</w:t>
      </w:r>
      <w:r>
        <w:t>). Different marginal power supplies (ranging from 16 to 60 gCO</w:t>
      </w:r>
      <w:r w:rsidRPr="002A5859">
        <w:rPr>
          <w:vertAlign w:val="subscript"/>
        </w:rPr>
        <w:t>2</w:t>
      </w:r>
      <w:r>
        <w:t>-</w:t>
      </w:r>
      <w:proofErr w:type="gramStart"/>
      <w:r>
        <w:lastRenderedPageBreak/>
        <w:t>eq.kWh</w:t>
      </w:r>
      <w:proofErr w:type="gramEnd"/>
      <w:r w:rsidRPr="002A5859">
        <w:rPr>
          <w:vertAlign w:val="superscript"/>
        </w:rPr>
        <w:t>-</w:t>
      </w:r>
      <w:r w:rsidRPr="004C4845">
        <w:rPr>
          <w:vertAlign w:val="superscript"/>
        </w:rPr>
        <w:t>1</w:t>
      </w:r>
      <w:r>
        <w:t xml:space="preserve"> over the two scenarios) have overall limited effects on the model’s outcomes, which are only tractable for high power-consuming pathways (here, </w:t>
      </w:r>
      <w:proofErr w:type="spellStart"/>
      <w:r>
        <w:t>MP_meths</w:t>
      </w:r>
      <w:proofErr w:type="spellEnd"/>
      <w:r>
        <w:t xml:space="preserve"> and </w:t>
      </w:r>
      <w:proofErr w:type="spellStart"/>
      <w:r>
        <w:t>GA_grid</w:t>
      </w:r>
      <w:proofErr w:type="spellEnd"/>
      <w:r>
        <w:t xml:space="preserve"> for being based on electrolysis).</w:t>
      </w:r>
    </w:p>
    <w:p w14:paraId="18E51D90" w14:textId="684DDDAF" w:rsidR="00730700" w:rsidRDefault="00730700" w:rsidP="00730700">
      <w:pPr>
        <w:jc w:val="both"/>
      </w:pPr>
      <w:r>
        <w:t xml:space="preserve">MP production from lignocellulosic residues was found as the best option to mitigate climate change under </w:t>
      </w:r>
      <w:r w:rsidR="003D65A2">
        <w:t xml:space="preserve">ongoing </w:t>
      </w:r>
      <w:r>
        <w:t>food system</w:t>
      </w:r>
      <w:r w:rsidR="003D65A2">
        <w:t>s</w:t>
      </w:r>
      <w:r>
        <w:t xml:space="preserve"> tr</w:t>
      </w:r>
      <w:r w:rsidR="003D65A2">
        <w:t>end</w:t>
      </w:r>
      <w:r>
        <w:t xml:space="preserve">s (corresponds to ca. 4.5 </w:t>
      </w:r>
      <w:r w:rsidRPr="00BE063D">
        <w:t>kgCO</w:t>
      </w:r>
      <w:r w:rsidRPr="00BE063D">
        <w:rPr>
          <w:vertAlign w:val="subscript"/>
        </w:rPr>
        <w:t>2</w:t>
      </w:r>
      <w:r w:rsidRPr="00BE063D">
        <w:t>-</w:t>
      </w:r>
      <w:proofErr w:type="gramStart"/>
      <w:r w:rsidRPr="00BE063D">
        <w:t>eq.kg</w:t>
      </w:r>
      <w:r w:rsidRPr="00BE063D">
        <w:rPr>
          <w:vertAlign w:val="subscript"/>
        </w:rPr>
        <w:t>DM</w:t>
      </w:r>
      <w:proofErr w:type="gramEnd"/>
      <w:r w:rsidRPr="00BE063D">
        <w:rPr>
          <w:vertAlign w:val="superscript"/>
        </w:rPr>
        <w:t>-1</w:t>
      </w:r>
      <w:r>
        <w:t xml:space="preserve"> marginal protein feed</w:t>
      </w:r>
      <w:r w:rsidR="003D65A2">
        <w:t>s</w:t>
      </w:r>
      <w:r>
        <w:t xml:space="preserve"> supplies) within a high electrification energy scenario</w:t>
      </w:r>
      <w:r w:rsidR="003D65A2">
        <w:t>,</w:t>
      </w:r>
      <w:r>
        <w:t xml:space="preserve"> over more than 95% of the technological improvements combinations assessed (</w:t>
      </w:r>
      <w:r w:rsidRPr="00BE063D">
        <w:rPr>
          <w:b/>
        </w:rPr>
        <w:t xml:space="preserve">Figure </w:t>
      </w:r>
      <w:r>
        <w:rPr>
          <w:b/>
        </w:rPr>
        <w:t>2</w:t>
      </w:r>
      <w:r>
        <w:t xml:space="preserve">). In this case, the best GHG emissions mitigating pathways become </w:t>
      </w:r>
      <w:proofErr w:type="spellStart"/>
      <w:r>
        <w:t>Myco_food</w:t>
      </w:r>
      <w:proofErr w:type="spellEnd"/>
      <w:r>
        <w:t xml:space="preserve"> (over ca. 40% of the combinations) and </w:t>
      </w:r>
      <w:proofErr w:type="spellStart"/>
      <w:r>
        <w:t>Heat_ind</w:t>
      </w:r>
      <w:proofErr w:type="spellEnd"/>
      <w:r>
        <w:t xml:space="preserve"> (50%). Moreover, the 10% of the technological combinations where MP was found as the best pathway always involved the most pessimistic improvements for technologies associated with </w:t>
      </w:r>
      <w:proofErr w:type="spellStart"/>
      <w:r>
        <w:t>Myco</w:t>
      </w:r>
      <w:proofErr w:type="spellEnd"/>
      <w:r>
        <w:t xml:space="preserve"> and Heat pathways. In other words, under ongoing food and energy systems tr</w:t>
      </w:r>
      <w:r w:rsidR="003D65A2">
        <w:t>ends</w:t>
      </w:r>
      <w:r>
        <w:t xml:space="preserve">, MP would need to bet on the failure of the R&amp;D of both pathways to win the climate change mitigation prize. </w:t>
      </w:r>
      <w:r w:rsidRPr="00875D0F">
        <w:t xml:space="preserve">The threshold, in terms of climate </w:t>
      </w:r>
      <w:r w:rsidR="003D65A2">
        <w:t>scores</w:t>
      </w:r>
      <w:r w:rsidRPr="00875D0F">
        <w:t xml:space="preserve"> of marginal feed production, over which </w:t>
      </w:r>
      <w:r>
        <w:t>wood</w:t>
      </w:r>
      <w:r w:rsidRPr="00875D0F">
        <w:t>-to-</w:t>
      </w:r>
      <w:r>
        <w:t>proteins</w:t>
      </w:r>
      <w:r w:rsidRPr="00875D0F">
        <w:t xml:space="preserve"> pathways outperform </w:t>
      </w:r>
      <w:r>
        <w:t>wood</w:t>
      </w:r>
      <w:r w:rsidRPr="00875D0F">
        <w:t xml:space="preserve">-to-energy pathways (in occurrence over the span of future technological improvements) further increases with the </w:t>
      </w:r>
      <w:r w:rsidR="003D65A2">
        <w:t>climate score</w:t>
      </w:r>
      <w:r w:rsidRPr="00875D0F">
        <w:t xml:space="preserve"> of marginal energy production.</w:t>
      </w:r>
      <w:r>
        <w:t xml:space="preserve"> The previously described distribution of the best performing pathways under the high electrification energy scenario for a 2.5-3 </w:t>
      </w:r>
      <w:r w:rsidRPr="00BE063D">
        <w:t>kgCO</w:t>
      </w:r>
      <w:r w:rsidRPr="00BE063D">
        <w:rPr>
          <w:vertAlign w:val="subscript"/>
        </w:rPr>
        <w:t>2</w:t>
      </w:r>
      <w:r w:rsidRPr="00BE063D">
        <w:t>-</w:t>
      </w:r>
      <w:proofErr w:type="gramStart"/>
      <w:r w:rsidRPr="00BE063D">
        <w:t>eq.kg</w:t>
      </w:r>
      <w:r w:rsidRPr="00BE063D">
        <w:rPr>
          <w:vertAlign w:val="subscript"/>
        </w:rPr>
        <w:t>DM</w:t>
      </w:r>
      <w:proofErr w:type="gramEnd"/>
      <w:r w:rsidRPr="00BE063D">
        <w:rPr>
          <w:vertAlign w:val="superscript"/>
        </w:rPr>
        <w:t>-1</w:t>
      </w:r>
      <w:r>
        <w:t xml:space="preserve"> marginal protein feed supplies, would be achieved at 4.5</w:t>
      </w:r>
      <w:r w:rsidRPr="008F3755">
        <w:t xml:space="preserve"> </w:t>
      </w:r>
      <w:r w:rsidRPr="00BE063D">
        <w:t>kgCO</w:t>
      </w:r>
      <w:r w:rsidRPr="00BE063D">
        <w:rPr>
          <w:vertAlign w:val="subscript"/>
        </w:rPr>
        <w:t>2</w:t>
      </w:r>
      <w:r w:rsidRPr="00BE063D">
        <w:t>-eq.kg</w:t>
      </w:r>
      <w:r w:rsidRPr="00BE063D">
        <w:rPr>
          <w:vertAlign w:val="subscript"/>
        </w:rPr>
        <w:t>DM</w:t>
      </w:r>
      <w:r w:rsidRPr="00BE063D">
        <w:rPr>
          <w:vertAlign w:val="superscript"/>
        </w:rPr>
        <w:t>-</w:t>
      </w:r>
      <w:r>
        <w:rPr>
          <w:vertAlign w:val="superscript"/>
        </w:rPr>
        <w:t>1</w:t>
      </w:r>
      <w:r>
        <w:t xml:space="preserve"> under the “towards renewable energies” scenario (</w:t>
      </w:r>
      <w:r w:rsidRPr="008F3755">
        <w:rPr>
          <w:b/>
        </w:rPr>
        <w:t xml:space="preserve">Figure </w:t>
      </w:r>
      <w:r>
        <w:rPr>
          <w:b/>
        </w:rPr>
        <w:t>2</w:t>
      </w:r>
      <w:r>
        <w:t xml:space="preserve">). Under this energy scenario, at 2.5-3 </w:t>
      </w:r>
      <w:r w:rsidRPr="00BE063D">
        <w:t>kgCO</w:t>
      </w:r>
      <w:r w:rsidRPr="00BE063D">
        <w:rPr>
          <w:vertAlign w:val="subscript"/>
        </w:rPr>
        <w:t>2</w:t>
      </w:r>
      <w:r w:rsidRPr="00BE063D">
        <w:t>-</w:t>
      </w:r>
      <w:proofErr w:type="gramStart"/>
      <w:r w:rsidRPr="00BE063D">
        <w:t>eq.kg</w:t>
      </w:r>
      <w:r w:rsidRPr="00BE063D">
        <w:rPr>
          <w:vertAlign w:val="subscript"/>
        </w:rPr>
        <w:t>DM</w:t>
      </w:r>
      <w:proofErr w:type="gramEnd"/>
      <w:r w:rsidRPr="00BE063D">
        <w:rPr>
          <w:vertAlign w:val="superscript"/>
        </w:rPr>
        <w:t>-1</w:t>
      </w:r>
      <w:r>
        <w:t xml:space="preserve"> marginal protein feed supplies, </w:t>
      </w:r>
      <w:proofErr w:type="spellStart"/>
      <w:r>
        <w:t>Heat_ind</w:t>
      </w:r>
      <w:proofErr w:type="spellEnd"/>
      <w:r>
        <w:t xml:space="preserve"> pathway is the best option for climate change over ca. 80-95% of the future technological combinations assessed (range over the three lignocellulosic case studies: hardwood residues, sawmill waste and wheat straw). The reduced windows (i.e. the 5-20% of technological combinations) for </w:t>
      </w:r>
      <w:proofErr w:type="spellStart"/>
      <w:r>
        <w:t>Myco_food</w:t>
      </w:r>
      <w:proofErr w:type="spellEnd"/>
      <w:r>
        <w:t xml:space="preserve"> to outperform </w:t>
      </w:r>
      <w:proofErr w:type="spellStart"/>
      <w:r>
        <w:t>Heat_ind</w:t>
      </w:r>
      <w:proofErr w:type="spellEnd"/>
      <w:r>
        <w:t xml:space="preserve"> in this energy scenario implies this pathway successfully unlocks key technological challenges such as the scaled bioconversion of </w:t>
      </w:r>
      <w:proofErr w:type="spellStart"/>
      <w:r>
        <w:t>hemicellulosic</w:t>
      </w:r>
      <w:proofErr w:type="spellEnd"/>
      <w:r>
        <w:t xml:space="preserve"> (C</w:t>
      </w:r>
      <w:r w:rsidRPr="00355CCE">
        <w:rPr>
          <w:vertAlign w:val="subscript"/>
        </w:rPr>
        <w:t>5</w:t>
      </w:r>
      <w:r>
        <w:t>) sugars by fungus, while this technological outbreak is not necessarily required under the high electrification energy scenario (</w:t>
      </w:r>
      <w:r w:rsidRPr="00355CCE">
        <w:rPr>
          <w:b/>
        </w:rPr>
        <w:t xml:space="preserve">Figure </w:t>
      </w:r>
      <w:r>
        <w:rPr>
          <w:b/>
        </w:rPr>
        <w:t>1</w:t>
      </w:r>
      <w:r w:rsidRPr="00355CCE">
        <w:rPr>
          <w:b/>
        </w:rPr>
        <w:t>b</w:t>
      </w:r>
      <w:r>
        <w:t>).</w:t>
      </w:r>
    </w:p>
    <w:p w14:paraId="54899B26" w14:textId="209A6EC0" w:rsidR="001C0689" w:rsidRDefault="001C0689" w:rsidP="001C0689">
      <w:pPr>
        <w:jc w:val="both"/>
      </w:pPr>
      <w:r>
        <w:t>Results were also contrasted for the rest of the impact categories, as the large savings induced by the substitution of marginal food and feed production regarding water use, land use and eutrophication do not always compensate for the relatively low conversion yield of wood-to-proteins pathways, ranging 50-350 kg</w:t>
      </w:r>
      <w:r>
        <w:rPr>
          <w:vertAlign w:val="subscript"/>
        </w:rPr>
        <w:t>DM</w:t>
      </w:r>
      <w:r>
        <w:t>.t</w:t>
      </w:r>
      <w:r w:rsidRPr="002D0A62">
        <w:rPr>
          <w:vertAlign w:val="subscript"/>
        </w:rPr>
        <w:t>ww</w:t>
      </w:r>
      <w:r w:rsidRPr="002D0A62">
        <w:rPr>
          <w:vertAlign w:val="superscript"/>
        </w:rPr>
        <w:t>-1</w:t>
      </w:r>
      <w:r>
        <w:t xml:space="preserve"> (MP variants) and 40-70 kg</w:t>
      </w:r>
      <w:r>
        <w:rPr>
          <w:vertAlign w:val="subscript"/>
        </w:rPr>
        <w:t>DM</w:t>
      </w:r>
      <w:r>
        <w:t>.t</w:t>
      </w:r>
      <w:r w:rsidRPr="002D0A62">
        <w:rPr>
          <w:vertAlign w:val="subscript"/>
        </w:rPr>
        <w:t>ww</w:t>
      </w:r>
      <w:r w:rsidRPr="002D0A62">
        <w:rPr>
          <w:vertAlign w:val="superscript"/>
        </w:rPr>
        <w:t>-1</w:t>
      </w:r>
      <w:r>
        <w:t xml:space="preserve"> (</w:t>
      </w:r>
      <w:proofErr w:type="spellStart"/>
      <w:r>
        <w:t>Myco</w:t>
      </w:r>
      <w:proofErr w:type="spellEnd"/>
      <w:r>
        <w:t xml:space="preserve"> variants). For example, the low land use impacts of nuclear energy (high electrification scenario) positions </w:t>
      </w:r>
      <w:proofErr w:type="spellStart"/>
      <w:r>
        <w:t>MP_meths</w:t>
      </w:r>
      <w:proofErr w:type="spellEnd"/>
      <w:r>
        <w:t xml:space="preserve"> as the best performing pathways for this impact category, regardless of future food systems </w:t>
      </w:r>
      <w:r w:rsidR="003D65A2">
        <w:t>scenarios</w:t>
      </w:r>
      <w:r>
        <w:t xml:space="preserve">. Indeed, </w:t>
      </w:r>
      <w:proofErr w:type="spellStart"/>
      <w:r>
        <w:t>MP_meths</w:t>
      </w:r>
      <w:proofErr w:type="spellEnd"/>
      <w:r>
        <w:t xml:space="preserve"> displays the best conversion yield wood-to-proteins conversion yield thanks to electrolysis assistance</w:t>
      </w:r>
      <w:r w:rsidR="00730700">
        <w:fldChar w:fldCharType="begin"/>
      </w:r>
      <w:r w:rsidR="00CD084F">
        <w:instrText xml:space="preserve"> ADDIN ZOTERO_ITEM CSL_CITATION {"citationID":"lLpShI7c","properties":{"formattedCitation":"\\super 1\\nosupersub{}","plainCitation":"1","noteIndex":0},"citationItems":[{"id":14334,"uris":["http://zotero.org/users/6423791/items/VWPZYH5Z"],"itemData":{"id":14334,"type":"article","DOI":"https://doi.org/10.21203/rs.3.rs-3671083/v1","genre":"preprint","publisher":"Research Square","title":"Waste reintroduced in the kitchen: life cycles inventories of representative waste-to-nutrition pathways","author":[{"family":"Javourez","given":"U."},{"family":"Tiruta-Barna","given":"L."},{"family":"Hamelin","given":"L."}],"issued":{"date-parts":[["2023",11,20]]}}}],"schema":"https://github.com/citation-style-language/schema/raw/master/csl-citation.json"} </w:instrText>
      </w:r>
      <w:r w:rsidR="00730700">
        <w:fldChar w:fldCharType="separate"/>
      </w:r>
      <w:r w:rsidR="00730700" w:rsidRPr="00730700">
        <w:rPr>
          <w:rFonts w:ascii="Calibri" w:hAnsi="Calibri" w:cs="Calibri"/>
          <w:szCs w:val="24"/>
          <w:vertAlign w:val="superscript"/>
        </w:rPr>
        <w:t>1</w:t>
      </w:r>
      <w:r w:rsidR="00730700">
        <w:fldChar w:fldCharType="end"/>
      </w:r>
      <w:r>
        <w:t xml:space="preserve">. Yet, the dominant position of </w:t>
      </w:r>
      <w:proofErr w:type="spellStart"/>
      <w:r>
        <w:t>MP_meths</w:t>
      </w:r>
      <w:proofErr w:type="spellEnd"/>
      <w:r>
        <w:t xml:space="preserve"> in terms of land use savings is not ensured under energy scenarios contemplating the use of (land-dependent) wood pellets and solar panels for energy production (towards renewable energies scenario). Indeed, nuclear-based power generates ca. 98% less land use impacts as a power mix based on renewable power. The same happens with industrial heat services the more wood pellets are removed from the marginal mix of suppliers. In this energy systems scenario, </w:t>
      </w:r>
      <w:proofErr w:type="spellStart"/>
      <w:r>
        <w:t>Heat_ind</w:t>
      </w:r>
      <w:proofErr w:type="spellEnd"/>
      <w:r>
        <w:t xml:space="preserve"> would always be the best option to manage lignocellulosic residues regarding land use impacts (</w:t>
      </w:r>
      <w:r w:rsidRPr="009F76A8">
        <w:rPr>
          <w:b/>
        </w:rPr>
        <w:t xml:space="preserve">Figure </w:t>
      </w:r>
      <w:r w:rsidR="00730700">
        <w:rPr>
          <w:b/>
        </w:rPr>
        <w:t>1</w:t>
      </w:r>
      <w:r w:rsidRPr="009F76A8">
        <w:rPr>
          <w:b/>
        </w:rPr>
        <w:t>b</w:t>
      </w:r>
      <w:r>
        <w:t xml:space="preserve">), as it avoids the deployment of land-dependent bioenergy production. Trends are reversed for the water use impact category given the large impacts (ca. +300%) of nuclear power production compared to renewables. This means that, from a water use perspective, pathways avoiding energy production are favored within a high electrification energy scenario. For this impact category, the best </w:t>
      </w:r>
      <w:r w:rsidR="003D65A2">
        <w:t>valorization</w:t>
      </w:r>
      <w:r>
        <w:t xml:space="preserve"> pathways were found to be </w:t>
      </w:r>
      <w:proofErr w:type="spellStart"/>
      <w:r>
        <w:t>GA_grid</w:t>
      </w:r>
      <w:proofErr w:type="spellEnd"/>
      <w:r>
        <w:t xml:space="preserve"> and </w:t>
      </w:r>
      <w:proofErr w:type="spellStart"/>
      <w:r>
        <w:t>MP_meths</w:t>
      </w:r>
      <w:proofErr w:type="spellEnd"/>
      <w:r>
        <w:t xml:space="preserve"> (which are the only ones involving electrolysis), provided at least 20% of co-produced oxygen is reused. This is due to the large water use benefits of avoiding conventional (cryogenic) oxygen production, as this requires as much as 80 </w:t>
      </w:r>
      <w:proofErr w:type="gramStart"/>
      <w:r>
        <w:t>L.kg</w:t>
      </w:r>
      <w:r w:rsidRPr="005E3C59">
        <w:rPr>
          <w:vertAlign w:val="subscript"/>
        </w:rPr>
        <w:t>O</w:t>
      </w:r>
      <w:proofErr w:type="gramEnd"/>
      <w:r w:rsidRPr="005E3C59">
        <w:rPr>
          <w:vertAlign w:val="subscript"/>
        </w:rPr>
        <w:t>2</w:t>
      </w:r>
      <w:r w:rsidRPr="005E3C59">
        <w:rPr>
          <w:vertAlign w:val="superscript"/>
        </w:rPr>
        <w:t>-1</w:t>
      </w:r>
      <w:r>
        <w:t xml:space="preserve"> according to the background database. Yet, </w:t>
      </w:r>
      <w:proofErr w:type="spellStart"/>
      <w:r>
        <w:t>MP_meths</w:t>
      </w:r>
      <w:proofErr w:type="spellEnd"/>
      <w:r>
        <w:t xml:space="preserve"> becomes the </w:t>
      </w:r>
      <w:r>
        <w:lastRenderedPageBreak/>
        <w:t>clear winner in terms of water use if the marginal (</w:t>
      </w:r>
      <w:r w:rsidR="003D65A2">
        <w:t>substituted</w:t>
      </w:r>
      <w:r>
        <w:t xml:space="preserve">) feed supplies involve irrigated crops (here, corresponds to </w:t>
      </w:r>
      <w:r w:rsidR="003D65A2">
        <w:t>ongoing</w:t>
      </w:r>
      <w:r>
        <w:t xml:space="preserve"> food systems </w:t>
      </w:r>
      <w:r w:rsidR="003D65A2">
        <w:t>trends or worst scenarios</w:t>
      </w:r>
      <w:r w:rsidRPr="003D65A2">
        <w:t xml:space="preserve">; </w:t>
      </w:r>
      <w:r w:rsidR="00730700" w:rsidRPr="003D65A2">
        <w:rPr>
          <w:b/>
        </w:rPr>
        <w:t>extended f</w:t>
      </w:r>
      <w:r w:rsidRPr="003D65A2">
        <w:rPr>
          <w:b/>
        </w:rPr>
        <w:t>igure 3</w:t>
      </w:r>
      <w:r w:rsidRPr="003D65A2">
        <w:t>).</w:t>
      </w:r>
    </w:p>
    <w:p w14:paraId="5F976CC0" w14:textId="77777777" w:rsidR="008B0215" w:rsidRDefault="008B0215" w:rsidP="001C0689">
      <w:pPr>
        <w:jc w:val="both"/>
      </w:pPr>
    </w:p>
    <w:p w14:paraId="2CB89CB6" w14:textId="0ADFC675" w:rsidR="00C2709E" w:rsidRDefault="00C2709E" w:rsidP="00C2709E">
      <w:pPr>
        <w:pStyle w:val="Titre2"/>
      </w:pPr>
      <w:r>
        <w:t xml:space="preserve">Additional comments for nutrients-rich wastes </w:t>
      </w:r>
      <w:r w:rsidR="003D65A2">
        <w:t>valorization</w:t>
      </w:r>
      <w:r>
        <w:t xml:space="preserve"> pathways ranking</w:t>
      </w:r>
    </w:p>
    <w:p w14:paraId="05A5ABFB" w14:textId="4F33FA02" w:rsidR="00C2709E" w:rsidRDefault="00C2709E" w:rsidP="00C2709E">
      <w:pPr>
        <w:jc w:val="both"/>
      </w:pPr>
      <w:r>
        <w:t xml:space="preserve">The relative net climate benefits of MP variants shrinks when the climate </w:t>
      </w:r>
      <w:r w:rsidR="003D65A2">
        <w:t>scores</w:t>
      </w:r>
      <w:r>
        <w:t xml:space="preserve"> of marginal feed protein supplies </w:t>
      </w:r>
      <w:r w:rsidR="003D65A2">
        <w:t>fall</w:t>
      </w:r>
      <w:r>
        <w:t xml:space="preserve">s under ca. 4.0 </w:t>
      </w:r>
      <w:r w:rsidRPr="00BE063D">
        <w:t>kgCO</w:t>
      </w:r>
      <w:r w:rsidRPr="00BE063D">
        <w:rPr>
          <w:vertAlign w:val="subscript"/>
        </w:rPr>
        <w:t>2</w:t>
      </w:r>
      <w:r w:rsidRPr="00BE063D">
        <w:t>-</w:t>
      </w:r>
      <w:proofErr w:type="gramStart"/>
      <w:r w:rsidRPr="00BE063D">
        <w:t>eq.kg</w:t>
      </w:r>
      <w:r w:rsidRPr="00BE063D">
        <w:rPr>
          <w:vertAlign w:val="subscript"/>
        </w:rPr>
        <w:t>DM</w:t>
      </w:r>
      <w:proofErr w:type="gramEnd"/>
      <w:r w:rsidRPr="00BE063D">
        <w:rPr>
          <w:vertAlign w:val="superscript"/>
        </w:rPr>
        <w:t>-1</w:t>
      </w:r>
      <w:r>
        <w:t xml:space="preserve"> (</w:t>
      </w:r>
      <w:r w:rsidRPr="002B6FE3">
        <w:rPr>
          <w:b/>
        </w:rPr>
        <w:t xml:space="preserve">Figure </w:t>
      </w:r>
      <w:r>
        <w:rPr>
          <w:b/>
        </w:rPr>
        <w:t>2</w:t>
      </w:r>
      <w:r>
        <w:t xml:space="preserve">), trend observed for both contrasted energy scenarios assessed. Under the premises of a transition towards sustainable food systems, the preferred </w:t>
      </w:r>
      <w:r w:rsidR="003D65A2">
        <w:t>valorization</w:t>
      </w:r>
      <w:r>
        <w:t xml:space="preserve"> pathway to deal with nutrient-rich wastes would oscillate between composting and energy-oriented anaerobic digestion, depending on the </w:t>
      </w:r>
      <w:r w:rsidR="003D65A2">
        <w:t>LCA scores</w:t>
      </w:r>
      <w:r>
        <w:t xml:space="preserve"> of marginal energy supplies. Under the high electrification scenario, incentives to deploy anaerobic digestion for energy purposes decrease, and MP production should reach its best forecasted technological performances to evict composting from positioning as the best pathway (</w:t>
      </w:r>
      <w:r w:rsidRPr="00B41144">
        <w:rPr>
          <w:b/>
        </w:rPr>
        <w:t xml:space="preserve">Figure </w:t>
      </w:r>
      <w:r>
        <w:rPr>
          <w:b/>
        </w:rPr>
        <w:t>1</w:t>
      </w:r>
      <w:r w:rsidRPr="00B41144">
        <w:rPr>
          <w:b/>
        </w:rPr>
        <w:t>c</w:t>
      </w:r>
      <w:r>
        <w:t xml:space="preserve">). Achieving such technological milestones would still not be enough if marginal industrial heat supplies are still loaded with more than 40 </w:t>
      </w:r>
      <w:r w:rsidRPr="00045200">
        <w:t>kgCO</w:t>
      </w:r>
      <w:r w:rsidRPr="00045200">
        <w:rPr>
          <w:vertAlign w:val="subscript"/>
        </w:rPr>
        <w:t>2-</w:t>
      </w:r>
      <w:proofErr w:type="gramStart"/>
      <w:r w:rsidRPr="00045200">
        <w:rPr>
          <w:vertAlign w:val="subscript"/>
        </w:rPr>
        <w:t>eq</w:t>
      </w:r>
      <w:r>
        <w:t>.GJ</w:t>
      </w:r>
      <w:proofErr w:type="gramEnd"/>
      <w:r w:rsidRPr="00045200">
        <w:rPr>
          <w:vertAlign w:val="superscript"/>
        </w:rPr>
        <w:t>-1</w:t>
      </w:r>
      <w:r>
        <w:t xml:space="preserve"> (</w:t>
      </w:r>
      <w:r w:rsidR="003D65A2">
        <w:t xml:space="preserve">e.g. in the </w:t>
      </w:r>
      <w:r>
        <w:t xml:space="preserve">towards renewable energies scenario). In this case, </w:t>
      </w:r>
      <w:proofErr w:type="spellStart"/>
      <w:r>
        <w:t>AD_grid</w:t>
      </w:r>
      <w:proofErr w:type="spellEnd"/>
      <w:r>
        <w:t xml:space="preserve"> (anaerobic digestion with grid injection and biomethane valorization as industrial heat) would always be the best option to mitigate climate change, provided state-of-the-art facilities (</w:t>
      </w:r>
      <w:r w:rsidRPr="00AF02DF">
        <w:rPr>
          <w:b/>
        </w:rPr>
        <w:t xml:space="preserve">Figure </w:t>
      </w:r>
      <w:r>
        <w:rPr>
          <w:b/>
        </w:rPr>
        <w:t>1</w:t>
      </w:r>
      <w:r w:rsidRPr="00AF02DF">
        <w:rPr>
          <w:b/>
        </w:rPr>
        <w:t>c</w:t>
      </w:r>
      <w:r>
        <w:t xml:space="preserve">). Else, the relative climate performances of AD and composting pathways are directly related </w:t>
      </w:r>
      <w:r w:rsidR="003D65A2">
        <w:t>to t</w:t>
      </w:r>
      <w:r>
        <w:t xml:space="preserve">he </w:t>
      </w:r>
      <w:r w:rsidR="003D65A2">
        <w:t xml:space="preserve">contrasted </w:t>
      </w:r>
      <w:r>
        <w:t xml:space="preserve">nitrogen emission factors of digestate and compost, particularly </w:t>
      </w:r>
      <w:r w:rsidR="003D65A2">
        <w:t xml:space="preserve">for </w:t>
      </w:r>
      <w:r>
        <w:t>land spreading nitrous oxides. Notably, MP production on upgraded biomethane (</w:t>
      </w:r>
      <w:proofErr w:type="spellStart"/>
      <w:r>
        <w:t>MP_biometh</w:t>
      </w:r>
      <w:proofErr w:type="spellEnd"/>
      <w:r>
        <w:t xml:space="preserve">) would always outperform the rest of the MP variants provided </w:t>
      </w:r>
      <w:proofErr w:type="spellStart"/>
      <w:r w:rsidRPr="003F5DA8">
        <w:rPr>
          <w:i/>
        </w:rPr>
        <w:t>Methylococcus</w:t>
      </w:r>
      <w:proofErr w:type="spellEnd"/>
      <w:r w:rsidRPr="003F5DA8">
        <w:rPr>
          <w:i/>
        </w:rPr>
        <w:t xml:space="preserve"> </w:t>
      </w:r>
      <w:proofErr w:type="spellStart"/>
      <w:r w:rsidRPr="003F5DA8">
        <w:rPr>
          <w:i/>
        </w:rPr>
        <w:t>Capsulatus</w:t>
      </w:r>
      <w:proofErr w:type="spellEnd"/>
      <w:r>
        <w:t xml:space="preserve"> conversion yield achieves at least 0.9 g</w:t>
      </w:r>
      <w:r>
        <w:rPr>
          <w:vertAlign w:val="subscript"/>
        </w:rPr>
        <w:t>OM</w:t>
      </w:r>
      <w:r>
        <w:t>.g</w:t>
      </w:r>
      <w:r>
        <w:rPr>
          <w:vertAlign w:val="subscript"/>
        </w:rPr>
        <w:t>CH4</w:t>
      </w:r>
      <w:r w:rsidRPr="00656CAE">
        <w:rPr>
          <w:vertAlign w:val="superscript"/>
        </w:rPr>
        <w:t>-1</w:t>
      </w:r>
      <w:r>
        <w:t xml:space="preserve"> and methanation losses are limited below 1% of input biogas (</w:t>
      </w:r>
      <w:r w:rsidRPr="00C2709E">
        <w:t xml:space="preserve">see </w:t>
      </w:r>
      <w:r>
        <w:rPr>
          <w:b/>
        </w:rPr>
        <w:t>PhD thesis manuscript</w:t>
      </w:r>
      <w:r>
        <w:t>)</w:t>
      </w:r>
      <w:r>
        <w:fldChar w:fldCharType="begin"/>
      </w:r>
      <w:r w:rsidR="00657D9A">
        <w:instrText xml:space="preserve"> ADDIN ZOTERO_ITEM CSL_CITATION {"citationID":"QQx0T3Hr","properties":{"formattedCitation":"\\super 34\\nosupersub{}","plainCitation":"34","noteIndex":0},"citationItems":[{"id":14134,"uris":["http://zotero.org/users/6423791/items/LU22SWNL"],"itemData":{"id":14134,"type":"thesis","event-place":"Toulouse","genre":"PhD","language":"fr","number-of-pages":"555","publisher":"INSA Toulouse","publisher-place":"Toulouse","source":"Root","title":"Transforming residual biomass into food and feed, towards an LCA optimization platform","URL":"https://dataverse.callisto.calmip.univ-toulouse.fr/dataset.xhtml?persistentId=doi:10.48531/JBRU.CALMIP/6NIPVB","author":[{"family":"Javourez","given":"U."}],"accessed":{"date-parts":[["2023",5,16]]},"issued":{"date-parts":[["2023",2,28]]}}}],"schema":"https://github.com/citation-style-language/schema/raw/master/csl-citation.json"} </w:instrText>
      </w:r>
      <w:r>
        <w:fldChar w:fldCharType="separate"/>
      </w:r>
      <w:r w:rsidR="00657D9A" w:rsidRPr="00657D9A">
        <w:rPr>
          <w:rFonts w:ascii="Calibri" w:hAnsi="Calibri" w:cs="Calibri"/>
          <w:szCs w:val="24"/>
          <w:vertAlign w:val="superscript"/>
        </w:rPr>
        <w:t>34</w:t>
      </w:r>
      <w:r>
        <w:fldChar w:fldCharType="end"/>
      </w:r>
      <w:r>
        <w:t>.</w:t>
      </w:r>
    </w:p>
    <w:p w14:paraId="180B0D06" w14:textId="77777777" w:rsidR="008B0215" w:rsidRDefault="008B0215" w:rsidP="00C2709E">
      <w:pPr>
        <w:jc w:val="both"/>
      </w:pPr>
    </w:p>
    <w:p w14:paraId="718684A1" w14:textId="55D515BB" w:rsidR="00C2709E" w:rsidRDefault="00C2709E" w:rsidP="00C2709E">
      <w:pPr>
        <w:pStyle w:val="Titre2"/>
      </w:pPr>
      <w:r>
        <w:t xml:space="preserve">Additional comments for leafy residual streams </w:t>
      </w:r>
      <w:r w:rsidR="003D65A2">
        <w:t>valorization</w:t>
      </w:r>
      <w:r>
        <w:t xml:space="preserve"> pathways ranking</w:t>
      </w:r>
    </w:p>
    <w:p w14:paraId="31AEC378" w14:textId="3A753D10" w:rsidR="00C2709E" w:rsidRDefault="00C2709E" w:rsidP="00C2709E">
      <w:pPr>
        <w:jc w:val="both"/>
      </w:pPr>
      <w:r>
        <w:t xml:space="preserve">Over most scenarios, the best </w:t>
      </w:r>
      <w:r w:rsidR="003D65A2">
        <w:t>valorization pathway</w:t>
      </w:r>
      <w:r>
        <w:t xml:space="preserve"> for </w:t>
      </w:r>
      <w:proofErr w:type="spellStart"/>
      <w:r>
        <w:t>sugarbeet</w:t>
      </w:r>
      <w:proofErr w:type="spellEnd"/>
      <w:r>
        <w:t xml:space="preserve"> tops was found to follow the same trends as for the rest of edible residual streams (that is, </w:t>
      </w:r>
      <w:proofErr w:type="spellStart"/>
      <w:r>
        <w:t>BSF_food</w:t>
      </w:r>
      <w:proofErr w:type="spellEnd"/>
      <w:r>
        <w:t xml:space="preserve"> as the clear winner if insects substitute meat, else CF). Results only diverged for one specific scenario combining a best-case (sustainable) food system </w:t>
      </w:r>
      <w:r w:rsidR="003D65A2">
        <w:t>scenario</w:t>
      </w:r>
      <w:r>
        <w:t xml:space="preserve"> while considering a pessimistic energy systems </w:t>
      </w:r>
      <w:r w:rsidR="002D15B3">
        <w:t>scenario</w:t>
      </w:r>
      <w:r>
        <w:t xml:space="preserve"> (corresponding to EU average situation). In this case, diverting </w:t>
      </w:r>
      <w:proofErr w:type="spellStart"/>
      <w:r>
        <w:t>sugarbeet</w:t>
      </w:r>
      <w:proofErr w:type="spellEnd"/>
      <w:r>
        <w:t xml:space="preserve"> tops towards AD valorization or leaving it decay on soil would be the best management strategies, which is explained by the high moisture content (ca. 80%</w:t>
      </w:r>
      <w:r w:rsidRPr="004A2563">
        <w:rPr>
          <w:vertAlign w:val="subscript"/>
        </w:rPr>
        <w:t>ww</w:t>
      </w:r>
      <w:r>
        <w:t>) of vegetable tops undermining the competitiveness of drying processes under current impacts of energy systems.</w:t>
      </w:r>
    </w:p>
    <w:p w14:paraId="188D90F0" w14:textId="77777777" w:rsidR="00C2709E" w:rsidRDefault="00C2709E" w:rsidP="00C2709E">
      <w:pPr>
        <w:jc w:val="both"/>
      </w:pPr>
      <w:r>
        <w:t xml:space="preserve">Notably, across all scenarios, extracting a monogastric-grade protein concentrates from </w:t>
      </w:r>
      <w:proofErr w:type="spellStart"/>
      <w:r>
        <w:t>sugarbeet</w:t>
      </w:r>
      <w:proofErr w:type="spellEnd"/>
      <w:r>
        <w:t xml:space="preserve"> tops (GB pathways) almost always achieved worst environmental performances than its direct reuse as (ruminant-grade) feed, for all three GB variants assessed. A first exception was found for the water use impact category: the large benefits of avoiding concentrated feed services (through GB) compared to avoiding roughage feed (CF) compensate for the reduced GB conversion yields. This water use gap between the two feed services is explained by the fact that marginal roughage feed suppliers are mostly rainfed while some commodities of the marginal basket of concentrated feed services are being irrigated. Else, green biorefining </w:t>
      </w:r>
      <w:proofErr w:type="spellStart"/>
      <w:r>
        <w:t>sugarbeet</w:t>
      </w:r>
      <w:proofErr w:type="spellEnd"/>
      <w:r>
        <w:t xml:space="preserve"> tops would only outperform CF if specific enabling conditions align, particularly (</w:t>
      </w:r>
      <w:proofErr w:type="spellStart"/>
      <w:r>
        <w:t>i</w:t>
      </w:r>
      <w:proofErr w:type="spellEnd"/>
      <w:r>
        <w:t>) achieving a proteins recovery yield (in concentrates) of at least 50% and betting on a failed energy systems transition (that is, whose marginal impacts would remain as high as EU average situation, meaning GB’s co-generated biomethane would fully substitute natural gas).</w:t>
      </w:r>
    </w:p>
    <w:p w14:paraId="09FDFF76" w14:textId="7AFF610A" w:rsidR="00C2709E" w:rsidRDefault="00C2709E" w:rsidP="00C2709E">
      <w:pPr>
        <w:jc w:val="both"/>
      </w:pPr>
      <w:r>
        <w:lastRenderedPageBreak/>
        <w:t>The conclusions slightly differ if considering a leafy residue with other characteristic (e.g. countryside management grass presenting ca. 9%</w:t>
      </w:r>
      <w:r w:rsidRPr="0016342D">
        <w:rPr>
          <w:vertAlign w:val="subscript"/>
        </w:rPr>
        <w:t>DM</w:t>
      </w:r>
      <w:r>
        <w:t xml:space="preserve"> proteins, 50%</w:t>
      </w:r>
      <w:r w:rsidRPr="0016342D">
        <w:rPr>
          <w:vertAlign w:val="subscript"/>
        </w:rPr>
        <w:t>OM</w:t>
      </w:r>
      <w:r>
        <w:t xml:space="preserve"> digestibility and 60%</w:t>
      </w:r>
      <w:r w:rsidRPr="0016342D">
        <w:rPr>
          <w:vertAlign w:val="subscript"/>
        </w:rPr>
        <w:t>ww</w:t>
      </w:r>
      <w:r>
        <w:t xml:space="preserve"> moisture). For this stream, albeit </w:t>
      </w:r>
      <w:proofErr w:type="spellStart"/>
      <w:r>
        <w:t>BSF_food</w:t>
      </w:r>
      <w:proofErr w:type="spellEnd"/>
      <w:r>
        <w:t xml:space="preserve"> still positions among the best management options provided insects formulations do substitute meat (as for all edible residual streams), so do GB variants. Notably, CF is almost absent from the best options due to the low digestibility and low relevance of substituting roughage feed services. The winning GB variant oscillates between </w:t>
      </w:r>
      <w:proofErr w:type="spellStart"/>
      <w:r>
        <w:t>GB_rough</w:t>
      </w:r>
      <w:proofErr w:type="spellEnd"/>
      <w:r>
        <w:t xml:space="preserve"> and </w:t>
      </w:r>
      <w:proofErr w:type="spellStart"/>
      <w:r>
        <w:t>GB_myco</w:t>
      </w:r>
      <w:proofErr w:type="spellEnd"/>
      <w:r>
        <w:t xml:space="preserve"> depending on the </w:t>
      </w:r>
      <w:r w:rsidR="002D15B3">
        <w:t>scenarios</w:t>
      </w:r>
      <w:r>
        <w:t xml:space="preserve"> and impact categories (</w:t>
      </w:r>
      <w:r w:rsidRPr="00C2709E">
        <w:t xml:space="preserve">see </w:t>
      </w:r>
      <w:r>
        <w:rPr>
          <w:b/>
        </w:rPr>
        <w:t>PhD thesis manuscript</w:t>
      </w:r>
      <w:r>
        <w:rPr>
          <w:b/>
        </w:rPr>
        <w:fldChar w:fldCharType="begin"/>
      </w:r>
      <w:r w:rsidR="00657D9A">
        <w:rPr>
          <w:b/>
        </w:rPr>
        <w:instrText xml:space="preserve"> ADDIN ZOTERO_ITEM CSL_CITATION {"citationID":"95rXHBaN","properties":{"formattedCitation":"\\super 34\\nosupersub{}","plainCitation":"34","noteIndex":0},"citationItems":[{"id":14134,"uris":["http://zotero.org/users/6423791/items/LU22SWNL"],"itemData":{"id":14134,"type":"thesis","event-place":"Toulouse","genre":"PhD","language":"fr","number-of-pages":"555","publisher":"INSA Toulouse","publisher-place":"Toulouse","source":"Root","title":"Transforming residual biomass into food and feed, towards an LCA optimization platform","URL":"https://dataverse.callisto.calmip.univ-toulouse.fr/dataset.xhtml?persistentId=doi:10.48531/JBRU.CALMIP/6NIPVB","author":[{"family":"Javourez","given":"U."}],"accessed":{"date-parts":[["2023",5,16]]},"issued":{"date-parts":[["2023",2,28]]}}}],"schema":"https://github.com/citation-style-language/schema/raw/master/csl-citation.json"} </w:instrText>
      </w:r>
      <w:r>
        <w:rPr>
          <w:b/>
        </w:rPr>
        <w:fldChar w:fldCharType="separate"/>
      </w:r>
      <w:r w:rsidR="00657D9A" w:rsidRPr="00657D9A">
        <w:rPr>
          <w:rFonts w:ascii="Calibri" w:hAnsi="Calibri" w:cs="Calibri"/>
          <w:szCs w:val="24"/>
          <w:vertAlign w:val="superscript"/>
        </w:rPr>
        <w:t>34</w:t>
      </w:r>
      <w:r>
        <w:rPr>
          <w:b/>
        </w:rPr>
        <w:fldChar w:fldCharType="end"/>
      </w:r>
      <w:r>
        <w:t xml:space="preserve">), while GB_AD was never found as the best option. Yet, again, GB pathways should achieve their best forecasted </w:t>
      </w:r>
      <w:r w:rsidR="002D15B3">
        <w:t>improvement</w:t>
      </w:r>
      <w:r>
        <w:t xml:space="preserve">s (e.g. net increase in press pulp digestibility by 20%, among others) to outperform direct energy valorization or MP production from this residual grass stream. </w:t>
      </w:r>
      <w:r w:rsidR="002D15B3">
        <w:t xml:space="preserve">Although </w:t>
      </w:r>
      <w:r>
        <w:t>the performances of grass gasification</w:t>
      </w:r>
      <w:r w:rsidR="002D15B3">
        <w:t xml:space="preserve"> are limited</w:t>
      </w:r>
      <w:r>
        <w:t xml:space="preserve">, as much as two to four times </w:t>
      </w:r>
      <w:r w:rsidR="002D15B3">
        <w:t xml:space="preserve">more </w:t>
      </w:r>
      <w:r>
        <w:t>concentrated feed services would be provided through MP production compared to GB pathways (respectively ca. 90-250 kg</w:t>
      </w:r>
      <w:r w:rsidRPr="006A6261">
        <w:rPr>
          <w:vertAlign w:val="subscript"/>
        </w:rPr>
        <w:t>DM</w:t>
      </w:r>
      <w:r>
        <w:t>.t</w:t>
      </w:r>
      <w:r w:rsidRPr="00CF5871">
        <w:rPr>
          <w:vertAlign w:val="subscript"/>
        </w:rPr>
        <w:t>DM</w:t>
      </w:r>
      <w:r w:rsidRPr="00CF5871">
        <w:rPr>
          <w:vertAlign w:val="superscript"/>
        </w:rPr>
        <w:t>-1</w:t>
      </w:r>
      <w:r>
        <w:rPr>
          <w:vertAlign w:val="superscript"/>
        </w:rPr>
        <w:t xml:space="preserve"> </w:t>
      </w:r>
      <w:r>
        <w:t>grass input and 50 kg</w:t>
      </w:r>
      <w:r w:rsidRPr="006A6261">
        <w:rPr>
          <w:vertAlign w:val="subscript"/>
        </w:rPr>
        <w:t>DM</w:t>
      </w:r>
      <w:r>
        <w:t>.t</w:t>
      </w:r>
      <w:r w:rsidRPr="00CF5871">
        <w:rPr>
          <w:vertAlign w:val="subscript"/>
        </w:rPr>
        <w:t>DM</w:t>
      </w:r>
      <w:r w:rsidRPr="00CF5871">
        <w:rPr>
          <w:vertAlign w:val="superscript"/>
        </w:rPr>
        <w:t>-1</w:t>
      </w:r>
      <w:r>
        <w:t>), meaning the wors</w:t>
      </w:r>
      <w:r w:rsidR="002D15B3">
        <w:t>e</w:t>
      </w:r>
      <w:r>
        <w:t xml:space="preserve"> </w:t>
      </w:r>
      <w:r w:rsidR="002D15B3">
        <w:t xml:space="preserve">future </w:t>
      </w:r>
      <w:r>
        <w:t xml:space="preserve">food systems </w:t>
      </w:r>
      <w:r w:rsidR="002D15B3">
        <w:t>scenarios</w:t>
      </w:r>
      <w:r>
        <w:t>, the mo</w:t>
      </w:r>
      <w:r w:rsidR="002D15B3">
        <w:t>re</w:t>
      </w:r>
      <w:r>
        <w:t xml:space="preserve"> competitive the environmental benefits of grass-based MP production (mostly </w:t>
      </w:r>
      <w:proofErr w:type="spellStart"/>
      <w:r>
        <w:t>MP_meths</w:t>
      </w:r>
      <w:proofErr w:type="spellEnd"/>
      <w:r>
        <w:t xml:space="preserve"> or </w:t>
      </w:r>
      <w:proofErr w:type="spellStart"/>
      <w:r>
        <w:t>MP_shifts</w:t>
      </w:r>
      <w:proofErr w:type="spellEnd"/>
      <w:r>
        <w:t>; as for lignocellulosic residues).</w:t>
      </w:r>
    </w:p>
    <w:p w14:paraId="323AAFE0" w14:textId="77777777" w:rsidR="008B0215" w:rsidRDefault="008B0215" w:rsidP="00C2709E">
      <w:pPr>
        <w:jc w:val="both"/>
      </w:pPr>
    </w:p>
    <w:p w14:paraId="0E067827" w14:textId="4AC814EB" w:rsidR="006D41F7" w:rsidRDefault="00C2709E" w:rsidP="00C2709E">
      <w:pPr>
        <w:pStyle w:val="Titre2"/>
      </w:pPr>
      <w:r>
        <w:t xml:space="preserve">Additional comments for food waste </w:t>
      </w:r>
      <w:r w:rsidR="002D15B3">
        <w:t>valorization</w:t>
      </w:r>
      <w:r>
        <w:t xml:space="preserve"> pathways ranking</w:t>
      </w:r>
    </w:p>
    <w:p w14:paraId="51DDA65D" w14:textId="1079E5F1" w:rsidR="00C2709E" w:rsidRDefault="00C2709E" w:rsidP="00C2709E">
      <w:pPr>
        <w:jc w:val="both"/>
      </w:pPr>
      <w:r>
        <w:t>MP production from food waste becomes the preferred option the wors</w:t>
      </w:r>
      <w:r w:rsidR="002D15B3">
        <w:t>e</w:t>
      </w:r>
      <w:r>
        <w:t xml:space="preserve"> the </w:t>
      </w:r>
      <w:r w:rsidR="002D15B3">
        <w:t xml:space="preserve">future </w:t>
      </w:r>
      <w:r>
        <w:t xml:space="preserve">food systems </w:t>
      </w:r>
      <w:r w:rsidR="002D15B3">
        <w:t>scenario (in terms of LCA scores achieved by marginal food and feed suppliers</w:t>
      </w:r>
      <w:r>
        <w:t>)</w:t>
      </w:r>
      <w:r w:rsidR="002D15B3">
        <w:t>. Shifting towards sustainable food systems,</w:t>
      </w:r>
      <w:r>
        <w:t xml:space="preserve"> </w:t>
      </w:r>
      <w:r w:rsidR="002D15B3">
        <w:t xml:space="preserve">recovering </w:t>
      </w:r>
      <w:r>
        <w:t>energy</w:t>
      </w:r>
      <w:r w:rsidR="002D15B3">
        <w:t xml:space="preserve"> and </w:t>
      </w:r>
      <w:r>
        <w:t>fertilizer</w:t>
      </w:r>
      <w:r w:rsidR="002D15B3">
        <w:t>s</w:t>
      </w:r>
      <w:r>
        <w:t xml:space="preserve"> from food waste would be</w:t>
      </w:r>
      <w:r w:rsidR="002D15B3">
        <w:t>come</w:t>
      </w:r>
      <w:r>
        <w:t xml:space="preserve"> the favored options to mitigate climate change and eutrophication. </w:t>
      </w:r>
      <w:r w:rsidR="002D15B3">
        <w:t>In this case</w:t>
      </w:r>
      <w:r>
        <w:t>, thanks to (</w:t>
      </w:r>
      <w:proofErr w:type="spellStart"/>
      <w:r>
        <w:t>i</w:t>
      </w:r>
      <w:proofErr w:type="spellEnd"/>
      <w:r>
        <w:t>) low food waste gasification performances (compared to e.g. lignocellulosic residues), (ii) biogas cleaning/detoxification requirements (e.g. desulfurization), direct incineration (</w:t>
      </w:r>
      <w:proofErr w:type="spellStart"/>
      <w:r>
        <w:t>Dir_CHP</w:t>
      </w:r>
      <w:proofErr w:type="spellEnd"/>
      <w:r>
        <w:t xml:space="preserve">) was found more environmentally competitive than GA and AD pathways to manage food waste. Composting food waste was only found to outperform the benefits of </w:t>
      </w:r>
      <w:proofErr w:type="spellStart"/>
      <w:r>
        <w:t>Dir_CHP</w:t>
      </w:r>
      <w:proofErr w:type="spellEnd"/>
      <w:r>
        <w:t xml:space="preserve"> within a high electrification energy scenario, and provided the best composting emissions reduction practices are implemented. As a notable </w:t>
      </w:r>
      <w:r w:rsidR="002D15B3">
        <w:t>result</w:t>
      </w:r>
      <w:r>
        <w:t xml:space="preserve">, incinerating food waste yielded </w:t>
      </w:r>
      <w:r w:rsidR="002D15B3">
        <w:t xml:space="preserve">was found to generate less </w:t>
      </w:r>
      <w:r>
        <w:t>environmental impacts than composting and anaerobic digestion</w:t>
      </w:r>
      <w:r w:rsidR="002D15B3">
        <w:t>,</w:t>
      </w:r>
      <w:r>
        <w:t xml:space="preserve"> under most scenarios.</w:t>
      </w:r>
    </w:p>
    <w:p w14:paraId="2F76FF8E" w14:textId="77777777" w:rsidR="008B0215" w:rsidRDefault="008B0215" w:rsidP="00C2709E">
      <w:pPr>
        <w:jc w:val="both"/>
      </w:pPr>
    </w:p>
    <w:p w14:paraId="485760E0" w14:textId="17CAB39E" w:rsidR="00C2709E" w:rsidRDefault="00C2709E" w:rsidP="00C2709E">
      <w:pPr>
        <w:pStyle w:val="Titre2"/>
      </w:pPr>
      <w:r>
        <w:t>Additional discussions</w:t>
      </w:r>
    </w:p>
    <w:p w14:paraId="51FDA073" w14:textId="0336BC7D" w:rsidR="00C2709E" w:rsidRDefault="00C2709E" w:rsidP="00C2709E">
      <w:pPr>
        <w:pStyle w:val="Contenudetableau"/>
        <w:jc w:val="both"/>
      </w:pPr>
      <w:r>
        <w:t>As illustrated with this work, quantifying the future environmental impacts of complex systems is based on large sets of assumptions, choices and data differing in terms of representativity. First, reporting these is fundamental to ensure the robustness and reliability of LCA results interpretation, but is still not systematically done in a transparent and tractable way, despite prescribed by existing LCA standards</w:t>
      </w:r>
      <w:r>
        <w:fldChar w:fldCharType="begin"/>
      </w:r>
      <w:r w:rsidR="00B52392">
        <w:instrText xml:space="preserve"> ADDIN ZOTERO_ITEM CSL_CITATION {"citationID":"t20StYmr","properties":{"formattedCitation":"\\super 41\\nosupersub{}","plainCitation":"41","noteIndex":0},"citationItems":[{"id":13000,"uris":["http://zotero.org/users/6423791/items/N6VK6TQ7"],"itemData":{"id":13000,"type":"article-journal","container-title":"ISO","language":"en","title":"Environmental management: life cycle assessment; Principles and Framework","title-short":"ISO 14040","URL":"https://www.iso.org/cms/render/live/en/sites/isoorg/contents/data/standard/03/74/37456.html","author":[{"literal":"International Organization for Standardization"}],"accessed":{"date-parts":[["2022",2,17]]},"issued":{"date-parts":[["2006"]]}}}],"schema":"https://github.com/citation-style-language/schema/raw/master/csl-citation.json"} </w:instrText>
      </w:r>
      <w:r>
        <w:fldChar w:fldCharType="separate"/>
      </w:r>
      <w:r w:rsidR="00B52392" w:rsidRPr="00B52392">
        <w:rPr>
          <w:rFonts w:ascii="Calibri" w:hAnsi="Calibri" w:cs="Calibri"/>
          <w:szCs w:val="24"/>
          <w:vertAlign w:val="superscript"/>
        </w:rPr>
        <w:t>41</w:t>
      </w:r>
      <w:r>
        <w:fldChar w:fldCharType="end"/>
      </w:r>
      <w:r>
        <w:t xml:space="preserve">. Moreover, albeit a standardized ‘one-fits-all’ format is hardly conceivable (LCA can be applied to multiple systems), structuring the way </w:t>
      </w:r>
      <w:r w:rsidR="002D15B3">
        <w:t>inventory and LCA scores</w:t>
      </w:r>
      <w:r>
        <w:t xml:space="preserve"> data is provided, as done in other disciplines, can benefit the whole LCA community. Second, </w:t>
      </w:r>
      <w:r w:rsidR="002D15B3">
        <w:t>a</w:t>
      </w:r>
      <w:r>
        <w:t xml:space="preserve"> framework to systematically account for land use change (LUC) impacts in </w:t>
      </w:r>
      <w:r w:rsidR="002D15B3">
        <w:t>prospective</w:t>
      </w:r>
      <w:r>
        <w:t xml:space="preserve"> LCA is still missing. Ready-to-use LUC factors adopted in </w:t>
      </w:r>
      <w:r w:rsidR="002D15B3">
        <w:t xml:space="preserve">available </w:t>
      </w:r>
      <w:r>
        <w:t>LCI databases are not freely available for LCA analysts (preventing their wide adoption) and past and current initiatives are dispersed</w:t>
      </w:r>
      <w:r>
        <w:fldChar w:fldCharType="begin"/>
      </w:r>
      <w:r w:rsidR="00B52392">
        <w:instrText xml:space="preserve"> ADDIN ZOTERO_ITEM CSL_CITATION {"citationID":"TkSfxyon","properties":{"formattedCitation":"\\super 42\\nosupersub{}","plainCitation":"42","noteIndex":0},"citationItems":[{"id":513,"uris":["http://zotero.org/users/6423791/items/EU4BLVFX"],"itemData":{"id":513,"type":"book","abstract":"The bio-based sector is amongst the most thriving sectors in the European bioeconomy. Industry players in this sector use biological resources (including residues and waste) to make innovative greener value added products. This nascent sector is somehow still small compared to more traditional ones but it is undergoing rapid developments. Developing and commercialising innovative bio-based products – would they be new product types or aim to replace fossil-based equivalents - demand pursued Research &amp; Innovation efforts and is influenced by a certain number of critical factors such as access to finance, market developments (including oil prices), feedstock availability or the regulatory framework (including climate action). To progress from the initial concept to a commercial product is thus a journey with many steps and challenges. The aim of this study report is to analyse this journey – which was successful – for 15 EU innovative bio-based products. These 15 success stories deliver on at least one of three following success criteria: profitability, market entry or mobilisation of critical external finance. The 15 success stories span over nine EU Member States, and cover a wide range of products and technologies, most of which have been on the market for only a few years. Two-fifths of these products were developed by large companies, an equal amount by SMEs, and one fifth by micro-enterprises. In two-thirds of the companies, bio-based activities are at the core of their business. Each success story is presented within the report in a factsheet, which provides detailed information about it as well as insights on its drivers of success and on how it responded to risks it faced.","ISBN":"978-92-79-98485-3","language":"English","note":"OCLC: 1111258904","source":"Open WorldCat","title":"Environmental impact assessments of innovative bio-based product Task 1 of “Study on Support to R&amp;I Policy in the Area of Bio-based Products and Services “","URL":"http://publications.europa.eu/publication/manifestation_identifier/PUB_KI0718112NN","author":[{"literal":"European Commission"},{"literal":"COWI A/S"},{"literal":"Universiteit Utrecht"}],"accessed":{"date-parts":[["2020",4,6]]},"issued":{"date-parts":[["2019"]]}}}],"schema":"https://github.com/citation-style-language/schema/raw/master/csl-citation.json"} </w:instrText>
      </w:r>
      <w:r>
        <w:fldChar w:fldCharType="separate"/>
      </w:r>
      <w:r w:rsidR="00B52392" w:rsidRPr="00B52392">
        <w:rPr>
          <w:rFonts w:ascii="Calibri" w:hAnsi="Calibri" w:cs="Calibri"/>
          <w:szCs w:val="24"/>
          <w:vertAlign w:val="superscript"/>
        </w:rPr>
        <w:t>42</w:t>
      </w:r>
      <w:r>
        <w:fldChar w:fldCharType="end"/>
      </w:r>
      <w:r>
        <w:t xml:space="preserve">. Yet, omitting </w:t>
      </w:r>
      <w:r w:rsidR="002D15B3">
        <w:t>LUC</w:t>
      </w:r>
      <w:r>
        <w:t xml:space="preserve"> (particularly the so-called “indirect” effects) implies disregarding the finite aspect of arable land, and can lead to misleading conclusions (e.g. considering biomass as carbon neutral</w:t>
      </w:r>
      <w:r>
        <w:fldChar w:fldCharType="begin"/>
      </w:r>
      <w:r w:rsidR="00B52392">
        <w:instrText xml:space="preserve"> ADDIN ZOTERO_ITEM CSL_CITATION {"citationID":"XRrUBDMg","properties":{"formattedCitation":"\\super 43\\nosupersub{}","plainCitation":"43","noteIndex":0},"citationItems":[{"id":13946,"uris":["http://zotero.org/users/6423791/items/92GL5JLN"],"itemData":{"id":13946,"type":"article-journal","abstract":"Incoming policies will cause the European Union to harvest more wood, shift one-fifth of cropland to bioenergy and outsource deforestation, analysis shows.","container-title":"Nature","DOI":"10.1038/d41586-022-04133-1","issue":"7938","language":"en","license":"2022 Springer Nature Limited","note":"Bandiera_abtest: a\nCg_type: Comment\nnumber: 7938\npublisher: Nature Publishing Group\nSubject_term: Climate change, Policy, Agriculture, Energy","page":"27-30","source":"www.nature.com","title":"EU climate plan sacrifices carbon storage and biodiversity for bioenergy","volume":"612","author":[{"family":"Searchinger","given":"Timothy"},{"family":"James","given":"Oliver"},{"family":"Dumas","given":"Patrice"},{"family":"Kastner","given":"Thomas"},{"family":"Wirsenius","given":"Stefan"}],"issued":{"date-parts":[["2022",12]]}}}],"schema":"https://github.com/citation-style-language/schema/raw/master/csl-citation.json"} </w:instrText>
      </w:r>
      <w:r>
        <w:fldChar w:fldCharType="separate"/>
      </w:r>
      <w:r w:rsidR="00B52392" w:rsidRPr="00B52392">
        <w:rPr>
          <w:rFonts w:ascii="Calibri" w:hAnsi="Calibri" w:cs="Calibri"/>
          <w:szCs w:val="24"/>
          <w:vertAlign w:val="superscript"/>
        </w:rPr>
        <w:t>43</w:t>
      </w:r>
      <w:r>
        <w:fldChar w:fldCharType="end"/>
      </w:r>
      <w:r>
        <w:t xml:space="preserve">). Here, a generic LUC factor was used to screen the potential environmental performances of the marginal suppliers of land-dependent commodities, but it remains a questionable proxy. Nevertheless, it has the advantage to clearly highlight the role of marginally-responding yields in LUC impacts magnitude, and to stress the potential adverse effects of implementing commodity-specific ban with no additional intervention measures (i.e. </w:t>
      </w:r>
      <w:r w:rsidRPr="008C0386">
        <w:rPr>
          <w:i/>
        </w:rPr>
        <w:lastRenderedPageBreak/>
        <w:t>ceteris paribus</w:t>
      </w:r>
      <w:r>
        <w:t xml:space="preserve">). </w:t>
      </w:r>
      <w:r w:rsidRPr="00672E98">
        <w:t>As far as no consensus and common methodology is adopted</w:t>
      </w:r>
      <w:r>
        <w:t xml:space="preserve">, </w:t>
      </w:r>
      <w:r w:rsidRPr="00672E98">
        <w:t xml:space="preserve">LUC impacts modeling and accounting in </w:t>
      </w:r>
      <w:r>
        <w:t xml:space="preserve">LCI </w:t>
      </w:r>
      <w:r w:rsidRPr="00672E98">
        <w:t xml:space="preserve">background databases should be </w:t>
      </w:r>
      <w:r>
        <w:t xml:space="preserve">both </w:t>
      </w:r>
      <w:r w:rsidRPr="00672E98">
        <w:t xml:space="preserve">transparent and </w:t>
      </w:r>
      <w:r>
        <w:t>controllable.</w:t>
      </w:r>
    </w:p>
    <w:p w14:paraId="65E9A8FA" w14:textId="77777777" w:rsidR="008B0215" w:rsidRDefault="008B0215" w:rsidP="00C2709E">
      <w:pPr>
        <w:pStyle w:val="Contenudetableau"/>
        <w:jc w:val="both"/>
      </w:pPr>
    </w:p>
    <w:p w14:paraId="20326740" w14:textId="7E9883AA" w:rsidR="005639F1" w:rsidRDefault="005639F1" w:rsidP="005639F1">
      <w:pPr>
        <w:pStyle w:val="Titre2"/>
      </w:pPr>
      <w:r>
        <w:t>Additional figures</w:t>
      </w:r>
    </w:p>
    <w:p w14:paraId="44718117" w14:textId="28D03833" w:rsidR="000C2201" w:rsidRPr="002D15B3" w:rsidRDefault="002D15B3" w:rsidP="000C2201">
      <w:r>
        <w:t>V</w:t>
      </w:r>
      <w:r w:rsidR="000C2201" w:rsidRPr="002D15B3">
        <w:t>isualizations</w:t>
      </w:r>
      <w:r>
        <w:t xml:space="preserve"> complementing the main and extended figures of the main manuscript (rest of the case studies and impact categories) are available in the </w:t>
      </w:r>
      <w:r w:rsidRPr="002D15B3">
        <w:rPr>
          <w:b/>
        </w:rPr>
        <w:t>data repository</w:t>
      </w:r>
      <w:r>
        <w:t>.</w:t>
      </w:r>
    </w:p>
    <w:p w14:paraId="57A231F5" w14:textId="33EF8919" w:rsidR="0047223A" w:rsidRDefault="0047223A">
      <w:r>
        <w:br w:type="page"/>
      </w:r>
    </w:p>
    <w:p w14:paraId="6AE63C22" w14:textId="77777777" w:rsidR="00F46956" w:rsidRPr="00F46956" w:rsidRDefault="00B52392" w:rsidP="00F46956">
      <w:pPr>
        <w:pStyle w:val="Contenudetableau"/>
        <w:jc w:val="both"/>
        <w:rPr>
          <w:sz w:val="18"/>
        </w:rPr>
        <w:sectPr w:rsidR="00F46956" w:rsidRPr="00F46956" w:rsidSect="00D54A1C">
          <w:footerReference w:type="default" r:id="rId19"/>
          <w:pgSz w:w="11906" w:h="16838"/>
          <w:pgMar w:top="1417" w:right="1417" w:bottom="1417" w:left="1417" w:header="708" w:footer="708" w:gutter="0"/>
          <w:lnNumType w:countBy="1" w:restart="continuous"/>
          <w:cols w:space="708"/>
          <w:docGrid w:linePitch="360"/>
        </w:sectPr>
      </w:pPr>
      <w:bookmarkStart w:id="89" w:name="_Toc155516868"/>
      <w:r w:rsidRPr="000643DF">
        <w:lastRenderedPageBreak/>
        <w:t>References</w:t>
      </w:r>
      <w:bookmarkEnd w:id="89"/>
    </w:p>
    <w:p w14:paraId="401A23E1" w14:textId="18BDF8E9" w:rsidR="00835534" w:rsidRPr="00F46956" w:rsidRDefault="00B52392" w:rsidP="00F46956">
      <w:pPr>
        <w:pStyle w:val="Contenudetableau"/>
        <w:jc w:val="both"/>
        <w:rPr>
          <w:rFonts w:ascii="Calibri" w:hAnsi="Calibri" w:cs="Calibri"/>
          <w:sz w:val="18"/>
        </w:rPr>
      </w:pPr>
      <w:r w:rsidRPr="00F46956">
        <w:rPr>
          <w:sz w:val="18"/>
        </w:rPr>
        <w:fldChar w:fldCharType="begin"/>
      </w:r>
      <w:r w:rsidRPr="00F46956">
        <w:rPr>
          <w:sz w:val="18"/>
        </w:rPr>
        <w:instrText xml:space="preserve"> ADDIN ZOTERO_BIBL {"uncited":[],"omitted":[],"custom":[]} CSL_BIBLIOGRAPHY </w:instrText>
      </w:r>
      <w:r w:rsidRPr="00F46956">
        <w:rPr>
          <w:sz w:val="18"/>
        </w:rPr>
        <w:fldChar w:fldCharType="separate"/>
      </w:r>
      <w:r w:rsidR="00835534" w:rsidRPr="00F46956">
        <w:rPr>
          <w:rFonts w:ascii="Calibri" w:hAnsi="Calibri" w:cs="Calibri"/>
          <w:sz w:val="18"/>
        </w:rPr>
        <w:t>1.</w:t>
      </w:r>
      <w:r w:rsidR="00835534" w:rsidRPr="00F46956">
        <w:rPr>
          <w:rFonts w:ascii="Calibri" w:hAnsi="Calibri" w:cs="Calibri"/>
          <w:sz w:val="18"/>
        </w:rPr>
        <w:tab/>
        <w:t xml:space="preserve">Javourez, U., </w:t>
      </w:r>
      <w:proofErr w:type="spellStart"/>
      <w:r w:rsidR="00835534" w:rsidRPr="00F46956">
        <w:rPr>
          <w:rFonts w:ascii="Calibri" w:hAnsi="Calibri" w:cs="Calibri"/>
          <w:sz w:val="18"/>
        </w:rPr>
        <w:t>Tiruta-Barna</w:t>
      </w:r>
      <w:proofErr w:type="spellEnd"/>
      <w:r w:rsidR="00835534" w:rsidRPr="00F46956">
        <w:rPr>
          <w:rFonts w:ascii="Calibri" w:hAnsi="Calibri" w:cs="Calibri"/>
          <w:sz w:val="18"/>
        </w:rPr>
        <w:t>, L. &amp; Hamelin, L. Waste reintroduced in the kitchen: life cycles inventories of representative waste-to-nutrition pathways. Preprint at https://doi.org/10.21203/rs.3.rs-3671083/v</w:t>
      </w:r>
      <w:r w:rsidR="00F46956">
        <w:rPr>
          <w:rFonts w:ascii="Calibri" w:hAnsi="Calibri" w:cs="Calibri"/>
          <w:sz w:val="18"/>
        </w:rPr>
        <w:t>2</w:t>
      </w:r>
      <w:r w:rsidR="00835534" w:rsidRPr="00F46956">
        <w:rPr>
          <w:rFonts w:ascii="Calibri" w:hAnsi="Calibri" w:cs="Calibri"/>
          <w:sz w:val="18"/>
        </w:rPr>
        <w:t xml:space="preserve"> (2023).</w:t>
      </w:r>
    </w:p>
    <w:p w14:paraId="45DF42CF"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2.</w:t>
      </w:r>
      <w:r w:rsidRPr="00F46956">
        <w:rPr>
          <w:rFonts w:ascii="Calibri" w:hAnsi="Calibri" w:cs="Calibri"/>
          <w:sz w:val="18"/>
        </w:rPr>
        <w:tab/>
        <w:t xml:space="preserve">Javourez, U., </w:t>
      </w:r>
      <w:proofErr w:type="spellStart"/>
      <w:r w:rsidRPr="00F46956">
        <w:rPr>
          <w:rFonts w:ascii="Calibri" w:hAnsi="Calibri" w:cs="Calibri"/>
          <w:sz w:val="18"/>
        </w:rPr>
        <w:t>Rosero</w:t>
      </w:r>
      <w:proofErr w:type="spellEnd"/>
      <w:r w:rsidRPr="00F46956">
        <w:rPr>
          <w:rFonts w:ascii="Calibri" w:hAnsi="Calibri" w:cs="Calibri"/>
          <w:sz w:val="18"/>
        </w:rPr>
        <w:t xml:space="preserve"> Delgado, E. A. &amp; Hamelin, L. Upgrading </w:t>
      </w:r>
      <w:proofErr w:type="spellStart"/>
      <w:r w:rsidRPr="00F46956">
        <w:rPr>
          <w:rFonts w:ascii="Calibri" w:hAnsi="Calibri" w:cs="Calibri"/>
          <w:sz w:val="18"/>
        </w:rPr>
        <w:t>agrifood</w:t>
      </w:r>
      <w:proofErr w:type="spellEnd"/>
      <w:r w:rsidRPr="00F46956">
        <w:rPr>
          <w:rFonts w:ascii="Calibri" w:hAnsi="Calibri" w:cs="Calibri"/>
          <w:sz w:val="18"/>
        </w:rPr>
        <w:t xml:space="preserve"> co-products via solid fermentation yields environmental benefits under specific conditions only. </w:t>
      </w:r>
      <w:r w:rsidRPr="00F46956">
        <w:rPr>
          <w:rFonts w:ascii="Calibri" w:hAnsi="Calibri" w:cs="Calibri"/>
          <w:i/>
          <w:iCs/>
          <w:sz w:val="18"/>
        </w:rPr>
        <w:t>Nat Food</w:t>
      </w:r>
      <w:r w:rsidRPr="00F46956">
        <w:rPr>
          <w:rFonts w:ascii="Calibri" w:hAnsi="Calibri" w:cs="Calibri"/>
          <w:sz w:val="18"/>
        </w:rPr>
        <w:t xml:space="preserve"> </w:t>
      </w:r>
      <w:r w:rsidRPr="00F46956">
        <w:rPr>
          <w:rFonts w:ascii="Calibri" w:hAnsi="Calibri" w:cs="Calibri"/>
          <w:b/>
          <w:bCs/>
          <w:sz w:val="18"/>
        </w:rPr>
        <w:t>3</w:t>
      </w:r>
      <w:r w:rsidRPr="00F46956">
        <w:rPr>
          <w:rFonts w:ascii="Calibri" w:hAnsi="Calibri" w:cs="Calibri"/>
          <w:sz w:val="18"/>
        </w:rPr>
        <w:t>, 911–920 (2022).</w:t>
      </w:r>
    </w:p>
    <w:p w14:paraId="2112D166"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3.</w:t>
      </w:r>
      <w:r w:rsidRPr="00F46956">
        <w:rPr>
          <w:rFonts w:ascii="Calibri" w:hAnsi="Calibri" w:cs="Calibri"/>
          <w:sz w:val="18"/>
        </w:rPr>
        <w:tab/>
        <w:t xml:space="preserve">Javourez, U., Karan, S. K. &amp; Hamelin, L. Setting the environmental performance threshold for diverting residual streams towards </w:t>
      </w:r>
      <w:proofErr w:type="spellStart"/>
      <w:r w:rsidRPr="00F46956">
        <w:rPr>
          <w:rFonts w:ascii="Calibri" w:hAnsi="Calibri" w:cs="Calibri"/>
          <w:sz w:val="18"/>
        </w:rPr>
        <w:t>bioeconomy</w:t>
      </w:r>
      <w:proofErr w:type="spellEnd"/>
      <w:r w:rsidRPr="00F46956">
        <w:rPr>
          <w:rFonts w:ascii="Calibri" w:hAnsi="Calibri" w:cs="Calibri"/>
          <w:sz w:val="18"/>
        </w:rPr>
        <w:t xml:space="preserve"> strategies. Preprint at https://doi.org/10.21203/rs.3.rs-3626167/v2 (2023).</w:t>
      </w:r>
    </w:p>
    <w:p w14:paraId="69F7F37E"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4.</w:t>
      </w:r>
      <w:r w:rsidRPr="00F46956">
        <w:rPr>
          <w:rFonts w:ascii="Calibri" w:hAnsi="Calibri" w:cs="Calibri"/>
          <w:sz w:val="18"/>
        </w:rPr>
        <w:tab/>
        <w:t xml:space="preserve">RTE. </w:t>
      </w:r>
      <w:r w:rsidRPr="00F46956">
        <w:rPr>
          <w:rFonts w:ascii="Calibri" w:hAnsi="Calibri" w:cs="Calibri"/>
          <w:i/>
          <w:iCs/>
          <w:sz w:val="18"/>
        </w:rPr>
        <w:t>Energy pathways to 2050 - Key results - Executive summary</w:t>
      </w:r>
      <w:r w:rsidRPr="00F46956">
        <w:rPr>
          <w:rFonts w:ascii="Calibri" w:hAnsi="Calibri" w:cs="Calibri"/>
          <w:sz w:val="18"/>
        </w:rPr>
        <w:t>. 64 (2021).</w:t>
      </w:r>
    </w:p>
    <w:p w14:paraId="684526E0" w14:textId="75DD4D8A"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5.</w:t>
      </w:r>
      <w:r w:rsidRPr="00F46956">
        <w:rPr>
          <w:rFonts w:ascii="Calibri" w:hAnsi="Calibri" w:cs="Calibri"/>
          <w:sz w:val="18"/>
        </w:rPr>
        <w:tab/>
        <w:t xml:space="preserve">European Commission. </w:t>
      </w:r>
      <w:r w:rsidRPr="00F46956">
        <w:rPr>
          <w:rFonts w:ascii="Calibri" w:hAnsi="Calibri" w:cs="Calibri"/>
          <w:i/>
          <w:iCs/>
          <w:sz w:val="18"/>
        </w:rPr>
        <w:t>EU reference scenario 2020: energy, transport and GHG emissions: trends to 2050.</w:t>
      </w:r>
      <w:r w:rsidRPr="00F46956">
        <w:rPr>
          <w:rFonts w:ascii="Calibri" w:hAnsi="Calibri" w:cs="Calibri"/>
          <w:sz w:val="18"/>
        </w:rPr>
        <w:t xml:space="preserve"> (Publications Office of the European Union, 2021).</w:t>
      </w:r>
    </w:p>
    <w:p w14:paraId="3FF1541D"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lang w:val="fr-FR"/>
        </w:rPr>
        <w:t>6.</w:t>
      </w:r>
      <w:r w:rsidRPr="00F46956">
        <w:rPr>
          <w:rFonts w:ascii="Calibri" w:hAnsi="Calibri" w:cs="Calibri"/>
          <w:sz w:val="18"/>
          <w:lang w:val="fr-FR"/>
        </w:rPr>
        <w:tab/>
        <w:t xml:space="preserve">ADEME. </w:t>
      </w:r>
      <w:r w:rsidRPr="00F46956">
        <w:rPr>
          <w:rFonts w:ascii="Calibri" w:hAnsi="Calibri" w:cs="Calibri"/>
          <w:i/>
          <w:iCs/>
          <w:sz w:val="18"/>
          <w:lang w:val="fr-FR"/>
        </w:rPr>
        <w:t>Transition(s) 2050 - Choisir maintenant, Agir pour le climat - Rapport</w:t>
      </w:r>
      <w:r w:rsidRPr="00F46956">
        <w:rPr>
          <w:rFonts w:ascii="Calibri" w:hAnsi="Calibri" w:cs="Calibri"/>
          <w:sz w:val="18"/>
          <w:lang w:val="fr-FR"/>
        </w:rPr>
        <w:t xml:space="preserve">. </w:t>
      </w:r>
      <w:r w:rsidRPr="00F46956">
        <w:rPr>
          <w:rFonts w:ascii="Calibri" w:hAnsi="Calibri" w:cs="Calibri"/>
          <w:sz w:val="18"/>
        </w:rPr>
        <w:t>(ADEME Editions, 2021).</w:t>
      </w:r>
    </w:p>
    <w:p w14:paraId="2834B63A" w14:textId="7EC49E3D"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7.</w:t>
      </w:r>
      <w:r w:rsidRPr="00F46956">
        <w:rPr>
          <w:rFonts w:ascii="Calibri" w:hAnsi="Calibri" w:cs="Calibri"/>
          <w:sz w:val="18"/>
        </w:rPr>
        <w:tab/>
      </w:r>
      <w:proofErr w:type="spellStart"/>
      <w:r w:rsidRPr="00F46956">
        <w:rPr>
          <w:rFonts w:ascii="Calibri" w:hAnsi="Calibri" w:cs="Calibri"/>
          <w:sz w:val="18"/>
        </w:rPr>
        <w:t>Lorfing</w:t>
      </w:r>
      <w:proofErr w:type="spellEnd"/>
      <w:r w:rsidRPr="00F46956">
        <w:rPr>
          <w:rFonts w:ascii="Calibri" w:hAnsi="Calibri" w:cs="Calibri"/>
          <w:sz w:val="18"/>
        </w:rPr>
        <w:t xml:space="preserve">, D. </w:t>
      </w:r>
      <w:r w:rsidRPr="00F46956">
        <w:rPr>
          <w:rFonts w:ascii="Calibri" w:hAnsi="Calibri" w:cs="Calibri"/>
          <w:i/>
          <w:iCs/>
          <w:sz w:val="18"/>
        </w:rPr>
        <w:t>et al.</w:t>
      </w:r>
      <w:r w:rsidRPr="00F46956">
        <w:rPr>
          <w:rFonts w:ascii="Calibri" w:hAnsi="Calibri" w:cs="Calibri"/>
          <w:sz w:val="18"/>
        </w:rPr>
        <w:t xml:space="preserve"> Design and performance of a new type of boiler using concentrated solar flux. </w:t>
      </w:r>
      <w:r w:rsidRPr="00F46956">
        <w:rPr>
          <w:rFonts w:ascii="Calibri" w:hAnsi="Calibri" w:cs="Calibri"/>
          <w:i/>
          <w:iCs/>
          <w:sz w:val="18"/>
        </w:rPr>
        <w:t>Energy Conver</w:t>
      </w:r>
      <w:r w:rsidR="00F46956">
        <w:rPr>
          <w:rFonts w:ascii="Calibri" w:hAnsi="Calibri" w:cs="Calibri"/>
          <w:i/>
          <w:iCs/>
          <w:sz w:val="18"/>
        </w:rPr>
        <w:t>s.</w:t>
      </w:r>
      <w:r w:rsidRPr="00F46956">
        <w:rPr>
          <w:rFonts w:ascii="Calibri" w:hAnsi="Calibri" w:cs="Calibri"/>
          <w:i/>
          <w:iCs/>
          <w:sz w:val="18"/>
        </w:rPr>
        <w:t xml:space="preserve">  </w:t>
      </w:r>
      <w:proofErr w:type="spellStart"/>
      <w:r w:rsidRPr="00F46956">
        <w:rPr>
          <w:rFonts w:ascii="Calibri" w:hAnsi="Calibri" w:cs="Calibri"/>
          <w:i/>
          <w:iCs/>
          <w:sz w:val="18"/>
        </w:rPr>
        <w:t>Manag</w:t>
      </w:r>
      <w:proofErr w:type="spellEnd"/>
      <w:r w:rsidRPr="00F46956">
        <w:rPr>
          <w:rFonts w:ascii="Calibri" w:hAnsi="Calibri" w:cs="Calibri"/>
          <w:sz w:val="18"/>
        </w:rPr>
        <w:t xml:space="preserve"> </w:t>
      </w:r>
      <w:r w:rsidRPr="00F46956">
        <w:rPr>
          <w:rFonts w:ascii="Calibri" w:hAnsi="Calibri" w:cs="Calibri"/>
          <w:b/>
          <w:bCs/>
          <w:sz w:val="18"/>
        </w:rPr>
        <w:t>249</w:t>
      </w:r>
      <w:r w:rsidRPr="00F46956">
        <w:rPr>
          <w:rFonts w:ascii="Calibri" w:hAnsi="Calibri" w:cs="Calibri"/>
          <w:sz w:val="18"/>
        </w:rPr>
        <w:t>, 114835 (2021).</w:t>
      </w:r>
    </w:p>
    <w:p w14:paraId="093F92CF"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8.</w:t>
      </w:r>
      <w:r w:rsidRPr="00F46956">
        <w:rPr>
          <w:rFonts w:ascii="Calibri" w:hAnsi="Calibri" w:cs="Calibri"/>
          <w:sz w:val="18"/>
        </w:rPr>
        <w:tab/>
        <w:t xml:space="preserve">Mayer, P. </w:t>
      </w:r>
      <w:r w:rsidRPr="00F46956">
        <w:rPr>
          <w:rFonts w:ascii="Calibri" w:hAnsi="Calibri" w:cs="Calibri"/>
          <w:i/>
          <w:iCs/>
          <w:sz w:val="18"/>
        </w:rPr>
        <w:t>et al.</w:t>
      </w:r>
      <w:r w:rsidRPr="00F46956">
        <w:rPr>
          <w:rFonts w:ascii="Calibri" w:hAnsi="Calibri" w:cs="Calibri"/>
          <w:sz w:val="18"/>
        </w:rPr>
        <w:t xml:space="preserve"> Blue and green ammonia production: A techno-economic and life cycle assessment perspective. </w:t>
      </w:r>
      <w:proofErr w:type="spellStart"/>
      <w:r w:rsidRPr="00F46956">
        <w:rPr>
          <w:rFonts w:ascii="Calibri" w:hAnsi="Calibri" w:cs="Calibri"/>
          <w:i/>
          <w:iCs/>
          <w:sz w:val="18"/>
        </w:rPr>
        <w:t>iScience</w:t>
      </w:r>
      <w:proofErr w:type="spellEnd"/>
      <w:r w:rsidRPr="00F46956">
        <w:rPr>
          <w:rFonts w:ascii="Calibri" w:hAnsi="Calibri" w:cs="Calibri"/>
          <w:sz w:val="18"/>
        </w:rPr>
        <w:t xml:space="preserve"> </w:t>
      </w:r>
      <w:r w:rsidRPr="00F46956">
        <w:rPr>
          <w:rFonts w:ascii="Calibri" w:hAnsi="Calibri" w:cs="Calibri"/>
          <w:b/>
          <w:bCs/>
          <w:sz w:val="18"/>
        </w:rPr>
        <w:t>26</w:t>
      </w:r>
      <w:r w:rsidRPr="00F46956">
        <w:rPr>
          <w:rFonts w:ascii="Calibri" w:hAnsi="Calibri" w:cs="Calibri"/>
          <w:sz w:val="18"/>
        </w:rPr>
        <w:t>, 107389 (2023).</w:t>
      </w:r>
    </w:p>
    <w:p w14:paraId="66EFCA77" w14:textId="3ACD16BF"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9.</w:t>
      </w:r>
      <w:r w:rsidRPr="00F46956">
        <w:rPr>
          <w:rFonts w:ascii="Calibri" w:hAnsi="Calibri" w:cs="Calibri"/>
          <w:sz w:val="18"/>
        </w:rPr>
        <w:tab/>
        <w:t xml:space="preserve">OECD/FAO. </w:t>
      </w:r>
      <w:r w:rsidRPr="00F46956">
        <w:rPr>
          <w:rFonts w:ascii="Calibri" w:hAnsi="Calibri" w:cs="Calibri"/>
          <w:i/>
          <w:iCs/>
          <w:sz w:val="18"/>
        </w:rPr>
        <w:t>OECD-FAO Agricultural Outlook 2022-2031</w:t>
      </w:r>
      <w:r w:rsidRPr="00F46956">
        <w:rPr>
          <w:rFonts w:ascii="Calibri" w:hAnsi="Calibri" w:cs="Calibri"/>
          <w:sz w:val="18"/>
        </w:rPr>
        <w:t>. (OECD Publishing, 2022).</w:t>
      </w:r>
    </w:p>
    <w:p w14:paraId="18372B13"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10.</w:t>
      </w:r>
      <w:r w:rsidRPr="00F46956">
        <w:rPr>
          <w:rFonts w:ascii="Calibri" w:hAnsi="Calibri" w:cs="Calibri"/>
          <w:sz w:val="18"/>
        </w:rPr>
        <w:tab/>
      </w:r>
      <w:proofErr w:type="spellStart"/>
      <w:r w:rsidRPr="00F46956">
        <w:rPr>
          <w:rFonts w:ascii="Calibri" w:hAnsi="Calibri" w:cs="Calibri"/>
          <w:sz w:val="18"/>
        </w:rPr>
        <w:t>Searchinger</w:t>
      </w:r>
      <w:proofErr w:type="spellEnd"/>
      <w:r w:rsidRPr="00F46956">
        <w:rPr>
          <w:rFonts w:ascii="Calibri" w:hAnsi="Calibri" w:cs="Calibri"/>
          <w:sz w:val="18"/>
        </w:rPr>
        <w:t xml:space="preserve">, T., Waite, R., Hanson, C., Ranganathan, J. &amp; Matthews, E. </w:t>
      </w:r>
      <w:r w:rsidRPr="00F46956">
        <w:rPr>
          <w:rFonts w:ascii="Calibri" w:hAnsi="Calibri" w:cs="Calibri"/>
          <w:i/>
          <w:iCs/>
          <w:sz w:val="18"/>
        </w:rPr>
        <w:t>Creating a sustainable food future: A menu of solutions to feed nearly 10 billion people by 2050. Final Report</w:t>
      </w:r>
      <w:r w:rsidRPr="00F46956">
        <w:rPr>
          <w:rFonts w:ascii="Calibri" w:hAnsi="Calibri" w:cs="Calibri"/>
          <w:sz w:val="18"/>
        </w:rPr>
        <w:t>. (World Resource Institute, 2018).</w:t>
      </w:r>
    </w:p>
    <w:p w14:paraId="177C2456" w14:textId="63D77794"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11.</w:t>
      </w:r>
      <w:r w:rsidRPr="00F46956">
        <w:rPr>
          <w:rFonts w:ascii="Calibri" w:hAnsi="Calibri" w:cs="Calibri"/>
          <w:sz w:val="18"/>
        </w:rPr>
        <w:tab/>
        <w:t xml:space="preserve">Schmidt, J. H. Life cycle assessment of five vegetable oils. </w:t>
      </w:r>
      <w:r w:rsidRPr="00F46956">
        <w:rPr>
          <w:rFonts w:ascii="Calibri" w:hAnsi="Calibri" w:cs="Calibri"/>
          <w:i/>
          <w:iCs/>
          <w:sz w:val="18"/>
        </w:rPr>
        <w:t>J Clean Prod</w:t>
      </w:r>
      <w:r w:rsidRPr="00F46956">
        <w:rPr>
          <w:rFonts w:ascii="Calibri" w:hAnsi="Calibri" w:cs="Calibri"/>
          <w:sz w:val="18"/>
        </w:rPr>
        <w:t xml:space="preserve"> </w:t>
      </w:r>
      <w:r w:rsidRPr="00F46956">
        <w:rPr>
          <w:rFonts w:ascii="Calibri" w:hAnsi="Calibri" w:cs="Calibri"/>
          <w:b/>
          <w:bCs/>
          <w:sz w:val="18"/>
        </w:rPr>
        <w:t>87</w:t>
      </w:r>
      <w:r w:rsidRPr="00F46956">
        <w:rPr>
          <w:rFonts w:ascii="Calibri" w:hAnsi="Calibri" w:cs="Calibri"/>
          <w:sz w:val="18"/>
        </w:rPr>
        <w:t>, 130–138 (2015).</w:t>
      </w:r>
    </w:p>
    <w:p w14:paraId="108AC612"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12.</w:t>
      </w:r>
      <w:r w:rsidRPr="00F46956">
        <w:rPr>
          <w:rFonts w:ascii="Calibri" w:hAnsi="Calibri" w:cs="Calibri"/>
          <w:sz w:val="18"/>
        </w:rPr>
        <w:tab/>
      </w:r>
      <w:proofErr w:type="spellStart"/>
      <w:r w:rsidRPr="00F46956">
        <w:rPr>
          <w:rFonts w:ascii="Calibri" w:hAnsi="Calibri" w:cs="Calibri"/>
          <w:sz w:val="18"/>
        </w:rPr>
        <w:t>Dalgaard</w:t>
      </w:r>
      <w:proofErr w:type="spellEnd"/>
      <w:r w:rsidRPr="00F46956">
        <w:rPr>
          <w:rFonts w:ascii="Calibri" w:hAnsi="Calibri" w:cs="Calibri"/>
          <w:sz w:val="18"/>
        </w:rPr>
        <w:t xml:space="preserve">, R. </w:t>
      </w:r>
      <w:r w:rsidRPr="00F46956">
        <w:rPr>
          <w:rFonts w:ascii="Calibri" w:hAnsi="Calibri" w:cs="Calibri"/>
          <w:i/>
          <w:iCs/>
          <w:sz w:val="18"/>
        </w:rPr>
        <w:t>et al.</w:t>
      </w:r>
      <w:r w:rsidRPr="00F46956">
        <w:rPr>
          <w:rFonts w:ascii="Calibri" w:hAnsi="Calibri" w:cs="Calibri"/>
          <w:sz w:val="18"/>
        </w:rPr>
        <w:t xml:space="preserve"> LCA of soybean meal. </w:t>
      </w:r>
      <w:r w:rsidRPr="00F46956">
        <w:rPr>
          <w:rFonts w:ascii="Calibri" w:hAnsi="Calibri" w:cs="Calibri"/>
          <w:i/>
          <w:iCs/>
          <w:sz w:val="18"/>
        </w:rPr>
        <w:t>Int J Life Cycle Assess</w:t>
      </w:r>
      <w:r w:rsidRPr="00F46956">
        <w:rPr>
          <w:rFonts w:ascii="Calibri" w:hAnsi="Calibri" w:cs="Calibri"/>
          <w:sz w:val="18"/>
        </w:rPr>
        <w:t xml:space="preserve"> </w:t>
      </w:r>
      <w:r w:rsidRPr="00F46956">
        <w:rPr>
          <w:rFonts w:ascii="Calibri" w:hAnsi="Calibri" w:cs="Calibri"/>
          <w:b/>
          <w:bCs/>
          <w:sz w:val="18"/>
        </w:rPr>
        <w:t>13</w:t>
      </w:r>
      <w:r w:rsidRPr="00F46956">
        <w:rPr>
          <w:rFonts w:ascii="Calibri" w:hAnsi="Calibri" w:cs="Calibri"/>
          <w:sz w:val="18"/>
        </w:rPr>
        <w:t>, 240 (2007).</w:t>
      </w:r>
    </w:p>
    <w:p w14:paraId="36DD5750"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13.</w:t>
      </w:r>
      <w:r w:rsidRPr="00F46956">
        <w:rPr>
          <w:rFonts w:ascii="Calibri" w:hAnsi="Calibri" w:cs="Calibri"/>
          <w:sz w:val="18"/>
        </w:rPr>
        <w:tab/>
      </w:r>
      <w:proofErr w:type="spellStart"/>
      <w:r w:rsidRPr="00F46956">
        <w:rPr>
          <w:rFonts w:ascii="Calibri" w:hAnsi="Calibri" w:cs="Calibri"/>
          <w:sz w:val="18"/>
        </w:rPr>
        <w:t>ecoinvent</w:t>
      </w:r>
      <w:proofErr w:type="spellEnd"/>
      <w:r w:rsidRPr="00F46956">
        <w:rPr>
          <w:rFonts w:ascii="Calibri" w:hAnsi="Calibri" w:cs="Calibri"/>
          <w:sz w:val="18"/>
        </w:rPr>
        <w:t xml:space="preserve">. </w:t>
      </w:r>
      <w:proofErr w:type="spellStart"/>
      <w:r w:rsidRPr="00F46956">
        <w:rPr>
          <w:rFonts w:ascii="Calibri" w:hAnsi="Calibri" w:cs="Calibri"/>
          <w:sz w:val="18"/>
        </w:rPr>
        <w:t>ecoinvent</w:t>
      </w:r>
      <w:proofErr w:type="spellEnd"/>
      <w:r w:rsidRPr="00F46956">
        <w:rPr>
          <w:rFonts w:ascii="Calibri" w:hAnsi="Calibri" w:cs="Calibri"/>
          <w:sz w:val="18"/>
        </w:rPr>
        <w:t xml:space="preserve"> databases. https://ecoinvent.org/ (2022).</w:t>
      </w:r>
    </w:p>
    <w:p w14:paraId="646B696F"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14.</w:t>
      </w:r>
      <w:r w:rsidRPr="00F46956">
        <w:rPr>
          <w:rFonts w:ascii="Calibri" w:hAnsi="Calibri" w:cs="Calibri"/>
          <w:sz w:val="18"/>
        </w:rPr>
        <w:tab/>
        <w:t xml:space="preserve">Schmidt, J. &amp; De Rosa, M. Certified palm oil reduces greenhouse gas emissions compared to non-certified. </w:t>
      </w:r>
      <w:r w:rsidRPr="00F46956">
        <w:rPr>
          <w:rFonts w:ascii="Calibri" w:hAnsi="Calibri" w:cs="Calibri"/>
          <w:i/>
          <w:iCs/>
          <w:sz w:val="18"/>
        </w:rPr>
        <w:t>J Clean Prod</w:t>
      </w:r>
      <w:r w:rsidRPr="00F46956">
        <w:rPr>
          <w:rFonts w:ascii="Calibri" w:hAnsi="Calibri" w:cs="Calibri"/>
          <w:sz w:val="18"/>
        </w:rPr>
        <w:t xml:space="preserve"> </w:t>
      </w:r>
      <w:r w:rsidRPr="00F46956">
        <w:rPr>
          <w:rFonts w:ascii="Calibri" w:hAnsi="Calibri" w:cs="Calibri"/>
          <w:b/>
          <w:bCs/>
          <w:sz w:val="18"/>
        </w:rPr>
        <w:t>277</w:t>
      </w:r>
      <w:r w:rsidRPr="00F46956">
        <w:rPr>
          <w:rFonts w:ascii="Calibri" w:hAnsi="Calibri" w:cs="Calibri"/>
          <w:sz w:val="18"/>
        </w:rPr>
        <w:t>, 124045 (2020).</w:t>
      </w:r>
    </w:p>
    <w:p w14:paraId="07B8AB35"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15.</w:t>
      </w:r>
      <w:r w:rsidRPr="00F46956">
        <w:rPr>
          <w:rFonts w:ascii="Calibri" w:hAnsi="Calibri" w:cs="Calibri"/>
          <w:sz w:val="18"/>
        </w:rPr>
        <w:tab/>
        <w:t>INRAE. ECOALIM database. https://www6.inrae.fr/ecoalim_eng/ (2016).</w:t>
      </w:r>
    </w:p>
    <w:p w14:paraId="528CC899" w14:textId="5C13525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16.</w:t>
      </w:r>
      <w:r w:rsidRPr="00F46956">
        <w:rPr>
          <w:rFonts w:ascii="Calibri" w:hAnsi="Calibri" w:cs="Calibri"/>
          <w:sz w:val="18"/>
        </w:rPr>
        <w:tab/>
        <w:t xml:space="preserve">European Commission, Joint Research Centre, </w:t>
      </w:r>
      <w:proofErr w:type="spellStart"/>
      <w:r w:rsidRPr="00F46956">
        <w:rPr>
          <w:rFonts w:ascii="Calibri" w:hAnsi="Calibri" w:cs="Calibri"/>
          <w:sz w:val="18"/>
        </w:rPr>
        <w:t>Cucurachi</w:t>
      </w:r>
      <w:proofErr w:type="spellEnd"/>
      <w:r w:rsidRPr="00F46956">
        <w:rPr>
          <w:rFonts w:ascii="Calibri" w:hAnsi="Calibri" w:cs="Calibri"/>
          <w:sz w:val="18"/>
        </w:rPr>
        <w:t xml:space="preserve">, S., </w:t>
      </w:r>
      <w:proofErr w:type="spellStart"/>
      <w:r w:rsidRPr="00F46956">
        <w:rPr>
          <w:rFonts w:ascii="Calibri" w:hAnsi="Calibri" w:cs="Calibri"/>
          <w:sz w:val="18"/>
        </w:rPr>
        <w:t>Steubing</w:t>
      </w:r>
      <w:proofErr w:type="spellEnd"/>
      <w:r w:rsidRPr="00F46956">
        <w:rPr>
          <w:rFonts w:ascii="Calibri" w:hAnsi="Calibri" w:cs="Calibri"/>
          <w:sz w:val="18"/>
        </w:rPr>
        <w:t xml:space="preserve">, B., &amp; </w:t>
      </w:r>
      <w:proofErr w:type="spellStart"/>
      <w:r w:rsidRPr="00F46956">
        <w:rPr>
          <w:rFonts w:ascii="Calibri" w:hAnsi="Calibri" w:cs="Calibri"/>
          <w:sz w:val="18"/>
        </w:rPr>
        <w:t>Siebler</w:t>
      </w:r>
      <w:proofErr w:type="spellEnd"/>
      <w:r w:rsidRPr="00F46956">
        <w:rPr>
          <w:rFonts w:ascii="Calibri" w:hAnsi="Calibri" w:cs="Calibri"/>
          <w:sz w:val="18"/>
        </w:rPr>
        <w:t xml:space="preserve">, F. </w:t>
      </w:r>
      <w:r w:rsidRPr="00F46956">
        <w:rPr>
          <w:rFonts w:ascii="Calibri" w:hAnsi="Calibri" w:cs="Calibri"/>
          <w:i/>
          <w:iCs/>
          <w:sz w:val="18"/>
        </w:rPr>
        <w:t xml:space="preserve">Prospective LCA methodology for novel and emerging technologies for bio-based products: </w:t>
      </w:r>
      <w:proofErr w:type="gramStart"/>
      <w:r w:rsidRPr="00F46956">
        <w:rPr>
          <w:rFonts w:ascii="Calibri" w:hAnsi="Calibri" w:cs="Calibri"/>
          <w:i/>
          <w:iCs/>
          <w:sz w:val="18"/>
        </w:rPr>
        <w:t>the</w:t>
      </w:r>
      <w:proofErr w:type="gramEnd"/>
      <w:r w:rsidRPr="00F46956">
        <w:rPr>
          <w:rFonts w:ascii="Calibri" w:hAnsi="Calibri" w:cs="Calibri"/>
          <w:i/>
          <w:iCs/>
          <w:sz w:val="18"/>
        </w:rPr>
        <w:t xml:space="preserve"> Planet Bio project</w:t>
      </w:r>
      <w:r w:rsidRPr="00F46956">
        <w:rPr>
          <w:rFonts w:ascii="Calibri" w:hAnsi="Calibri" w:cs="Calibri"/>
          <w:sz w:val="18"/>
        </w:rPr>
        <w:t>. (Publications Office of the European Union, 2022).</w:t>
      </w:r>
    </w:p>
    <w:p w14:paraId="7DF88632"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17.</w:t>
      </w:r>
      <w:r w:rsidRPr="00F46956">
        <w:rPr>
          <w:rFonts w:ascii="Calibri" w:hAnsi="Calibri" w:cs="Calibri"/>
          <w:sz w:val="18"/>
        </w:rPr>
        <w:tab/>
        <w:t>FAO. FAOSTAT. http://www.fao.org/faostat/en/ (2019).</w:t>
      </w:r>
    </w:p>
    <w:p w14:paraId="42412C97"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lang w:val="fr-FR"/>
        </w:rPr>
        <w:t>18.</w:t>
      </w:r>
      <w:r w:rsidRPr="00F46956">
        <w:rPr>
          <w:rFonts w:ascii="Calibri" w:hAnsi="Calibri" w:cs="Calibri"/>
          <w:sz w:val="18"/>
          <w:lang w:val="fr-FR"/>
        </w:rPr>
        <w:tab/>
      </w:r>
      <w:proofErr w:type="spellStart"/>
      <w:r w:rsidRPr="00F46956">
        <w:rPr>
          <w:rFonts w:ascii="Calibri" w:hAnsi="Calibri" w:cs="Calibri"/>
          <w:sz w:val="18"/>
          <w:lang w:val="fr-FR"/>
        </w:rPr>
        <w:t>Wilfart</w:t>
      </w:r>
      <w:proofErr w:type="spellEnd"/>
      <w:r w:rsidRPr="00F46956">
        <w:rPr>
          <w:rFonts w:ascii="Calibri" w:hAnsi="Calibri" w:cs="Calibri"/>
          <w:sz w:val="18"/>
          <w:lang w:val="fr-FR"/>
        </w:rPr>
        <w:t xml:space="preserve">, A. </w:t>
      </w:r>
      <w:r w:rsidRPr="00F46956">
        <w:rPr>
          <w:rFonts w:ascii="Calibri" w:hAnsi="Calibri" w:cs="Calibri"/>
          <w:i/>
          <w:iCs/>
          <w:sz w:val="18"/>
          <w:lang w:val="fr-FR"/>
        </w:rPr>
        <w:t>et al.</w:t>
      </w:r>
      <w:r w:rsidRPr="00F46956">
        <w:rPr>
          <w:rFonts w:ascii="Calibri" w:hAnsi="Calibri" w:cs="Calibri"/>
          <w:sz w:val="18"/>
          <w:lang w:val="fr-FR"/>
        </w:rPr>
        <w:t xml:space="preserve"> Réduire les impacts environnementaux des aliments pour les animaux d’élevage. </w:t>
      </w:r>
      <w:r w:rsidRPr="00F46956">
        <w:rPr>
          <w:rFonts w:ascii="Calibri" w:hAnsi="Calibri" w:cs="Calibri"/>
          <w:i/>
          <w:iCs/>
          <w:sz w:val="18"/>
        </w:rPr>
        <w:t>INRA Prod. Anim.</w:t>
      </w:r>
      <w:r w:rsidRPr="00F46956">
        <w:rPr>
          <w:rFonts w:ascii="Calibri" w:hAnsi="Calibri" w:cs="Calibri"/>
          <w:sz w:val="18"/>
        </w:rPr>
        <w:t xml:space="preserve"> </w:t>
      </w:r>
      <w:r w:rsidRPr="00F46956">
        <w:rPr>
          <w:rFonts w:ascii="Calibri" w:hAnsi="Calibri" w:cs="Calibri"/>
          <w:b/>
          <w:bCs/>
          <w:sz w:val="18"/>
        </w:rPr>
        <w:t>31</w:t>
      </w:r>
      <w:r w:rsidRPr="00F46956">
        <w:rPr>
          <w:rFonts w:ascii="Calibri" w:hAnsi="Calibri" w:cs="Calibri"/>
          <w:sz w:val="18"/>
        </w:rPr>
        <w:t>, 289–306 (2019).</w:t>
      </w:r>
    </w:p>
    <w:p w14:paraId="59588395" w14:textId="43D92B59"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19.</w:t>
      </w:r>
      <w:r w:rsidRPr="00F46956">
        <w:rPr>
          <w:rFonts w:ascii="Calibri" w:hAnsi="Calibri" w:cs="Calibri"/>
          <w:sz w:val="18"/>
        </w:rPr>
        <w:tab/>
        <w:t xml:space="preserve">Cameron, B. </w:t>
      </w:r>
      <w:r w:rsidRPr="00F46956">
        <w:rPr>
          <w:rFonts w:ascii="Calibri" w:hAnsi="Calibri" w:cs="Calibri"/>
          <w:i/>
          <w:iCs/>
          <w:sz w:val="18"/>
        </w:rPr>
        <w:t>et al.</w:t>
      </w:r>
      <w:r w:rsidRPr="00F46956">
        <w:rPr>
          <w:rFonts w:ascii="Calibri" w:hAnsi="Calibri" w:cs="Calibri"/>
          <w:sz w:val="18"/>
        </w:rPr>
        <w:t xml:space="preserve"> </w:t>
      </w:r>
      <w:r w:rsidRPr="00F46956">
        <w:rPr>
          <w:rFonts w:ascii="Calibri" w:hAnsi="Calibri" w:cs="Calibri"/>
          <w:i/>
          <w:iCs/>
          <w:sz w:val="18"/>
        </w:rPr>
        <w:t>Plant-based meat, eggs and dairy</w:t>
      </w:r>
      <w:r w:rsidRPr="00F46956">
        <w:rPr>
          <w:rFonts w:ascii="Calibri" w:hAnsi="Calibri" w:cs="Calibri"/>
          <w:sz w:val="18"/>
        </w:rPr>
        <w:t>. (</w:t>
      </w:r>
      <w:r w:rsidR="00F46956">
        <w:rPr>
          <w:rFonts w:ascii="Calibri" w:hAnsi="Calibri" w:cs="Calibri"/>
          <w:sz w:val="18"/>
        </w:rPr>
        <w:t xml:space="preserve">The Good Food Institute, </w:t>
      </w:r>
      <w:r w:rsidRPr="00F46956">
        <w:rPr>
          <w:rFonts w:ascii="Calibri" w:hAnsi="Calibri" w:cs="Calibri"/>
          <w:sz w:val="18"/>
        </w:rPr>
        <w:t>2019).</w:t>
      </w:r>
    </w:p>
    <w:p w14:paraId="33BCC618"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20.</w:t>
      </w:r>
      <w:r w:rsidRPr="00F46956">
        <w:rPr>
          <w:rFonts w:ascii="Calibri" w:hAnsi="Calibri" w:cs="Calibri"/>
          <w:sz w:val="18"/>
        </w:rPr>
        <w:tab/>
        <w:t xml:space="preserve">Howard, P. H. Cellular agriculture will reinforce power asymmetries in food systems. </w:t>
      </w:r>
      <w:r w:rsidRPr="00F46956">
        <w:rPr>
          <w:rFonts w:ascii="Calibri" w:hAnsi="Calibri" w:cs="Calibri"/>
          <w:i/>
          <w:iCs/>
          <w:sz w:val="18"/>
        </w:rPr>
        <w:t>Nat Food</w:t>
      </w:r>
      <w:r w:rsidRPr="00F46956">
        <w:rPr>
          <w:rFonts w:ascii="Calibri" w:hAnsi="Calibri" w:cs="Calibri"/>
          <w:sz w:val="18"/>
        </w:rPr>
        <w:t xml:space="preserve"> </w:t>
      </w:r>
      <w:r w:rsidRPr="00F46956">
        <w:rPr>
          <w:rFonts w:ascii="Calibri" w:hAnsi="Calibri" w:cs="Calibri"/>
          <w:b/>
          <w:bCs/>
          <w:sz w:val="18"/>
        </w:rPr>
        <w:t>3</w:t>
      </w:r>
      <w:r w:rsidRPr="00F46956">
        <w:rPr>
          <w:rFonts w:ascii="Calibri" w:hAnsi="Calibri" w:cs="Calibri"/>
          <w:sz w:val="18"/>
        </w:rPr>
        <w:t>, 798–800 (2022).</w:t>
      </w:r>
    </w:p>
    <w:p w14:paraId="6C084DD3"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21.</w:t>
      </w:r>
      <w:r w:rsidRPr="00F46956">
        <w:rPr>
          <w:rFonts w:ascii="Calibri" w:hAnsi="Calibri" w:cs="Calibri"/>
          <w:sz w:val="18"/>
        </w:rPr>
        <w:tab/>
        <w:t xml:space="preserve">Alvaro, C. A virtue-ethical approach to cultured meat. </w:t>
      </w:r>
      <w:r w:rsidRPr="00F46956">
        <w:rPr>
          <w:rFonts w:ascii="Calibri" w:hAnsi="Calibri" w:cs="Calibri"/>
          <w:i/>
          <w:iCs/>
          <w:sz w:val="18"/>
        </w:rPr>
        <w:t>Nat Food</w:t>
      </w:r>
      <w:r w:rsidRPr="00F46956">
        <w:rPr>
          <w:rFonts w:ascii="Calibri" w:hAnsi="Calibri" w:cs="Calibri"/>
          <w:sz w:val="18"/>
        </w:rPr>
        <w:t xml:space="preserve"> </w:t>
      </w:r>
      <w:r w:rsidRPr="00F46956">
        <w:rPr>
          <w:rFonts w:ascii="Calibri" w:hAnsi="Calibri" w:cs="Calibri"/>
          <w:b/>
          <w:bCs/>
          <w:sz w:val="18"/>
        </w:rPr>
        <w:t>3</w:t>
      </w:r>
      <w:r w:rsidRPr="00F46956">
        <w:rPr>
          <w:rFonts w:ascii="Calibri" w:hAnsi="Calibri" w:cs="Calibri"/>
          <w:sz w:val="18"/>
        </w:rPr>
        <w:t>, 788–790 (2022).</w:t>
      </w:r>
    </w:p>
    <w:p w14:paraId="159E7FF5" w14:textId="77777777" w:rsidR="00835534" w:rsidRPr="00F46956" w:rsidRDefault="00835534" w:rsidP="00F46956">
      <w:pPr>
        <w:pStyle w:val="Contenudetableau"/>
        <w:jc w:val="both"/>
        <w:rPr>
          <w:rFonts w:ascii="Calibri" w:hAnsi="Calibri" w:cs="Calibri"/>
          <w:sz w:val="18"/>
          <w:lang w:val="fr-FR"/>
        </w:rPr>
      </w:pPr>
      <w:r w:rsidRPr="00F46956">
        <w:rPr>
          <w:rFonts w:ascii="Calibri" w:hAnsi="Calibri" w:cs="Calibri"/>
          <w:sz w:val="18"/>
        </w:rPr>
        <w:t>22.</w:t>
      </w:r>
      <w:r w:rsidRPr="00F46956">
        <w:rPr>
          <w:rFonts w:ascii="Calibri" w:hAnsi="Calibri" w:cs="Calibri"/>
          <w:sz w:val="18"/>
        </w:rPr>
        <w:tab/>
      </w:r>
      <w:proofErr w:type="spellStart"/>
      <w:r w:rsidRPr="00F46956">
        <w:rPr>
          <w:rFonts w:ascii="Calibri" w:hAnsi="Calibri" w:cs="Calibri"/>
          <w:sz w:val="18"/>
        </w:rPr>
        <w:t>Erkkola</w:t>
      </w:r>
      <w:proofErr w:type="spellEnd"/>
      <w:r w:rsidRPr="00F46956">
        <w:rPr>
          <w:rFonts w:ascii="Calibri" w:hAnsi="Calibri" w:cs="Calibri"/>
          <w:sz w:val="18"/>
        </w:rPr>
        <w:t xml:space="preserve">, M. </w:t>
      </w:r>
      <w:r w:rsidRPr="00F46956">
        <w:rPr>
          <w:rFonts w:ascii="Calibri" w:hAnsi="Calibri" w:cs="Calibri"/>
          <w:i/>
          <w:iCs/>
          <w:sz w:val="18"/>
        </w:rPr>
        <w:t>et al.</w:t>
      </w:r>
      <w:r w:rsidRPr="00F46956">
        <w:rPr>
          <w:rFonts w:ascii="Calibri" w:hAnsi="Calibri" w:cs="Calibri"/>
          <w:sz w:val="18"/>
        </w:rPr>
        <w:t xml:space="preserve"> A slow road from meat dominance to more sustainable diets: An analysis of purchase preferences among Finnish loyalty-card holders. </w:t>
      </w:r>
      <w:r w:rsidRPr="00F46956">
        <w:rPr>
          <w:rFonts w:ascii="Calibri" w:hAnsi="Calibri" w:cs="Calibri"/>
          <w:i/>
          <w:iCs/>
          <w:sz w:val="18"/>
          <w:lang w:val="fr-FR"/>
        </w:rPr>
        <w:t xml:space="preserve">PLOS </w:t>
      </w:r>
      <w:proofErr w:type="spellStart"/>
      <w:r w:rsidRPr="00F46956">
        <w:rPr>
          <w:rFonts w:ascii="Calibri" w:hAnsi="Calibri" w:cs="Calibri"/>
          <w:i/>
          <w:iCs/>
          <w:sz w:val="18"/>
          <w:lang w:val="fr-FR"/>
        </w:rPr>
        <w:t>Sustainability</w:t>
      </w:r>
      <w:proofErr w:type="spellEnd"/>
      <w:r w:rsidRPr="00F46956">
        <w:rPr>
          <w:rFonts w:ascii="Calibri" w:hAnsi="Calibri" w:cs="Calibri"/>
          <w:i/>
          <w:iCs/>
          <w:sz w:val="18"/>
          <w:lang w:val="fr-FR"/>
        </w:rPr>
        <w:t xml:space="preserve"> and Transformation</w:t>
      </w:r>
      <w:r w:rsidRPr="00F46956">
        <w:rPr>
          <w:rFonts w:ascii="Calibri" w:hAnsi="Calibri" w:cs="Calibri"/>
          <w:sz w:val="18"/>
          <w:lang w:val="fr-FR"/>
        </w:rPr>
        <w:t xml:space="preserve"> </w:t>
      </w:r>
      <w:r w:rsidRPr="00F46956">
        <w:rPr>
          <w:rFonts w:ascii="Calibri" w:hAnsi="Calibri" w:cs="Calibri"/>
          <w:b/>
          <w:bCs/>
          <w:sz w:val="18"/>
          <w:lang w:val="fr-FR"/>
        </w:rPr>
        <w:t>1</w:t>
      </w:r>
      <w:r w:rsidRPr="00F46956">
        <w:rPr>
          <w:rFonts w:ascii="Calibri" w:hAnsi="Calibri" w:cs="Calibri"/>
          <w:sz w:val="18"/>
          <w:lang w:val="fr-FR"/>
        </w:rPr>
        <w:t>, e0000015 (2022).</w:t>
      </w:r>
    </w:p>
    <w:p w14:paraId="7C9F877B"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lang w:val="fr-FR"/>
        </w:rPr>
        <w:t>23.</w:t>
      </w:r>
      <w:r w:rsidRPr="00F46956">
        <w:rPr>
          <w:rFonts w:ascii="Calibri" w:hAnsi="Calibri" w:cs="Calibri"/>
          <w:sz w:val="18"/>
          <w:lang w:val="fr-FR"/>
        </w:rPr>
        <w:tab/>
        <w:t xml:space="preserve">Laisse, S. </w:t>
      </w:r>
      <w:r w:rsidRPr="00F46956">
        <w:rPr>
          <w:rFonts w:ascii="Calibri" w:hAnsi="Calibri" w:cs="Calibri"/>
          <w:i/>
          <w:iCs/>
          <w:sz w:val="18"/>
          <w:lang w:val="fr-FR"/>
        </w:rPr>
        <w:t>et al.</w:t>
      </w:r>
      <w:r w:rsidRPr="00F46956">
        <w:rPr>
          <w:rFonts w:ascii="Calibri" w:hAnsi="Calibri" w:cs="Calibri"/>
          <w:sz w:val="18"/>
          <w:lang w:val="fr-FR"/>
        </w:rPr>
        <w:t xml:space="preserve"> L’efficience nette de conversion des aliments par les animaux d’élevage : une nouvelle approche pour évaluer la contribution de l’élevage à l’alimentation humaine. </w:t>
      </w:r>
      <w:r w:rsidRPr="00F46956">
        <w:rPr>
          <w:rFonts w:ascii="Calibri" w:hAnsi="Calibri" w:cs="Calibri"/>
          <w:i/>
          <w:iCs/>
          <w:sz w:val="18"/>
        </w:rPr>
        <w:t xml:space="preserve">INRA Prod. </w:t>
      </w:r>
      <w:proofErr w:type="spellStart"/>
      <w:r w:rsidRPr="00F46956">
        <w:rPr>
          <w:rFonts w:ascii="Calibri" w:hAnsi="Calibri" w:cs="Calibri"/>
          <w:i/>
          <w:iCs/>
          <w:sz w:val="18"/>
        </w:rPr>
        <w:t>Anim</w:t>
      </w:r>
      <w:proofErr w:type="spellEnd"/>
      <w:r w:rsidRPr="00F46956">
        <w:rPr>
          <w:rFonts w:ascii="Calibri" w:hAnsi="Calibri" w:cs="Calibri"/>
          <w:sz w:val="18"/>
        </w:rPr>
        <w:t xml:space="preserve"> </w:t>
      </w:r>
      <w:r w:rsidRPr="00F46956">
        <w:rPr>
          <w:rFonts w:ascii="Calibri" w:hAnsi="Calibri" w:cs="Calibri"/>
          <w:b/>
          <w:bCs/>
          <w:sz w:val="18"/>
        </w:rPr>
        <w:t>31</w:t>
      </w:r>
      <w:r w:rsidRPr="00F46956">
        <w:rPr>
          <w:rFonts w:ascii="Calibri" w:hAnsi="Calibri" w:cs="Calibri"/>
          <w:sz w:val="18"/>
        </w:rPr>
        <w:t>, 269–288 (2018).</w:t>
      </w:r>
    </w:p>
    <w:p w14:paraId="0F1D83B4"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24.</w:t>
      </w:r>
      <w:r w:rsidRPr="00F46956">
        <w:rPr>
          <w:rFonts w:ascii="Calibri" w:hAnsi="Calibri" w:cs="Calibri"/>
          <w:sz w:val="18"/>
        </w:rPr>
        <w:tab/>
        <w:t>U.S. DEPARTMENT OF AGRICULTURE. USDA.</w:t>
      </w:r>
    </w:p>
    <w:p w14:paraId="7A525A57"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25.</w:t>
      </w:r>
      <w:r w:rsidRPr="00F46956">
        <w:rPr>
          <w:rFonts w:ascii="Calibri" w:hAnsi="Calibri" w:cs="Calibri"/>
          <w:sz w:val="18"/>
        </w:rPr>
        <w:tab/>
      </w:r>
      <w:proofErr w:type="spellStart"/>
      <w:r w:rsidRPr="00F46956">
        <w:rPr>
          <w:rFonts w:ascii="Calibri" w:hAnsi="Calibri" w:cs="Calibri"/>
          <w:sz w:val="18"/>
        </w:rPr>
        <w:t>Poore</w:t>
      </w:r>
      <w:proofErr w:type="spellEnd"/>
      <w:r w:rsidRPr="00F46956">
        <w:rPr>
          <w:rFonts w:ascii="Calibri" w:hAnsi="Calibri" w:cs="Calibri"/>
          <w:sz w:val="18"/>
        </w:rPr>
        <w:t xml:space="preserve">, J. &amp; </w:t>
      </w:r>
      <w:proofErr w:type="spellStart"/>
      <w:r w:rsidRPr="00F46956">
        <w:rPr>
          <w:rFonts w:ascii="Calibri" w:hAnsi="Calibri" w:cs="Calibri"/>
          <w:sz w:val="18"/>
        </w:rPr>
        <w:t>Nemecek</w:t>
      </w:r>
      <w:proofErr w:type="spellEnd"/>
      <w:r w:rsidRPr="00F46956">
        <w:rPr>
          <w:rFonts w:ascii="Calibri" w:hAnsi="Calibri" w:cs="Calibri"/>
          <w:sz w:val="18"/>
        </w:rPr>
        <w:t xml:space="preserve">, T. Reducing food’s environmental impacts through producers and consumers. </w:t>
      </w:r>
      <w:r w:rsidRPr="00F46956">
        <w:rPr>
          <w:rFonts w:ascii="Calibri" w:hAnsi="Calibri" w:cs="Calibri"/>
          <w:i/>
          <w:iCs/>
          <w:sz w:val="18"/>
        </w:rPr>
        <w:t>Science</w:t>
      </w:r>
      <w:r w:rsidRPr="00F46956">
        <w:rPr>
          <w:rFonts w:ascii="Calibri" w:hAnsi="Calibri" w:cs="Calibri"/>
          <w:sz w:val="18"/>
        </w:rPr>
        <w:t xml:space="preserve"> </w:t>
      </w:r>
      <w:r w:rsidRPr="00F46956">
        <w:rPr>
          <w:rFonts w:ascii="Calibri" w:hAnsi="Calibri" w:cs="Calibri"/>
          <w:b/>
          <w:bCs/>
          <w:sz w:val="18"/>
        </w:rPr>
        <w:t>360</w:t>
      </w:r>
      <w:r w:rsidRPr="00F46956">
        <w:rPr>
          <w:rFonts w:ascii="Calibri" w:hAnsi="Calibri" w:cs="Calibri"/>
          <w:sz w:val="18"/>
        </w:rPr>
        <w:t>, 987–992 (2018).</w:t>
      </w:r>
    </w:p>
    <w:p w14:paraId="4460C686"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26.</w:t>
      </w:r>
      <w:r w:rsidRPr="00F46956">
        <w:rPr>
          <w:rFonts w:ascii="Calibri" w:hAnsi="Calibri" w:cs="Calibri"/>
          <w:sz w:val="18"/>
        </w:rPr>
        <w:tab/>
        <w:t xml:space="preserve">Mendoza Beltran, A. </w:t>
      </w:r>
      <w:r w:rsidRPr="00F46956">
        <w:rPr>
          <w:rFonts w:ascii="Calibri" w:hAnsi="Calibri" w:cs="Calibri"/>
          <w:i/>
          <w:iCs/>
          <w:sz w:val="18"/>
        </w:rPr>
        <w:t>et al.</w:t>
      </w:r>
      <w:r w:rsidRPr="00F46956">
        <w:rPr>
          <w:rFonts w:ascii="Calibri" w:hAnsi="Calibri" w:cs="Calibri"/>
          <w:sz w:val="18"/>
        </w:rPr>
        <w:t xml:space="preserve"> Quantified Uncertainties in Comparative Life Cycle Assessment: What Can Be Concluded? </w:t>
      </w:r>
      <w:r w:rsidRPr="00F46956">
        <w:rPr>
          <w:rFonts w:ascii="Calibri" w:hAnsi="Calibri" w:cs="Calibri"/>
          <w:i/>
          <w:iCs/>
          <w:sz w:val="18"/>
        </w:rPr>
        <w:t>Environ. Sci. Technol.</w:t>
      </w:r>
      <w:r w:rsidRPr="00F46956">
        <w:rPr>
          <w:rFonts w:ascii="Calibri" w:hAnsi="Calibri" w:cs="Calibri"/>
          <w:sz w:val="18"/>
        </w:rPr>
        <w:t xml:space="preserve"> </w:t>
      </w:r>
      <w:r w:rsidRPr="00F46956">
        <w:rPr>
          <w:rFonts w:ascii="Calibri" w:hAnsi="Calibri" w:cs="Calibri"/>
          <w:b/>
          <w:bCs/>
          <w:sz w:val="18"/>
        </w:rPr>
        <w:t>52</w:t>
      </w:r>
      <w:r w:rsidRPr="00F46956">
        <w:rPr>
          <w:rFonts w:ascii="Calibri" w:hAnsi="Calibri" w:cs="Calibri"/>
          <w:sz w:val="18"/>
        </w:rPr>
        <w:t>, 2152–2161 (2018).</w:t>
      </w:r>
    </w:p>
    <w:p w14:paraId="4FACD387" w14:textId="7D60C221"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27.</w:t>
      </w:r>
      <w:r w:rsidRPr="00F46956">
        <w:rPr>
          <w:rFonts w:ascii="Calibri" w:hAnsi="Calibri" w:cs="Calibri"/>
          <w:sz w:val="18"/>
        </w:rPr>
        <w:tab/>
      </w:r>
      <w:proofErr w:type="spellStart"/>
      <w:r w:rsidRPr="00F46956">
        <w:rPr>
          <w:rFonts w:ascii="Calibri" w:hAnsi="Calibri" w:cs="Calibri"/>
          <w:sz w:val="18"/>
        </w:rPr>
        <w:t>Baustert</w:t>
      </w:r>
      <w:proofErr w:type="spellEnd"/>
      <w:r w:rsidRPr="00F46956">
        <w:rPr>
          <w:rFonts w:ascii="Calibri" w:hAnsi="Calibri" w:cs="Calibri"/>
          <w:sz w:val="18"/>
        </w:rPr>
        <w:t>, P. M. Development of an uncertainty analysis framework for model</w:t>
      </w:r>
      <w:r w:rsidR="00F46956">
        <w:rPr>
          <w:rFonts w:ascii="Calibri" w:hAnsi="Calibri" w:cs="Calibri"/>
          <w:sz w:val="18"/>
        </w:rPr>
        <w:t>-</w:t>
      </w:r>
      <w:r w:rsidRPr="00F46956">
        <w:rPr>
          <w:rFonts w:ascii="Calibri" w:hAnsi="Calibri" w:cs="Calibri"/>
          <w:sz w:val="18"/>
        </w:rPr>
        <w:t>based consequential life cycle assessment. (</w:t>
      </w:r>
      <w:proofErr w:type="spellStart"/>
      <w:r w:rsidRPr="00F46956">
        <w:rPr>
          <w:rFonts w:ascii="Calibri" w:hAnsi="Calibri" w:cs="Calibri"/>
          <w:sz w:val="18"/>
        </w:rPr>
        <w:t>Technische</w:t>
      </w:r>
      <w:proofErr w:type="spellEnd"/>
      <w:r w:rsidRPr="00F46956">
        <w:rPr>
          <w:rFonts w:ascii="Calibri" w:hAnsi="Calibri" w:cs="Calibri"/>
          <w:sz w:val="18"/>
        </w:rPr>
        <w:t xml:space="preserve"> Universiteit Eindhoven, 2021).</w:t>
      </w:r>
    </w:p>
    <w:p w14:paraId="343BBB82"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28.</w:t>
      </w:r>
      <w:r w:rsidRPr="00F46956">
        <w:rPr>
          <w:rFonts w:ascii="Calibri" w:hAnsi="Calibri" w:cs="Calibri"/>
          <w:sz w:val="18"/>
        </w:rPr>
        <w:tab/>
        <w:t xml:space="preserve">Di </w:t>
      </w:r>
      <w:proofErr w:type="spellStart"/>
      <w:r w:rsidRPr="00F46956">
        <w:rPr>
          <w:rFonts w:ascii="Calibri" w:hAnsi="Calibri" w:cs="Calibri"/>
          <w:sz w:val="18"/>
        </w:rPr>
        <w:t>Lullo</w:t>
      </w:r>
      <w:proofErr w:type="spellEnd"/>
      <w:r w:rsidRPr="00F46956">
        <w:rPr>
          <w:rFonts w:ascii="Calibri" w:hAnsi="Calibri" w:cs="Calibri"/>
          <w:sz w:val="18"/>
        </w:rPr>
        <w:t xml:space="preserve">, G., </w:t>
      </w:r>
      <w:proofErr w:type="spellStart"/>
      <w:r w:rsidRPr="00F46956">
        <w:rPr>
          <w:rFonts w:ascii="Calibri" w:hAnsi="Calibri" w:cs="Calibri"/>
          <w:sz w:val="18"/>
        </w:rPr>
        <w:t>Gemechu</w:t>
      </w:r>
      <w:proofErr w:type="spellEnd"/>
      <w:r w:rsidRPr="00F46956">
        <w:rPr>
          <w:rFonts w:ascii="Calibri" w:hAnsi="Calibri" w:cs="Calibri"/>
          <w:sz w:val="18"/>
        </w:rPr>
        <w:t xml:space="preserve">, E., Oni, A. O. &amp; Kumar, A. Extending sensitivity analysis using regression to effectively disseminate life cycle assessment results. </w:t>
      </w:r>
      <w:r w:rsidRPr="00F46956">
        <w:rPr>
          <w:rFonts w:ascii="Calibri" w:hAnsi="Calibri" w:cs="Calibri"/>
          <w:i/>
          <w:iCs/>
          <w:sz w:val="18"/>
        </w:rPr>
        <w:t>Int J Life Cycle Assess</w:t>
      </w:r>
      <w:r w:rsidRPr="00F46956">
        <w:rPr>
          <w:rFonts w:ascii="Calibri" w:hAnsi="Calibri" w:cs="Calibri"/>
          <w:sz w:val="18"/>
        </w:rPr>
        <w:t xml:space="preserve"> </w:t>
      </w:r>
      <w:r w:rsidRPr="00F46956">
        <w:rPr>
          <w:rFonts w:ascii="Calibri" w:hAnsi="Calibri" w:cs="Calibri"/>
          <w:b/>
          <w:bCs/>
          <w:sz w:val="18"/>
        </w:rPr>
        <w:t>25</w:t>
      </w:r>
      <w:r w:rsidRPr="00F46956">
        <w:rPr>
          <w:rFonts w:ascii="Calibri" w:hAnsi="Calibri" w:cs="Calibri"/>
          <w:sz w:val="18"/>
        </w:rPr>
        <w:t>, 222–239 (2020).</w:t>
      </w:r>
    </w:p>
    <w:p w14:paraId="72953F6B"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29.</w:t>
      </w:r>
      <w:r w:rsidRPr="00F46956">
        <w:rPr>
          <w:rFonts w:ascii="Calibri" w:hAnsi="Calibri" w:cs="Calibri"/>
          <w:sz w:val="18"/>
        </w:rPr>
        <w:tab/>
      </w:r>
      <w:proofErr w:type="spellStart"/>
      <w:r w:rsidRPr="00F46956">
        <w:rPr>
          <w:rFonts w:ascii="Calibri" w:hAnsi="Calibri" w:cs="Calibri"/>
          <w:sz w:val="18"/>
        </w:rPr>
        <w:t>Cariboni</w:t>
      </w:r>
      <w:proofErr w:type="spellEnd"/>
      <w:r w:rsidRPr="00F46956">
        <w:rPr>
          <w:rFonts w:ascii="Calibri" w:hAnsi="Calibri" w:cs="Calibri"/>
          <w:sz w:val="18"/>
        </w:rPr>
        <w:t xml:space="preserve">, J., </w:t>
      </w:r>
      <w:proofErr w:type="spellStart"/>
      <w:r w:rsidRPr="00F46956">
        <w:rPr>
          <w:rFonts w:ascii="Calibri" w:hAnsi="Calibri" w:cs="Calibri"/>
          <w:sz w:val="18"/>
        </w:rPr>
        <w:t>Gatelli</w:t>
      </w:r>
      <w:proofErr w:type="spellEnd"/>
      <w:r w:rsidRPr="00F46956">
        <w:rPr>
          <w:rFonts w:ascii="Calibri" w:hAnsi="Calibri" w:cs="Calibri"/>
          <w:sz w:val="18"/>
        </w:rPr>
        <w:t xml:space="preserve">, D., </w:t>
      </w:r>
      <w:proofErr w:type="spellStart"/>
      <w:r w:rsidRPr="00F46956">
        <w:rPr>
          <w:rFonts w:ascii="Calibri" w:hAnsi="Calibri" w:cs="Calibri"/>
          <w:sz w:val="18"/>
        </w:rPr>
        <w:t>Liska</w:t>
      </w:r>
      <w:proofErr w:type="spellEnd"/>
      <w:r w:rsidRPr="00F46956">
        <w:rPr>
          <w:rFonts w:ascii="Calibri" w:hAnsi="Calibri" w:cs="Calibri"/>
          <w:sz w:val="18"/>
        </w:rPr>
        <w:t xml:space="preserve">, R. &amp; </w:t>
      </w:r>
      <w:proofErr w:type="spellStart"/>
      <w:r w:rsidRPr="00F46956">
        <w:rPr>
          <w:rFonts w:ascii="Calibri" w:hAnsi="Calibri" w:cs="Calibri"/>
          <w:sz w:val="18"/>
        </w:rPr>
        <w:t>Saltelli</w:t>
      </w:r>
      <w:proofErr w:type="spellEnd"/>
      <w:r w:rsidRPr="00F46956">
        <w:rPr>
          <w:rFonts w:ascii="Calibri" w:hAnsi="Calibri" w:cs="Calibri"/>
          <w:sz w:val="18"/>
        </w:rPr>
        <w:t xml:space="preserve">, A. The role of sensitivity analysis in ecological modelling. </w:t>
      </w:r>
      <w:r w:rsidRPr="00F46956">
        <w:rPr>
          <w:rFonts w:ascii="Calibri" w:hAnsi="Calibri" w:cs="Calibri"/>
          <w:i/>
          <w:iCs/>
          <w:sz w:val="18"/>
        </w:rPr>
        <w:t>Ecological Modelling</w:t>
      </w:r>
      <w:r w:rsidRPr="00F46956">
        <w:rPr>
          <w:rFonts w:ascii="Calibri" w:hAnsi="Calibri" w:cs="Calibri"/>
          <w:sz w:val="18"/>
        </w:rPr>
        <w:t xml:space="preserve"> </w:t>
      </w:r>
      <w:r w:rsidRPr="00F46956">
        <w:rPr>
          <w:rFonts w:ascii="Calibri" w:hAnsi="Calibri" w:cs="Calibri"/>
          <w:b/>
          <w:bCs/>
          <w:sz w:val="18"/>
        </w:rPr>
        <w:t>203</w:t>
      </w:r>
      <w:r w:rsidRPr="00F46956">
        <w:rPr>
          <w:rFonts w:ascii="Calibri" w:hAnsi="Calibri" w:cs="Calibri"/>
          <w:sz w:val="18"/>
        </w:rPr>
        <w:t>, 167–182 (2007).</w:t>
      </w:r>
    </w:p>
    <w:p w14:paraId="62AED9DD"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30.</w:t>
      </w:r>
      <w:r w:rsidRPr="00F46956">
        <w:rPr>
          <w:rFonts w:ascii="Calibri" w:hAnsi="Calibri" w:cs="Calibri"/>
          <w:sz w:val="18"/>
        </w:rPr>
        <w:tab/>
        <w:t xml:space="preserve">Feng, K., Lu, Z. &amp; Yang, C. Enhanced Morris method for global sensitivity analysis: good proxy of </w:t>
      </w:r>
      <w:proofErr w:type="spellStart"/>
      <w:r w:rsidRPr="00F46956">
        <w:rPr>
          <w:rFonts w:ascii="Calibri" w:hAnsi="Calibri" w:cs="Calibri"/>
          <w:sz w:val="18"/>
        </w:rPr>
        <w:t>Sobol</w:t>
      </w:r>
      <w:proofErr w:type="spellEnd"/>
      <w:r w:rsidRPr="00F46956">
        <w:rPr>
          <w:rFonts w:ascii="Calibri" w:hAnsi="Calibri" w:cs="Calibri"/>
          <w:sz w:val="18"/>
        </w:rPr>
        <w:t xml:space="preserve">’ index. </w:t>
      </w:r>
      <w:r w:rsidRPr="00F46956">
        <w:rPr>
          <w:rFonts w:ascii="Calibri" w:hAnsi="Calibri" w:cs="Calibri"/>
          <w:i/>
          <w:iCs/>
          <w:sz w:val="18"/>
        </w:rPr>
        <w:t xml:space="preserve">Struct Multidisc </w:t>
      </w:r>
      <w:proofErr w:type="spellStart"/>
      <w:r w:rsidRPr="00F46956">
        <w:rPr>
          <w:rFonts w:ascii="Calibri" w:hAnsi="Calibri" w:cs="Calibri"/>
          <w:i/>
          <w:iCs/>
          <w:sz w:val="18"/>
        </w:rPr>
        <w:t>Optim</w:t>
      </w:r>
      <w:proofErr w:type="spellEnd"/>
      <w:r w:rsidRPr="00F46956">
        <w:rPr>
          <w:rFonts w:ascii="Calibri" w:hAnsi="Calibri" w:cs="Calibri"/>
          <w:sz w:val="18"/>
        </w:rPr>
        <w:t xml:space="preserve"> </w:t>
      </w:r>
      <w:r w:rsidRPr="00F46956">
        <w:rPr>
          <w:rFonts w:ascii="Calibri" w:hAnsi="Calibri" w:cs="Calibri"/>
          <w:b/>
          <w:bCs/>
          <w:sz w:val="18"/>
        </w:rPr>
        <w:t>59</w:t>
      </w:r>
      <w:r w:rsidRPr="00F46956">
        <w:rPr>
          <w:rFonts w:ascii="Calibri" w:hAnsi="Calibri" w:cs="Calibri"/>
          <w:sz w:val="18"/>
        </w:rPr>
        <w:t>, 373–387 (2019).</w:t>
      </w:r>
    </w:p>
    <w:p w14:paraId="68E8E600" w14:textId="139297A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31.</w:t>
      </w:r>
      <w:r w:rsidRPr="00F46956">
        <w:rPr>
          <w:rFonts w:ascii="Calibri" w:hAnsi="Calibri" w:cs="Calibri"/>
          <w:sz w:val="18"/>
        </w:rPr>
        <w:tab/>
      </w:r>
      <w:proofErr w:type="spellStart"/>
      <w:r w:rsidRPr="00F46956">
        <w:rPr>
          <w:rFonts w:ascii="Calibri" w:hAnsi="Calibri" w:cs="Calibri"/>
          <w:sz w:val="18"/>
        </w:rPr>
        <w:t>Jaxa-Rozen</w:t>
      </w:r>
      <w:proofErr w:type="spellEnd"/>
      <w:r w:rsidRPr="00F46956">
        <w:rPr>
          <w:rFonts w:ascii="Calibri" w:hAnsi="Calibri" w:cs="Calibri"/>
          <w:sz w:val="18"/>
        </w:rPr>
        <w:t xml:space="preserve">, M. &amp; </w:t>
      </w:r>
      <w:proofErr w:type="spellStart"/>
      <w:r w:rsidRPr="00F46956">
        <w:rPr>
          <w:rFonts w:ascii="Calibri" w:hAnsi="Calibri" w:cs="Calibri"/>
          <w:sz w:val="18"/>
        </w:rPr>
        <w:t>Kwakkel</w:t>
      </w:r>
      <w:proofErr w:type="spellEnd"/>
      <w:r w:rsidRPr="00F46956">
        <w:rPr>
          <w:rFonts w:ascii="Calibri" w:hAnsi="Calibri" w:cs="Calibri"/>
          <w:sz w:val="18"/>
        </w:rPr>
        <w:t xml:space="preserve">, J. Tree-based ensemble methods for sensitivity analysis of environmental models: A performance comparison with </w:t>
      </w:r>
      <w:proofErr w:type="spellStart"/>
      <w:r w:rsidRPr="00F46956">
        <w:rPr>
          <w:rFonts w:ascii="Calibri" w:hAnsi="Calibri" w:cs="Calibri"/>
          <w:sz w:val="18"/>
        </w:rPr>
        <w:t>Sobol</w:t>
      </w:r>
      <w:proofErr w:type="spellEnd"/>
      <w:r w:rsidRPr="00F46956">
        <w:rPr>
          <w:rFonts w:ascii="Calibri" w:hAnsi="Calibri" w:cs="Calibri"/>
          <w:sz w:val="18"/>
        </w:rPr>
        <w:t xml:space="preserve"> and Morris techniques. </w:t>
      </w:r>
      <w:r w:rsidRPr="00F46956">
        <w:rPr>
          <w:rFonts w:ascii="Calibri" w:hAnsi="Calibri" w:cs="Calibri"/>
          <w:i/>
          <w:iCs/>
          <w:sz w:val="18"/>
        </w:rPr>
        <w:t xml:space="preserve">Environ Model </w:t>
      </w:r>
      <w:proofErr w:type="spellStart"/>
      <w:r w:rsidRPr="00F46956">
        <w:rPr>
          <w:rFonts w:ascii="Calibri" w:hAnsi="Calibri" w:cs="Calibri"/>
          <w:i/>
          <w:iCs/>
          <w:sz w:val="18"/>
        </w:rPr>
        <w:t>Softw</w:t>
      </w:r>
      <w:proofErr w:type="spellEnd"/>
      <w:r w:rsidRPr="00F46956">
        <w:rPr>
          <w:rFonts w:ascii="Calibri" w:hAnsi="Calibri" w:cs="Calibri"/>
          <w:sz w:val="18"/>
        </w:rPr>
        <w:t xml:space="preserve"> </w:t>
      </w:r>
      <w:r w:rsidRPr="00F46956">
        <w:rPr>
          <w:rFonts w:ascii="Calibri" w:hAnsi="Calibri" w:cs="Calibri"/>
          <w:b/>
          <w:bCs/>
          <w:sz w:val="18"/>
        </w:rPr>
        <w:t>107</w:t>
      </w:r>
      <w:r w:rsidRPr="00F46956">
        <w:rPr>
          <w:rFonts w:ascii="Calibri" w:hAnsi="Calibri" w:cs="Calibri"/>
          <w:sz w:val="18"/>
        </w:rPr>
        <w:t>, 245–266 (2018).</w:t>
      </w:r>
    </w:p>
    <w:p w14:paraId="49CC6B5C"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32.</w:t>
      </w:r>
      <w:r w:rsidRPr="00F46956">
        <w:rPr>
          <w:rFonts w:ascii="Calibri" w:hAnsi="Calibri" w:cs="Calibri"/>
          <w:sz w:val="18"/>
        </w:rPr>
        <w:tab/>
        <w:t xml:space="preserve">Althaus, H.-J. </w:t>
      </w:r>
      <w:r w:rsidRPr="00F46956">
        <w:rPr>
          <w:rFonts w:ascii="Calibri" w:hAnsi="Calibri" w:cs="Calibri"/>
          <w:i/>
          <w:iCs/>
          <w:sz w:val="18"/>
        </w:rPr>
        <w:t>et al.</w:t>
      </w:r>
      <w:r w:rsidRPr="00F46956">
        <w:rPr>
          <w:rFonts w:ascii="Calibri" w:hAnsi="Calibri" w:cs="Calibri"/>
          <w:sz w:val="18"/>
        </w:rPr>
        <w:t xml:space="preserve"> </w:t>
      </w:r>
      <w:r w:rsidRPr="00F46956">
        <w:rPr>
          <w:rFonts w:ascii="Calibri" w:hAnsi="Calibri" w:cs="Calibri"/>
          <w:i/>
          <w:iCs/>
          <w:sz w:val="18"/>
        </w:rPr>
        <w:t>Overview and Methodology Data v2.0</w:t>
      </w:r>
      <w:r w:rsidRPr="00F46956">
        <w:rPr>
          <w:rFonts w:ascii="Calibri" w:hAnsi="Calibri" w:cs="Calibri"/>
          <w:sz w:val="18"/>
        </w:rPr>
        <w:t>. 77 (2007).</w:t>
      </w:r>
    </w:p>
    <w:p w14:paraId="423F8EB3"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lastRenderedPageBreak/>
        <w:t>33.</w:t>
      </w:r>
      <w:r w:rsidRPr="00F46956">
        <w:rPr>
          <w:rFonts w:ascii="Calibri" w:hAnsi="Calibri" w:cs="Calibri"/>
          <w:sz w:val="18"/>
        </w:rPr>
        <w:tab/>
        <w:t xml:space="preserve">Groen, E. A., </w:t>
      </w:r>
      <w:proofErr w:type="spellStart"/>
      <w:r w:rsidRPr="00F46956">
        <w:rPr>
          <w:rFonts w:ascii="Calibri" w:hAnsi="Calibri" w:cs="Calibri"/>
          <w:sz w:val="18"/>
        </w:rPr>
        <w:t>Bokkers</w:t>
      </w:r>
      <w:proofErr w:type="spellEnd"/>
      <w:r w:rsidRPr="00F46956">
        <w:rPr>
          <w:rFonts w:ascii="Calibri" w:hAnsi="Calibri" w:cs="Calibri"/>
          <w:sz w:val="18"/>
        </w:rPr>
        <w:t xml:space="preserve">, E. A. M., </w:t>
      </w:r>
      <w:proofErr w:type="spellStart"/>
      <w:r w:rsidRPr="00F46956">
        <w:rPr>
          <w:rFonts w:ascii="Calibri" w:hAnsi="Calibri" w:cs="Calibri"/>
          <w:sz w:val="18"/>
        </w:rPr>
        <w:t>Heijungs</w:t>
      </w:r>
      <w:proofErr w:type="spellEnd"/>
      <w:r w:rsidRPr="00F46956">
        <w:rPr>
          <w:rFonts w:ascii="Calibri" w:hAnsi="Calibri" w:cs="Calibri"/>
          <w:sz w:val="18"/>
        </w:rPr>
        <w:t xml:space="preserve">, R. &amp; de Boer, I. J. M. Methods for global sensitivity analysis in life cycle assessment. </w:t>
      </w:r>
      <w:r w:rsidRPr="00F46956">
        <w:rPr>
          <w:rFonts w:ascii="Calibri" w:hAnsi="Calibri" w:cs="Calibri"/>
          <w:i/>
          <w:iCs/>
          <w:sz w:val="18"/>
        </w:rPr>
        <w:t>Int J Life Cycle Assess</w:t>
      </w:r>
      <w:r w:rsidRPr="00F46956">
        <w:rPr>
          <w:rFonts w:ascii="Calibri" w:hAnsi="Calibri" w:cs="Calibri"/>
          <w:sz w:val="18"/>
        </w:rPr>
        <w:t xml:space="preserve"> </w:t>
      </w:r>
      <w:r w:rsidRPr="00F46956">
        <w:rPr>
          <w:rFonts w:ascii="Calibri" w:hAnsi="Calibri" w:cs="Calibri"/>
          <w:b/>
          <w:bCs/>
          <w:sz w:val="18"/>
        </w:rPr>
        <w:t>22</w:t>
      </w:r>
      <w:r w:rsidRPr="00F46956">
        <w:rPr>
          <w:rFonts w:ascii="Calibri" w:hAnsi="Calibri" w:cs="Calibri"/>
          <w:sz w:val="18"/>
        </w:rPr>
        <w:t>, 1125–1137 (2017).</w:t>
      </w:r>
    </w:p>
    <w:p w14:paraId="1B52408C"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34.</w:t>
      </w:r>
      <w:r w:rsidRPr="00F46956">
        <w:rPr>
          <w:rFonts w:ascii="Calibri" w:hAnsi="Calibri" w:cs="Calibri"/>
          <w:sz w:val="18"/>
        </w:rPr>
        <w:tab/>
        <w:t>Javourez, U. Transforming residual biomass into food and feed, towards an LCA optimization platform. (INSA Toulouse, 2023).</w:t>
      </w:r>
    </w:p>
    <w:p w14:paraId="3D82F454"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35.</w:t>
      </w:r>
      <w:r w:rsidRPr="00F46956">
        <w:rPr>
          <w:rFonts w:ascii="Calibri" w:hAnsi="Calibri" w:cs="Calibri"/>
          <w:sz w:val="18"/>
        </w:rPr>
        <w:tab/>
        <w:t xml:space="preserve">Morris, M. D. Factorial Sampling Plans for Preliminary Computational Experiments. </w:t>
      </w:r>
      <w:proofErr w:type="spellStart"/>
      <w:r w:rsidRPr="00F46956">
        <w:rPr>
          <w:rFonts w:ascii="Calibri" w:hAnsi="Calibri" w:cs="Calibri"/>
          <w:i/>
          <w:iCs/>
          <w:sz w:val="18"/>
        </w:rPr>
        <w:t>Technometrics</w:t>
      </w:r>
      <w:proofErr w:type="spellEnd"/>
      <w:r w:rsidRPr="00F46956">
        <w:rPr>
          <w:rFonts w:ascii="Calibri" w:hAnsi="Calibri" w:cs="Calibri"/>
          <w:sz w:val="18"/>
        </w:rPr>
        <w:t xml:space="preserve"> </w:t>
      </w:r>
      <w:r w:rsidRPr="00F46956">
        <w:rPr>
          <w:rFonts w:ascii="Calibri" w:hAnsi="Calibri" w:cs="Calibri"/>
          <w:b/>
          <w:bCs/>
          <w:sz w:val="18"/>
        </w:rPr>
        <w:t>33</w:t>
      </w:r>
      <w:r w:rsidRPr="00F46956">
        <w:rPr>
          <w:rFonts w:ascii="Calibri" w:hAnsi="Calibri" w:cs="Calibri"/>
          <w:sz w:val="18"/>
        </w:rPr>
        <w:t>, 161–174 (1991).</w:t>
      </w:r>
    </w:p>
    <w:p w14:paraId="63E42091" w14:textId="77777777" w:rsidR="00835534" w:rsidRPr="00F46956" w:rsidRDefault="00835534" w:rsidP="00F46956">
      <w:pPr>
        <w:pStyle w:val="Contenudetableau"/>
        <w:jc w:val="both"/>
        <w:rPr>
          <w:rFonts w:ascii="Calibri" w:hAnsi="Calibri" w:cs="Calibri"/>
          <w:sz w:val="18"/>
          <w:lang w:val="fr-FR"/>
        </w:rPr>
      </w:pPr>
      <w:r w:rsidRPr="00F46956">
        <w:rPr>
          <w:rFonts w:ascii="Calibri" w:hAnsi="Calibri" w:cs="Calibri"/>
          <w:sz w:val="18"/>
        </w:rPr>
        <w:t>36.</w:t>
      </w:r>
      <w:r w:rsidRPr="00F46956">
        <w:rPr>
          <w:rFonts w:ascii="Calibri" w:hAnsi="Calibri" w:cs="Calibri"/>
          <w:sz w:val="18"/>
        </w:rPr>
        <w:tab/>
      </w:r>
      <w:proofErr w:type="spellStart"/>
      <w:r w:rsidRPr="00F46956">
        <w:rPr>
          <w:rFonts w:ascii="Calibri" w:hAnsi="Calibri" w:cs="Calibri"/>
          <w:sz w:val="18"/>
        </w:rPr>
        <w:t>Méry</w:t>
      </w:r>
      <w:proofErr w:type="spellEnd"/>
      <w:r w:rsidRPr="00F46956">
        <w:rPr>
          <w:rFonts w:ascii="Calibri" w:hAnsi="Calibri" w:cs="Calibri"/>
          <w:sz w:val="18"/>
        </w:rPr>
        <w:t xml:space="preserve">, Y. Development of an integrated tool for Process Modelling and Life Cycle Assessment - </w:t>
      </w:r>
      <w:proofErr w:type="spellStart"/>
      <w:r w:rsidRPr="00F46956">
        <w:rPr>
          <w:rFonts w:ascii="Calibri" w:hAnsi="Calibri" w:cs="Calibri"/>
          <w:sz w:val="18"/>
        </w:rPr>
        <w:t>Ecodesign</w:t>
      </w:r>
      <w:proofErr w:type="spellEnd"/>
      <w:r w:rsidRPr="00F46956">
        <w:rPr>
          <w:rFonts w:ascii="Calibri" w:hAnsi="Calibri" w:cs="Calibri"/>
          <w:sz w:val="18"/>
        </w:rPr>
        <w:t xml:space="preserve"> of process plants and application to drinking water treatment. </w:t>
      </w:r>
      <w:r w:rsidRPr="00F46956">
        <w:rPr>
          <w:rFonts w:ascii="Calibri" w:hAnsi="Calibri" w:cs="Calibri"/>
          <w:sz w:val="18"/>
          <w:lang w:val="fr-FR"/>
        </w:rPr>
        <w:t>(Université de Toulouse, 2012).</w:t>
      </w:r>
    </w:p>
    <w:p w14:paraId="41C243A7"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lang w:val="fr-FR"/>
        </w:rPr>
        <w:t>37.</w:t>
      </w:r>
      <w:r w:rsidRPr="00F46956">
        <w:rPr>
          <w:rFonts w:ascii="Calibri" w:hAnsi="Calibri" w:cs="Calibri"/>
          <w:sz w:val="18"/>
          <w:lang w:val="fr-FR"/>
        </w:rPr>
        <w:tab/>
      </w:r>
      <w:proofErr w:type="spellStart"/>
      <w:r w:rsidRPr="00F46956">
        <w:rPr>
          <w:rFonts w:ascii="Calibri" w:hAnsi="Calibri" w:cs="Calibri"/>
          <w:sz w:val="18"/>
          <w:lang w:val="fr-FR"/>
        </w:rPr>
        <w:t>Awad</w:t>
      </w:r>
      <w:proofErr w:type="spellEnd"/>
      <w:r w:rsidRPr="00F46956">
        <w:rPr>
          <w:rFonts w:ascii="Calibri" w:hAnsi="Calibri" w:cs="Calibri"/>
          <w:sz w:val="18"/>
          <w:lang w:val="fr-FR"/>
        </w:rPr>
        <w:t xml:space="preserve">, M. Étude de modèles d’évaluation environnementale à travers l’identification de paramètres d’interactions. </w:t>
      </w:r>
      <w:r w:rsidRPr="00F46956">
        <w:rPr>
          <w:rFonts w:ascii="Calibri" w:hAnsi="Calibri" w:cs="Calibri"/>
          <w:sz w:val="18"/>
        </w:rPr>
        <w:t>(</w:t>
      </w:r>
      <w:proofErr w:type="spellStart"/>
      <w:r w:rsidRPr="00F46956">
        <w:rPr>
          <w:rFonts w:ascii="Calibri" w:hAnsi="Calibri" w:cs="Calibri"/>
          <w:sz w:val="18"/>
        </w:rPr>
        <w:t>Université</w:t>
      </w:r>
      <w:proofErr w:type="spellEnd"/>
      <w:r w:rsidRPr="00F46956">
        <w:rPr>
          <w:rFonts w:ascii="Calibri" w:hAnsi="Calibri" w:cs="Calibri"/>
          <w:sz w:val="18"/>
        </w:rPr>
        <w:t xml:space="preserve"> Bretagne Loire, 2021).</w:t>
      </w:r>
    </w:p>
    <w:p w14:paraId="54AA2380"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38.</w:t>
      </w:r>
      <w:r w:rsidRPr="00F46956">
        <w:rPr>
          <w:rFonts w:ascii="Calibri" w:hAnsi="Calibri" w:cs="Calibri"/>
          <w:sz w:val="18"/>
        </w:rPr>
        <w:tab/>
        <w:t xml:space="preserve">Sin, G. &amp; </w:t>
      </w:r>
      <w:proofErr w:type="spellStart"/>
      <w:r w:rsidRPr="00F46956">
        <w:rPr>
          <w:rFonts w:ascii="Calibri" w:hAnsi="Calibri" w:cs="Calibri"/>
          <w:sz w:val="18"/>
        </w:rPr>
        <w:t>Gernaey</w:t>
      </w:r>
      <w:proofErr w:type="spellEnd"/>
      <w:r w:rsidRPr="00F46956">
        <w:rPr>
          <w:rFonts w:ascii="Calibri" w:hAnsi="Calibri" w:cs="Calibri"/>
          <w:sz w:val="18"/>
        </w:rPr>
        <w:t xml:space="preserve">, K. V. Improving the Morris method for sensitivity analysis by scaling the elementary effects. in </w:t>
      </w:r>
      <w:r w:rsidRPr="00F46956">
        <w:rPr>
          <w:rFonts w:ascii="Calibri" w:hAnsi="Calibri" w:cs="Calibri"/>
          <w:i/>
          <w:iCs/>
          <w:sz w:val="18"/>
        </w:rPr>
        <w:t xml:space="preserve">19th </w:t>
      </w:r>
      <w:r w:rsidRPr="00F46956">
        <w:rPr>
          <w:rFonts w:ascii="Calibri" w:hAnsi="Calibri" w:cs="Calibri"/>
          <w:i/>
          <w:iCs/>
          <w:sz w:val="18"/>
        </w:rPr>
        <w:t>European Symposium on Computer Aided Process Engineering</w:t>
      </w:r>
      <w:r w:rsidRPr="00F46956">
        <w:rPr>
          <w:rFonts w:ascii="Calibri" w:hAnsi="Calibri" w:cs="Calibri"/>
          <w:sz w:val="18"/>
        </w:rPr>
        <w:t xml:space="preserve"> vol. 26 925–930 (Elsevier, 2009).</w:t>
      </w:r>
    </w:p>
    <w:p w14:paraId="1E20CA6E" w14:textId="509AADC3" w:rsidR="00835534" w:rsidRPr="00F46956" w:rsidRDefault="00835534" w:rsidP="00F46956">
      <w:pPr>
        <w:pStyle w:val="Contenudetableau"/>
        <w:jc w:val="both"/>
        <w:rPr>
          <w:rFonts w:ascii="Calibri" w:hAnsi="Calibri" w:cs="Calibri"/>
          <w:sz w:val="18"/>
          <w:lang w:val="fr-FR"/>
        </w:rPr>
      </w:pPr>
      <w:r w:rsidRPr="00F46956">
        <w:rPr>
          <w:rFonts w:ascii="Calibri" w:hAnsi="Calibri" w:cs="Calibri"/>
          <w:sz w:val="18"/>
        </w:rPr>
        <w:t>39.</w:t>
      </w:r>
      <w:r w:rsidRPr="00F46956">
        <w:rPr>
          <w:rFonts w:ascii="Calibri" w:hAnsi="Calibri" w:cs="Calibri"/>
          <w:sz w:val="18"/>
        </w:rPr>
        <w:tab/>
      </w:r>
      <w:proofErr w:type="spellStart"/>
      <w:r w:rsidRPr="00F46956">
        <w:rPr>
          <w:rFonts w:ascii="Calibri" w:hAnsi="Calibri" w:cs="Calibri"/>
          <w:sz w:val="18"/>
        </w:rPr>
        <w:t>Campolongo</w:t>
      </w:r>
      <w:proofErr w:type="spellEnd"/>
      <w:r w:rsidRPr="00F46956">
        <w:rPr>
          <w:rFonts w:ascii="Calibri" w:hAnsi="Calibri" w:cs="Calibri"/>
          <w:sz w:val="18"/>
        </w:rPr>
        <w:t xml:space="preserve">, F., </w:t>
      </w:r>
      <w:proofErr w:type="spellStart"/>
      <w:r w:rsidRPr="00F46956">
        <w:rPr>
          <w:rFonts w:ascii="Calibri" w:hAnsi="Calibri" w:cs="Calibri"/>
          <w:sz w:val="18"/>
        </w:rPr>
        <w:t>Cariboni</w:t>
      </w:r>
      <w:proofErr w:type="spellEnd"/>
      <w:r w:rsidRPr="00F46956">
        <w:rPr>
          <w:rFonts w:ascii="Calibri" w:hAnsi="Calibri" w:cs="Calibri"/>
          <w:sz w:val="18"/>
        </w:rPr>
        <w:t xml:space="preserve">, J. &amp; </w:t>
      </w:r>
      <w:proofErr w:type="spellStart"/>
      <w:r w:rsidRPr="00F46956">
        <w:rPr>
          <w:rFonts w:ascii="Calibri" w:hAnsi="Calibri" w:cs="Calibri"/>
          <w:sz w:val="18"/>
        </w:rPr>
        <w:t>Saltelli</w:t>
      </w:r>
      <w:proofErr w:type="spellEnd"/>
      <w:r w:rsidRPr="00F46956">
        <w:rPr>
          <w:rFonts w:ascii="Calibri" w:hAnsi="Calibri" w:cs="Calibri"/>
          <w:sz w:val="18"/>
        </w:rPr>
        <w:t xml:space="preserve">, A. An effective screening design for sensitivity analysis of large models. </w:t>
      </w:r>
      <w:r w:rsidRPr="00F46956">
        <w:rPr>
          <w:rFonts w:ascii="Calibri" w:hAnsi="Calibri" w:cs="Calibri"/>
          <w:i/>
          <w:iCs/>
          <w:sz w:val="18"/>
          <w:lang w:val="fr-FR"/>
        </w:rPr>
        <w:t xml:space="preserve">Environ Model </w:t>
      </w:r>
      <w:proofErr w:type="spellStart"/>
      <w:r w:rsidRPr="00F46956">
        <w:rPr>
          <w:rFonts w:ascii="Calibri" w:hAnsi="Calibri" w:cs="Calibri"/>
          <w:i/>
          <w:iCs/>
          <w:sz w:val="18"/>
          <w:lang w:val="fr-FR"/>
        </w:rPr>
        <w:t>Softw</w:t>
      </w:r>
      <w:proofErr w:type="spellEnd"/>
      <w:r w:rsidRPr="00F46956">
        <w:rPr>
          <w:rFonts w:ascii="Calibri" w:hAnsi="Calibri" w:cs="Calibri"/>
          <w:i/>
          <w:iCs/>
          <w:sz w:val="18"/>
          <w:lang w:val="fr-FR"/>
        </w:rPr>
        <w:t>.</w:t>
      </w:r>
      <w:r w:rsidRPr="00F46956">
        <w:rPr>
          <w:rFonts w:ascii="Calibri" w:hAnsi="Calibri" w:cs="Calibri"/>
          <w:sz w:val="18"/>
          <w:lang w:val="fr-FR"/>
        </w:rPr>
        <w:t xml:space="preserve"> </w:t>
      </w:r>
      <w:r w:rsidRPr="00F46956">
        <w:rPr>
          <w:rFonts w:ascii="Calibri" w:hAnsi="Calibri" w:cs="Calibri"/>
          <w:b/>
          <w:bCs/>
          <w:sz w:val="18"/>
          <w:lang w:val="fr-FR"/>
        </w:rPr>
        <w:t>22</w:t>
      </w:r>
      <w:r w:rsidRPr="00F46956">
        <w:rPr>
          <w:rFonts w:ascii="Calibri" w:hAnsi="Calibri" w:cs="Calibri"/>
          <w:sz w:val="18"/>
          <w:lang w:val="fr-FR"/>
        </w:rPr>
        <w:t>, 1509–1518 (2007).</w:t>
      </w:r>
    </w:p>
    <w:p w14:paraId="6B02AB23" w14:textId="77777777" w:rsidR="00835534" w:rsidRPr="00F46956" w:rsidRDefault="00835534" w:rsidP="00F46956">
      <w:pPr>
        <w:pStyle w:val="Contenudetableau"/>
        <w:jc w:val="both"/>
        <w:rPr>
          <w:rFonts w:ascii="Calibri" w:hAnsi="Calibri" w:cs="Calibri"/>
          <w:sz w:val="18"/>
          <w:lang w:val="fr-FR"/>
        </w:rPr>
      </w:pPr>
      <w:r w:rsidRPr="00F46956">
        <w:rPr>
          <w:rFonts w:ascii="Calibri" w:hAnsi="Calibri" w:cs="Calibri"/>
          <w:sz w:val="18"/>
          <w:lang w:val="fr-FR"/>
        </w:rPr>
        <w:t>40.</w:t>
      </w:r>
      <w:r w:rsidRPr="00F46956">
        <w:rPr>
          <w:rFonts w:ascii="Calibri" w:hAnsi="Calibri" w:cs="Calibri"/>
          <w:sz w:val="18"/>
          <w:lang w:val="fr-FR"/>
        </w:rPr>
        <w:tab/>
        <w:t>L’hypercube AREP. Analyse de sensibilité. https://lhypercube.arep.fr/methodes-numeriques/analyse-de-sensibilite/.</w:t>
      </w:r>
    </w:p>
    <w:p w14:paraId="606C3B00"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41.</w:t>
      </w:r>
      <w:r w:rsidRPr="00F46956">
        <w:rPr>
          <w:rFonts w:ascii="Calibri" w:hAnsi="Calibri" w:cs="Calibri"/>
          <w:sz w:val="18"/>
        </w:rPr>
        <w:tab/>
        <w:t xml:space="preserve">International Organization for Standardization. Environmental management: life cycle assessment; Principles and Framework. </w:t>
      </w:r>
      <w:r w:rsidRPr="00F46956">
        <w:rPr>
          <w:rFonts w:ascii="Calibri" w:hAnsi="Calibri" w:cs="Calibri"/>
          <w:i/>
          <w:iCs/>
          <w:sz w:val="18"/>
        </w:rPr>
        <w:t>ISO</w:t>
      </w:r>
      <w:r w:rsidRPr="00F46956">
        <w:rPr>
          <w:rFonts w:ascii="Calibri" w:hAnsi="Calibri" w:cs="Calibri"/>
          <w:sz w:val="18"/>
        </w:rPr>
        <w:t xml:space="preserve"> (2006).</w:t>
      </w:r>
    </w:p>
    <w:p w14:paraId="33204E63"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42.</w:t>
      </w:r>
      <w:r w:rsidRPr="00F46956">
        <w:rPr>
          <w:rFonts w:ascii="Calibri" w:hAnsi="Calibri" w:cs="Calibri"/>
          <w:sz w:val="18"/>
        </w:rPr>
        <w:tab/>
        <w:t xml:space="preserve">European Commission, COWI A/S, &amp; Universiteit Utrecht. </w:t>
      </w:r>
      <w:r w:rsidRPr="00F46956">
        <w:rPr>
          <w:rFonts w:ascii="Calibri" w:hAnsi="Calibri" w:cs="Calibri"/>
          <w:i/>
          <w:iCs/>
          <w:sz w:val="18"/>
        </w:rPr>
        <w:t>Environmental impact assessments of innovative bio-based product Task 1 of “Study on Support to R&amp;I Policy in the Area of Bio-based Products and Services “</w:t>
      </w:r>
      <w:r w:rsidRPr="00F46956">
        <w:rPr>
          <w:rFonts w:ascii="Calibri" w:hAnsi="Calibri" w:cs="Calibri"/>
          <w:sz w:val="18"/>
        </w:rPr>
        <w:t>. (2019).</w:t>
      </w:r>
    </w:p>
    <w:p w14:paraId="796BE834" w14:textId="77777777" w:rsidR="00835534" w:rsidRPr="00F46956" w:rsidRDefault="00835534" w:rsidP="00F46956">
      <w:pPr>
        <w:pStyle w:val="Contenudetableau"/>
        <w:jc w:val="both"/>
        <w:rPr>
          <w:rFonts w:ascii="Calibri" w:hAnsi="Calibri" w:cs="Calibri"/>
          <w:sz w:val="18"/>
        </w:rPr>
      </w:pPr>
      <w:r w:rsidRPr="00F46956">
        <w:rPr>
          <w:rFonts w:ascii="Calibri" w:hAnsi="Calibri" w:cs="Calibri"/>
          <w:sz w:val="18"/>
        </w:rPr>
        <w:t>43.</w:t>
      </w:r>
      <w:r w:rsidRPr="00F46956">
        <w:rPr>
          <w:rFonts w:ascii="Calibri" w:hAnsi="Calibri" w:cs="Calibri"/>
          <w:sz w:val="18"/>
        </w:rPr>
        <w:tab/>
      </w:r>
      <w:proofErr w:type="spellStart"/>
      <w:r w:rsidRPr="00F46956">
        <w:rPr>
          <w:rFonts w:ascii="Calibri" w:hAnsi="Calibri" w:cs="Calibri"/>
          <w:sz w:val="18"/>
        </w:rPr>
        <w:t>Searchinger</w:t>
      </w:r>
      <w:proofErr w:type="spellEnd"/>
      <w:r w:rsidRPr="00F46956">
        <w:rPr>
          <w:rFonts w:ascii="Calibri" w:hAnsi="Calibri" w:cs="Calibri"/>
          <w:sz w:val="18"/>
        </w:rPr>
        <w:t xml:space="preserve">, T., James, O., Dumas, P., Kastner, T. &amp; </w:t>
      </w:r>
      <w:proofErr w:type="spellStart"/>
      <w:r w:rsidRPr="00F46956">
        <w:rPr>
          <w:rFonts w:ascii="Calibri" w:hAnsi="Calibri" w:cs="Calibri"/>
          <w:sz w:val="18"/>
        </w:rPr>
        <w:t>Wirsenius</w:t>
      </w:r>
      <w:proofErr w:type="spellEnd"/>
      <w:r w:rsidRPr="00F46956">
        <w:rPr>
          <w:rFonts w:ascii="Calibri" w:hAnsi="Calibri" w:cs="Calibri"/>
          <w:sz w:val="18"/>
        </w:rPr>
        <w:t xml:space="preserve">, S. EU climate plan sacrifices carbon storage and biodiversity for bioenergy. </w:t>
      </w:r>
      <w:r w:rsidRPr="00F46956">
        <w:rPr>
          <w:rFonts w:ascii="Calibri" w:hAnsi="Calibri" w:cs="Calibri"/>
          <w:i/>
          <w:iCs/>
          <w:sz w:val="18"/>
        </w:rPr>
        <w:t>Nature</w:t>
      </w:r>
      <w:r w:rsidRPr="00F46956">
        <w:rPr>
          <w:rFonts w:ascii="Calibri" w:hAnsi="Calibri" w:cs="Calibri"/>
          <w:sz w:val="18"/>
        </w:rPr>
        <w:t xml:space="preserve"> </w:t>
      </w:r>
      <w:r w:rsidRPr="00F46956">
        <w:rPr>
          <w:rFonts w:ascii="Calibri" w:hAnsi="Calibri" w:cs="Calibri"/>
          <w:b/>
          <w:bCs/>
          <w:sz w:val="18"/>
        </w:rPr>
        <w:t>612</w:t>
      </w:r>
      <w:r w:rsidRPr="00F46956">
        <w:rPr>
          <w:rFonts w:ascii="Calibri" w:hAnsi="Calibri" w:cs="Calibri"/>
          <w:sz w:val="18"/>
        </w:rPr>
        <w:t>, 27–30 (2022).</w:t>
      </w:r>
    </w:p>
    <w:p w14:paraId="4DCEA7E7" w14:textId="77777777" w:rsidR="00F46956" w:rsidRDefault="00B52392" w:rsidP="00F46956">
      <w:pPr>
        <w:pStyle w:val="Contenudetableau"/>
        <w:jc w:val="both"/>
        <w:sectPr w:rsidR="00F46956" w:rsidSect="00F46956">
          <w:type w:val="continuous"/>
          <w:pgSz w:w="11906" w:h="16838"/>
          <w:pgMar w:top="1417" w:right="1417" w:bottom="1417" w:left="1417" w:header="708" w:footer="708" w:gutter="0"/>
          <w:cols w:num="2" w:space="284"/>
          <w:docGrid w:linePitch="360"/>
        </w:sectPr>
      </w:pPr>
      <w:r w:rsidRPr="00F46956">
        <w:rPr>
          <w:sz w:val="18"/>
        </w:rPr>
        <w:fldChar w:fldCharType="end"/>
      </w:r>
    </w:p>
    <w:p w14:paraId="12400320" w14:textId="1D9DE7B4" w:rsidR="00B52392" w:rsidRPr="00B52392" w:rsidRDefault="00B52392" w:rsidP="00B52392">
      <w:pPr>
        <w:pStyle w:val="Sansinterligne"/>
      </w:pPr>
    </w:p>
    <w:sectPr w:rsidR="00B52392" w:rsidRPr="00B52392" w:rsidSect="00F46956">
      <w:type w:val="continuous"/>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EACDAA" w14:textId="77777777" w:rsidR="00955234" w:rsidRDefault="00955234" w:rsidP="00D54A1C">
      <w:pPr>
        <w:spacing w:after="0" w:line="240" w:lineRule="auto"/>
      </w:pPr>
      <w:r>
        <w:separator/>
      </w:r>
    </w:p>
  </w:endnote>
  <w:endnote w:type="continuationSeparator" w:id="0">
    <w:p w14:paraId="591BC681" w14:textId="77777777" w:rsidR="00955234" w:rsidRDefault="00955234" w:rsidP="00D54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BatangChe">
    <w:charset w:val="81"/>
    <w:family w:val="modern"/>
    <w:pitch w:val="fixed"/>
    <w:sig w:usb0="B00002AF" w:usb1="69D77CFB" w:usb2="00000030" w:usb3="00000000" w:csb0="0008009F" w:csb1="00000000"/>
  </w:font>
  <w:font w:name="Angsana New">
    <w:panose1 w:val="02020603050405020304"/>
    <w:charset w:val="DE"/>
    <w:family w:val="roman"/>
    <w:pitch w:val="variable"/>
    <w:sig w:usb0="81000003" w:usb1="00000000" w:usb2="00000000" w:usb3="00000000" w:csb0="00010001" w:csb1="00000000"/>
  </w:font>
  <w:font w:name="SimSun">
    <w:altName w:val="宋体"/>
    <w:panose1 w:val="02010600030101010101"/>
    <w:charset w:val="86"/>
    <w:family w:val="auto"/>
    <w:pitch w:val="variable"/>
    <w:sig w:usb0="00000003" w:usb1="288F0000" w:usb2="00000016" w:usb3="00000000" w:csb0="00040001" w:csb1="00000000"/>
  </w:font>
  <w:font w:name="Chinese Rocks Rg">
    <w:panose1 w:val="00000400000000000000"/>
    <w:charset w:val="00"/>
    <w:family w:val="modern"/>
    <w:notTrueType/>
    <w:pitch w:val="variable"/>
    <w:sig w:usb0="A000002F" w:usb1="0000201B" w:usb2="00000000" w:usb3="00000000" w:csb0="00000093"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602175895"/>
      <w:docPartObj>
        <w:docPartGallery w:val="Page Numbers (Bottom of Page)"/>
        <w:docPartUnique/>
      </w:docPartObj>
    </w:sdtPr>
    <w:sdtContent>
      <w:p w14:paraId="1821DB12" w14:textId="0E837256" w:rsidR="00D54A1C" w:rsidRDefault="00D54A1C">
        <w:pPr>
          <w:pStyle w:val="Pieddepage"/>
          <w:jc w:val="center"/>
        </w:pPr>
        <w:r>
          <w:fldChar w:fldCharType="begin"/>
        </w:r>
        <w:r>
          <w:instrText>PAGE   \* MERGEFORMAT</w:instrText>
        </w:r>
        <w:r>
          <w:fldChar w:fldCharType="separate"/>
        </w:r>
        <w:r>
          <w:rPr>
            <w:lang w:val="fr-FR"/>
          </w:rPr>
          <w:t>2</w:t>
        </w:r>
        <w:r>
          <w:fldChar w:fldCharType="end"/>
        </w:r>
      </w:p>
    </w:sdtContent>
  </w:sdt>
  <w:p w14:paraId="28280B3F" w14:textId="77777777" w:rsidR="00D54A1C" w:rsidRDefault="00D54A1C">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D1116D1" w14:textId="77777777" w:rsidR="00955234" w:rsidRDefault="00955234" w:rsidP="00D54A1C">
      <w:pPr>
        <w:spacing w:after="0" w:line="240" w:lineRule="auto"/>
      </w:pPr>
      <w:r>
        <w:separator/>
      </w:r>
    </w:p>
  </w:footnote>
  <w:footnote w:type="continuationSeparator" w:id="0">
    <w:p w14:paraId="13346AE3" w14:textId="77777777" w:rsidR="00955234" w:rsidRDefault="00955234" w:rsidP="00D54A1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306B7"/>
    <w:multiLevelType w:val="hybridMultilevel"/>
    <w:tmpl w:val="553C33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F736DC"/>
    <w:multiLevelType w:val="hybridMultilevel"/>
    <w:tmpl w:val="A0C4FD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B87776A"/>
    <w:multiLevelType w:val="hybridMultilevel"/>
    <w:tmpl w:val="B97C74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7F003E6"/>
    <w:multiLevelType w:val="hybridMultilevel"/>
    <w:tmpl w:val="7396CE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20C67842"/>
    <w:multiLevelType w:val="hybridMultilevel"/>
    <w:tmpl w:val="843ED25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1E45166"/>
    <w:multiLevelType w:val="hybridMultilevel"/>
    <w:tmpl w:val="890E6BF6"/>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24EF250F"/>
    <w:multiLevelType w:val="hybridMultilevel"/>
    <w:tmpl w:val="4CDAD2CC"/>
    <w:lvl w:ilvl="0" w:tplc="774AF502">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7" w15:restartNumberingAfterBreak="0">
    <w:nsid w:val="2DBE03C2"/>
    <w:multiLevelType w:val="hybridMultilevel"/>
    <w:tmpl w:val="D79634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8" w15:restartNumberingAfterBreak="0">
    <w:nsid w:val="2EFC3CC7"/>
    <w:multiLevelType w:val="hybridMultilevel"/>
    <w:tmpl w:val="9F10D5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13C7563"/>
    <w:multiLevelType w:val="hybridMultilevel"/>
    <w:tmpl w:val="416ADC2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32A52998"/>
    <w:multiLevelType w:val="hybridMultilevel"/>
    <w:tmpl w:val="D790633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1B5D86"/>
    <w:multiLevelType w:val="hybridMultilevel"/>
    <w:tmpl w:val="4D32F67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347672C"/>
    <w:multiLevelType w:val="hybridMultilevel"/>
    <w:tmpl w:val="B05A1A1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3" w15:restartNumberingAfterBreak="0">
    <w:nsid w:val="371864DE"/>
    <w:multiLevelType w:val="hybridMultilevel"/>
    <w:tmpl w:val="A98E5AC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37282E6A"/>
    <w:multiLevelType w:val="hybridMultilevel"/>
    <w:tmpl w:val="A78C5170"/>
    <w:lvl w:ilvl="0" w:tplc="040C0001">
      <w:start w:val="1"/>
      <w:numFmt w:val="bullet"/>
      <w:lvlText w:val=""/>
      <w:lvlJc w:val="left"/>
      <w:pPr>
        <w:ind w:left="360" w:hanging="360"/>
      </w:pPr>
      <w:rPr>
        <w:rFonts w:ascii="Symbol" w:hAnsi="Symbol"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5" w15:restartNumberingAfterBreak="0">
    <w:nsid w:val="390C3A40"/>
    <w:multiLevelType w:val="hybridMultilevel"/>
    <w:tmpl w:val="E446F4A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3FA27434"/>
    <w:multiLevelType w:val="hybridMultilevel"/>
    <w:tmpl w:val="A01862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443D2300"/>
    <w:multiLevelType w:val="hybridMultilevel"/>
    <w:tmpl w:val="B03205D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44CD3BB7"/>
    <w:multiLevelType w:val="hybridMultilevel"/>
    <w:tmpl w:val="55E0CD6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9" w15:restartNumberingAfterBreak="0">
    <w:nsid w:val="45EA7266"/>
    <w:multiLevelType w:val="hybridMultilevel"/>
    <w:tmpl w:val="01A0936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0" w15:restartNumberingAfterBreak="0">
    <w:nsid w:val="4905043D"/>
    <w:multiLevelType w:val="hybridMultilevel"/>
    <w:tmpl w:val="6BEA5F6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1" w15:restartNumberingAfterBreak="0">
    <w:nsid w:val="54EF22FB"/>
    <w:multiLevelType w:val="hybridMultilevel"/>
    <w:tmpl w:val="F2125036"/>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56490160"/>
    <w:multiLevelType w:val="hybridMultilevel"/>
    <w:tmpl w:val="F5BCC1E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3" w15:restartNumberingAfterBreak="0">
    <w:nsid w:val="66E0677E"/>
    <w:multiLevelType w:val="hybridMultilevel"/>
    <w:tmpl w:val="17F2EC4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4" w15:restartNumberingAfterBreak="0">
    <w:nsid w:val="68026895"/>
    <w:multiLevelType w:val="hybridMultilevel"/>
    <w:tmpl w:val="C4C09C6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6F6829EB"/>
    <w:multiLevelType w:val="hybridMultilevel"/>
    <w:tmpl w:val="9E4073F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6" w15:restartNumberingAfterBreak="0">
    <w:nsid w:val="6F846C47"/>
    <w:multiLevelType w:val="hybridMultilevel"/>
    <w:tmpl w:val="A3404FA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15:restartNumberingAfterBreak="0">
    <w:nsid w:val="6FB707F4"/>
    <w:multiLevelType w:val="hybridMultilevel"/>
    <w:tmpl w:val="868C1C3E"/>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8" w15:restartNumberingAfterBreak="0">
    <w:nsid w:val="79C5419F"/>
    <w:multiLevelType w:val="hybridMultilevel"/>
    <w:tmpl w:val="5AF02CE6"/>
    <w:lvl w:ilvl="0" w:tplc="040C0001">
      <w:start w:val="1"/>
      <w:numFmt w:val="bullet"/>
      <w:lvlText w:val=""/>
      <w:lvlJc w:val="left"/>
      <w:pPr>
        <w:ind w:left="916" w:hanging="360"/>
      </w:pPr>
      <w:rPr>
        <w:rFonts w:ascii="Symbol" w:hAnsi="Symbol" w:hint="default"/>
      </w:rPr>
    </w:lvl>
    <w:lvl w:ilvl="1" w:tplc="040C0003" w:tentative="1">
      <w:start w:val="1"/>
      <w:numFmt w:val="bullet"/>
      <w:lvlText w:val="o"/>
      <w:lvlJc w:val="left"/>
      <w:pPr>
        <w:ind w:left="1636" w:hanging="360"/>
      </w:pPr>
      <w:rPr>
        <w:rFonts w:ascii="Courier New" w:hAnsi="Courier New" w:cs="Courier New" w:hint="default"/>
      </w:rPr>
    </w:lvl>
    <w:lvl w:ilvl="2" w:tplc="040C0005" w:tentative="1">
      <w:start w:val="1"/>
      <w:numFmt w:val="bullet"/>
      <w:lvlText w:val=""/>
      <w:lvlJc w:val="left"/>
      <w:pPr>
        <w:ind w:left="2356" w:hanging="360"/>
      </w:pPr>
      <w:rPr>
        <w:rFonts w:ascii="Wingdings" w:hAnsi="Wingdings" w:hint="default"/>
      </w:rPr>
    </w:lvl>
    <w:lvl w:ilvl="3" w:tplc="040C0001" w:tentative="1">
      <w:start w:val="1"/>
      <w:numFmt w:val="bullet"/>
      <w:lvlText w:val=""/>
      <w:lvlJc w:val="left"/>
      <w:pPr>
        <w:ind w:left="3076" w:hanging="360"/>
      </w:pPr>
      <w:rPr>
        <w:rFonts w:ascii="Symbol" w:hAnsi="Symbol" w:hint="default"/>
      </w:rPr>
    </w:lvl>
    <w:lvl w:ilvl="4" w:tplc="040C0003" w:tentative="1">
      <w:start w:val="1"/>
      <w:numFmt w:val="bullet"/>
      <w:lvlText w:val="o"/>
      <w:lvlJc w:val="left"/>
      <w:pPr>
        <w:ind w:left="3796" w:hanging="360"/>
      </w:pPr>
      <w:rPr>
        <w:rFonts w:ascii="Courier New" w:hAnsi="Courier New" w:cs="Courier New" w:hint="default"/>
      </w:rPr>
    </w:lvl>
    <w:lvl w:ilvl="5" w:tplc="040C0005" w:tentative="1">
      <w:start w:val="1"/>
      <w:numFmt w:val="bullet"/>
      <w:lvlText w:val=""/>
      <w:lvlJc w:val="left"/>
      <w:pPr>
        <w:ind w:left="4516" w:hanging="360"/>
      </w:pPr>
      <w:rPr>
        <w:rFonts w:ascii="Wingdings" w:hAnsi="Wingdings" w:hint="default"/>
      </w:rPr>
    </w:lvl>
    <w:lvl w:ilvl="6" w:tplc="040C0001" w:tentative="1">
      <w:start w:val="1"/>
      <w:numFmt w:val="bullet"/>
      <w:lvlText w:val=""/>
      <w:lvlJc w:val="left"/>
      <w:pPr>
        <w:ind w:left="5236" w:hanging="360"/>
      </w:pPr>
      <w:rPr>
        <w:rFonts w:ascii="Symbol" w:hAnsi="Symbol" w:hint="default"/>
      </w:rPr>
    </w:lvl>
    <w:lvl w:ilvl="7" w:tplc="040C0003" w:tentative="1">
      <w:start w:val="1"/>
      <w:numFmt w:val="bullet"/>
      <w:lvlText w:val="o"/>
      <w:lvlJc w:val="left"/>
      <w:pPr>
        <w:ind w:left="5956" w:hanging="360"/>
      </w:pPr>
      <w:rPr>
        <w:rFonts w:ascii="Courier New" w:hAnsi="Courier New" w:cs="Courier New" w:hint="default"/>
      </w:rPr>
    </w:lvl>
    <w:lvl w:ilvl="8" w:tplc="040C0005" w:tentative="1">
      <w:start w:val="1"/>
      <w:numFmt w:val="bullet"/>
      <w:lvlText w:val=""/>
      <w:lvlJc w:val="left"/>
      <w:pPr>
        <w:ind w:left="6676" w:hanging="360"/>
      </w:pPr>
      <w:rPr>
        <w:rFonts w:ascii="Wingdings" w:hAnsi="Wingdings" w:hint="default"/>
      </w:rPr>
    </w:lvl>
  </w:abstractNum>
  <w:abstractNum w:abstractNumId="29" w15:restartNumberingAfterBreak="0">
    <w:nsid w:val="7CF52240"/>
    <w:multiLevelType w:val="hybridMultilevel"/>
    <w:tmpl w:val="6182350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0" w15:restartNumberingAfterBreak="0">
    <w:nsid w:val="7DCD7617"/>
    <w:multiLevelType w:val="hybridMultilevel"/>
    <w:tmpl w:val="21C63048"/>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7E321C25"/>
    <w:multiLevelType w:val="hybridMultilevel"/>
    <w:tmpl w:val="C3E2656A"/>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19"/>
  </w:num>
  <w:num w:numId="2">
    <w:abstractNumId w:val="13"/>
  </w:num>
  <w:num w:numId="3">
    <w:abstractNumId w:val="7"/>
  </w:num>
  <w:num w:numId="4">
    <w:abstractNumId w:val="18"/>
  </w:num>
  <w:num w:numId="5">
    <w:abstractNumId w:val="4"/>
  </w:num>
  <w:num w:numId="6">
    <w:abstractNumId w:val="27"/>
  </w:num>
  <w:num w:numId="7">
    <w:abstractNumId w:val="9"/>
  </w:num>
  <w:num w:numId="8">
    <w:abstractNumId w:val="2"/>
  </w:num>
  <w:num w:numId="9">
    <w:abstractNumId w:val="20"/>
  </w:num>
  <w:num w:numId="10">
    <w:abstractNumId w:val="0"/>
  </w:num>
  <w:num w:numId="11">
    <w:abstractNumId w:val="26"/>
  </w:num>
  <w:num w:numId="12">
    <w:abstractNumId w:val="8"/>
  </w:num>
  <w:num w:numId="13">
    <w:abstractNumId w:val="3"/>
  </w:num>
  <w:num w:numId="14">
    <w:abstractNumId w:val="16"/>
  </w:num>
  <w:num w:numId="15">
    <w:abstractNumId w:val="30"/>
  </w:num>
  <w:num w:numId="16">
    <w:abstractNumId w:val="23"/>
  </w:num>
  <w:num w:numId="17">
    <w:abstractNumId w:val="1"/>
  </w:num>
  <w:num w:numId="18">
    <w:abstractNumId w:val="12"/>
  </w:num>
  <w:num w:numId="19">
    <w:abstractNumId w:val="28"/>
  </w:num>
  <w:num w:numId="20">
    <w:abstractNumId w:val="17"/>
  </w:num>
  <w:num w:numId="21">
    <w:abstractNumId w:val="10"/>
  </w:num>
  <w:num w:numId="22">
    <w:abstractNumId w:val="5"/>
  </w:num>
  <w:num w:numId="23">
    <w:abstractNumId w:val="24"/>
  </w:num>
  <w:num w:numId="24">
    <w:abstractNumId w:val="14"/>
  </w:num>
  <w:num w:numId="25">
    <w:abstractNumId w:val="22"/>
  </w:num>
  <w:num w:numId="26">
    <w:abstractNumId w:val="25"/>
  </w:num>
  <w:num w:numId="27">
    <w:abstractNumId w:val="11"/>
  </w:num>
  <w:num w:numId="28">
    <w:abstractNumId w:val="15"/>
  </w:num>
  <w:num w:numId="29">
    <w:abstractNumId w:val="6"/>
  </w:num>
  <w:num w:numId="30">
    <w:abstractNumId w:val="29"/>
  </w:num>
  <w:num w:numId="31">
    <w:abstractNumId w:val="21"/>
  </w:num>
  <w:num w:numId="32">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28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10B40"/>
    <w:rsid w:val="00006B32"/>
    <w:rsid w:val="000144BB"/>
    <w:rsid w:val="00032184"/>
    <w:rsid w:val="0004184D"/>
    <w:rsid w:val="0004741B"/>
    <w:rsid w:val="000517E4"/>
    <w:rsid w:val="00056920"/>
    <w:rsid w:val="000643DF"/>
    <w:rsid w:val="000752FA"/>
    <w:rsid w:val="000802E5"/>
    <w:rsid w:val="00090D45"/>
    <w:rsid w:val="00092573"/>
    <w:rsid w:val="000A343E"/>
    <w:rsid w:val="000B4BB9"/>
    <w:rsid w:val="000B6C60"/>
    <w:rsid w:val="000B7A6E"/>
    <w:rsid w:val="000C2201"/>
    <w:rsid w:val="000C2D99"/>
    <w:rsid w:val="000D06AA"/>
    <w:rsid w:val="000E120C"/>
    <w:rsid w:val="0011164E"/>
    <w:rsid w:val="00112C04"/>
    <w:rsid w:val="00124E78"/>
    <w:rsid w:val="001474DC"/>
    <w:rsid w:val="00153CB2"/>
    <w:rsid w:val="0017344E"/>
    <w:rsid w:val="00185CC1"/>
    <w:rsid w:val="001C0689"/>
    <w:rsid w:val="001D0730"/>
    <w:rsid w:val="001D52CC"/>
    <w:rsid w:val="001F4664"/>
    <w:rsid w:val="00200ABB"/>
    <w:rsid w:val="00225ED6"/>
    <w:rsid w:val="00225F94"/>
    <w:rsid w:val="0022711D"/>
    <w:rsid w:val="00250063"/>
    <w:rsid w:val="0026081A"/>
    <w:rsid w:val="0027524E"/>
    <w:rsid w:val="00276F3E"/>
    <w:rsid w:val="00297816"/>
    <w:rsid w:val="002B6435"/>
    <w:rsid w:val="002D15B3"/>
    <w:rsid w:val="002D478A"/>
    <w:rsid w:val="00300611"/>
    <w:rsid w:val="00307795"/>
    <w:rsid w:val="00310B57"/>
    <w:rsid w:val="00331568"/>
    <w:rsid w:val="00336CE2"/>
    <w:rsid w:val="0034054F"/>
    <w:rsid w:val="00360421"/>
    <w:rsid w:val="003650A4"/>
    <w:rsid w:val="0038019B"/>
    <w:rsid w:val="00384DC1"/>
    <w:rsid w:val="00390B3C"/>
    <w:rsid w:val="00394B16"/>
    <w:rsid w:val="00395EBA"/>
    <w:rsid w:val="003B5A0D"/>
    <w:rsid w:val="003D65A2"/>
    <w:rsid w:val="0041050F"/>
    <w:rsid w:val="00411E5F"/>
    <w:rsid w:val="00416D83"/>
    <w:rsid w:val="0042160D"/>
    <w:rsid w:val="00422F8A"/>
    <w:rsid w:val="00433AD5"/>
    <w:rsid w:val="004446F1"/>
    <w:rsid w:val="00450910"/>
    <w:rsid w:val="00450EDF"/>
    <w:rsid w:val="0047223A"/>
    <w:rsid w:val="00490F3E"/>
    <w:rsid w:val="00492142"/>
    <w:rsid w:val="004C04E9"/>
    <w:rsid w:val="004C5618"/>
    <w:rsid w:val="004D6F85"/>
    <w:rsid w:val="004E6D7F"/>
    <w:rsid w:val="004F40BF"/>
    <w:rsid w:val="0050583C"/>
    <w:rsid w:val="00516E03"/>
    <w:rsid w:val="00527DFA"/>
    <w:rsid w:val="00531900"/>
    <w:rsid w:val="00537E53"/>
    <w:rsid w:val="00541CDA"/>
    <w:rsid w:val="00557897"/>
    <w:rsid w:val="005639F1"/>
    <w:rsid w:val="00563BD9"/>
    <w:rsid w:val="0058060F"/>
    <w:rsid w:val="00584195"/>
    <w:rsid w:val="005E0C7B"/>
    <w:rsid w:val="006039D1"/>
    <w:rsid w:val="00606B40"/>
    <w:rsid w:val="00606EC4"/>
    <w:rsid w:val="00610B40"/>
    <w:rsid w:val="006213A4"/>
    <w:rsid w:val="00622E96"/>
    <w:rsid w:val="006572FC"/>
    <w:rsid w:val="00657D9A"/>
    <w:rsid w:val="00690075"/>
    <w:rsid w:val="00690396"/>
    <w:rsid w:val="006D0A66"/>
    <w:rsid w:val="006D41F7"/>
    <w:rsid w:val="006E0BD7"/>
    <w:rsid w:val="006E7E78"/>
    <w:rsid w:val="006F1314"/>
    <w:rsid w:val="006F1BB0"/>
    <w:rsid w:val="00700E74"/>
    <w:rsid w:val="007038CD"/>
    <w:rsid w:val="0070429E"/>
    <w:rsid w:val="00713682"/>
    <w:rsid w:val="00716162"/>
    <w:rsid w:val="00720B98"/>
    <w:rsid w:val="00730700"/>
    <w:rsid w:val="00745ACC"/>
    <w:rsid w:val="00750E83"/>
    <w:rsid w:val="00752BBB"/>
    <w:rsid w:val="00760046"/>
    <w:rsid w:val="00767A75"/>
    <w:rsid w:val="00783C90"/>
    <w:rsid w:val="00793512"/>
    <w:rsid w:val="007B2F84"/>
    <w:rsid w:val="007C32F2"/>
    <w:rsid w:val="007E3473"/>
    <w:rsid w:val="007E49B2"/>
    <w:rsid w:val="007E725B"/>
    <w:rsid w:val="007F1F03"/>
    <w:rsid w:val="007F4C02"/>
    <w:rsid w:val="007F5C7F"/>
    <w:rsid w:val="00807F9E"/>
    <w:rsid w:val="00810014"/>
    <w:rsid w:val="00833050"/>
    <w:rsid w:val="00835534"/>
    <w:rsid w:val="00835D5D"/>
    <w:rsid w:val="0087414D"/>
    <w:rsid w:val="00877AD0"/>
    <w:rsid w:val="00881E43"/>
    <w:rsid w:val="008919F5"/>
    <w:rsid w:val="00896D2D"/>
    <w:rsid w:val="008A24AD"/>
    <w:rsid w:val="008A6EFE"/>
    <w:rsid w:val="008B0215"/>
    <w:rsid w:val="008E3F5D"/>
    <w:rsid w:val="008F0D2D"/>
    <w:rsid w:val="008F0D4A"/>
    <w:rsid w:val="009008CA"/>
    <w:rsid w:val="00907FB4"/>
    <w:rsid w:val="009331C7"/>
    <w:rsid w:val="00937A2C"/>
    <w:rsid w:val="009432AE"/>
    <w:rsid w:val="00955234"/>
    <w:rsid w:val="00985E09"/>
    <w:rsid w:val="0098795B"/>
    <w:rsid w:val="009955BF"/>
    <w:rsid w:val="009A1DC0"/>
    <w:rsid w:val="009A4B70"/>
    <w:rsid w:val="009A5A88"/>
    <w:rsid w:val="009B28DD"/>
    <w:rsid w:val="009C58F1"/>
    <w:rsid w:val="009D616A"/>
    <w:rsid w:val="009D6544"/>
    <w:rsid w:val="009E08AB"/>
    <w:rsid w:val="009E6728"/>
    <w:rsid w:val="009F001D"/>
    <w:rsid w:val="00A11914"/>
    <w:rsid w:val="00A16D35"/>
    <w:rsid w:val="00A20660"/>
    <w:rsid w:val="00A5345A"/>
    <w:rsid w:val="00A85671"/>
    <w:rsid w:val="00A9164F"/>
    <w:rsid w:val="00AA0532"/>
    <w:rsid w:val="00AA07D2"/>
    <w:rsid w:val="00AA0C99"/>
    <w:rsid w:val="00AD1481"/>
    <w:rsid w:val="00AE3D44"/>
    <w:rsid w:val="00AF12FB"/>
    <w:rsid w:val="00B008EB"/>
    <w:rsid w:val="00B00F6C"/>
    <w:rsid w:val="00B173C6"/>
    <w:rsid w:val="00B52392"/>
    <w:rsid w:val="00B8570E"/>
    <w:rsid w:val="00B9409B"/>
    <w:rsid w:val="00BA492F"/>
    <w:rsid w:val="00BB5707"/>
    <w:rsid w:val="00BB7598"/>
    <w:rsid w:val="00BF0EC3"/>
    <w:rsid w:val="00C00ED8"/>
    <w:rsid w:val="00C046E3"/>
    <w:rsid w:val="00C05083"/>
    <w:rsid w:val="00C15AC3"/>
    <w:rsid w:val="00C17A27"/>
    <w:rsid w:val="00C2099B"/>
    <w:rsid w:val="00C2709E"/>
    <w:rsid w:val="00C439F8"/>
    <w:rsid w:val="00C53179"/>
    <w:rsid w:val="00C61A9E"/>
    <w:rsid w:val="00C65861"/>
    <w:rsid w:val="00C85D50"/>
    <w:rsid w:val="00C86BBF"/>
    <w:rsid w:val="00C938DD"/>
    <w:rsid w:val="00CA4C29"/>
    <w:rsid w:val="00CB790B"/>
    <w:rsid w:val="00CC63E5"/>
    <w:rsid w:val="00CD084F"/>
    <w:rsid w:val="00CD4412"/>
    <w:rsid w:val="00CD55FD"/>
    <w:rsid w:val="00CE2B30"/>
    <w:rsid w:val="00D0724D"/>
    <w:rsid w:val="00D118EE"/>
    <w:rsid w:val="00D457C5"/>
    <w:rsid w:val="00D54A1C"/>
    <w:rsid w:val="00D66581"/>
    <w:rsid w:val="00D95C60"/>
    <w:rsid w:val="00DA074D"/>
    <w:rsid w:val="00DA3F8C"/>
    <w:rsid w:val="00DD4F06"/>
    <w:rsid w:val="00DD63E2"/>
    <w:rsid w:val="00DF491E"/>
    <w:rsid w:val="00DF637C"/>
    <w:rsid w:val="00E02D62"/>
    <w:rsid w:val="00E13AB4"/>
    <w:rsid w:val="00EA4B8E"/>
    <w:rsid w:val="00ED24A2"/>
    <w:rsid w:val="00EE0265"/>
    <w:rsid w:val="00EE3E39"/>
    <w:rsid w:val="00F13E53"/>
    <w:rsid w:val="00F248E3"/>
    <w:rsid w:val="00F24A17"/>
    <w:rsid w:val="00F46956"/>
    <w:rsid w:val="00F6120E"/>
    <w:rsid w:val="00F6256B"/>
    <w:rsid w:val="00F64038"/>
    <w:rsid w:val="00F7197B"/>
    <w:rsid w:val="00F77F51"/>
    <w:rsid w:val="00FB2082"/>
    <w:rsid w:val="00FC5964"/>
    <w:rsid w:val="00FE3A70"/>
    <w:rsid w:val="00FE57C4"/>
    <w:rsid w:val="00FF59CD"/>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32FA91DD"/>
  <w14:defaultImageDpi w14:val="32767"/>
  <w15:chartTrackingRefBased/>
  <w15:docId w15:val="{9DAAA6A4-1FF4-4265-9DBA-F77D3C663B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lang w:val="en-US"/>
    </w:rPr>
  </w:style>
  <w:style w:type="paragraph" w:styleId="Titre1">
    <w:name w:val="heading 1"/>
    <w:basedOn w:val="Normal"/>
    <w:next w:val="Normal"/>
    <w:link w:val="Titre1Car"/>
    <w:uiPriority w:val="9"/>
    <w:qFormat/>
    <w:rsid w:val="00CA4C29"/>
    <w:pPr>
      <w:outlineLvl w:val="0"/>
    </w:pPr>
    <w:rPr>
      <w:b/>
      <w:u w:val="single"/>
    </w:rPr>
  </w:style>
  <w:style w:type="paragraph" w:styleId="Titre2">
    <w:name w:val="heading 2"/>
    <w:basedOn w:val="Normal"/>
    <w:next w:val="Normal"/>
    <w:link w:val="Titre2Car"/>
    <w:uiPriority w:val="9"/>
    <w:unhideWhenUsed/>
    <w:qFormat/>
    <w:rsid w:val="0026081A"/>
    <w:pPr>
      <w:jc w:val="both"/>
      <w:outlineLvl w:val="1"/>
    </w:pPr>
    <w:rPr>
      <w:b/>
    </w:rPr>
  </w:style>
  <w:style w:type="paragraph" w:styleId="Titre3">
    <w:name w:val="heading 3"/>
    <w:basedOn w:val="Normal"/>
    <w:next w:val="Normal"/>
    <w:link w:val="Titre3Car"/>
    <w:uiPriority w:val="9"/>
    <w:unhideWhenUsed/>
    <w:qFormat/>
    <w:rsid w:val="00760046"/>
    <w:pPr>
      <w:jc w:val="both"/>
      <w:outlineLvl w:val="2"/>
    </w:pPr>
    <w:rPr>
      <w:b/>
      <w:i/>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A4C29"/>
    <w:rPr>
      <w:b/>
      <w:u w:val="single"/>
      <w:lang w:val="en-US"/>
    </w:rPr>
  </w:style>
  <w:style w:type="character" w:customStyle="1" w:styleId="Titre2Car">
    <w:name w:val="Titre 2 Car"/>
    <w:basedOn w:val="Policepardfaut"/>
    <w:link w:val="Titre2"/>
    <w:uiPriority w:val="9"/>
    <w:rsid w:val="0026081A"/>
    <w:rPr>
      <w:b/>
      <w:lang w:val="en-US"/>
    </w:rPr>
  </w:style>
  <w:style w:type="character" w:customStyle="1" w:styleId="Titre3Car">
    <w:name w:val="Titre 3 Car"/>
    <w:basedOn w:val="Policepardfaut"/>
    <w:link w:val="Titre3"/>
    <w:uiPriority w:val="9"/>
    <w:rsid w:val="00760046"/>
    <w:rPr>
      <w:b/>
      <w:i/>
      <w:lang w:val="en-US"/>
    </w:rPr>
  </w:style>
  <w:style w:type="paragraph" w:styleId="Paragraphedeliste">
    <w:name w:val="List Paragraph"/>
    <w:basedOn w:val="Normal"/>
    <w:qFormat/>
    <w:rsid w:val="000B6C60"/>
    <w:pPr>
      <w:ind w:left="720"/>
      <w:contextualSpacing/>
    </w:pPr>
  </w:style>
  <w:style w:type="table" w:styleId="Tableausimple4">
    <w:name w:val="Plain Table 4"/>
    <w:basedOn w:val="TableauNormal"/>
    <w:uiPriority w:val="44"/>
    <w:rsid w:val="008F0D2D"/>
    <w:pPr>
      <w:spacing w:after="0" w:line="240" w:lineRule="auto"/>
      <w:jc w:val="center"/>
    </w:pPr>
    <w:tblPr>
      <w:tblStyleRowBandSize w:val="1"/>
      <w:tblStyleColBandSize w:val="1"/>
      <w:jc w:val="center"/>
    </w:tblPr>
    <w:trPr>
      <w:jc w:val="center"/>
    </w:trPr>
    <w:tcPr>
      <w:vAlign w:val="center"/>
    </w:tc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Contenudetableau">
    <w:name w:val="Contenu de tableau"/>
    <w:basedOn w:val="Normal"/>
    <w:qFormat/>
    <w:rsid w:val="00394B16"/>
    <w:pPr>
      <w:suppressLineNumbers/>
    </w:pPr>
  </w:style>
  <w:style w:type="table" w:styleId="Tableausimple2">
    <w:name w:val="Plain Table 2"/>
    <w:basedOn w:val="TableauNormal"/>
    <w:uiPriority w:val="42"/>
    <w:rsid w:val="0098795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Lgende">
    <w:name w:val="caption"/>
    <w:basedOn w:val="Normal"/>
    <w:next w:val="Normal"/>
    <w:uiPriority w:val="35"/>
    <w:unhideWhenUsed/>
    <w:qFormat/>
    <w:rsid w:val="00A85671"/>
    <w:pPr>
      <w:widowControl w:val="0"/>
      <w:wordWrap w:val="0"/>
      <w:spacing w:before="240" w:after="240" w:line="240" w:lineRule="auto"/>
      <w:jc w:val="center"/>
    </w:pPr>
    <w:rPr>
      <w:rFonts w:eastAsia="BatangChe" w:cs="Angsana New"/>
      <w:b/>
      <w:bCs/>
      <w:kern w:val="2"/>
      <w:sz w:val="20"/>
      <w:szCs w:val="20"/>
      <w:lang w:eastAsia="ko-KR"/>
    </w:rPr>
  </w:style>
  <w:style w:type="character" w:styleId="Lienhypertexte">
    <w:name w:val="Hyperlink"/>
    <w:basedOn w:val="Policepardfaut"/>
    <w:uiPriority w:val="99"/>
    <w:unhideWhenUsed/>
    <w:rsid w:val="00360421"/>
    <w:rPr>
      <w:color w:val="0563C1" w:themeColor="hyperlink"/>
      <w:u w:val="single"/>
    </w:rPr>
  </w:style>
  <w:style w:type="table" w:styleId="Grilledutableau">
    <w:name w:val="Table Grid"/>
    <w:basedOn w:val="TableauNormal"/>
    <w:uiPriority w:val="39"/>
    <w:rsid w:val="0036042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gkelc">
    <w:name w:val="hgkelc"/>
    <w:basedOn w:val="Policepardfaut"/>
    <w:rsid w:val="00360421"/>
  </w:style>
  <w:style w:type="paragraph" w:styleId="TM1">
    <w:name w:val="toc 1"/>
    <w:basedOn w:val="Normal"/>
    <w:next w:val="Normal"/>
    <w:autoRedefine/>
    <w:uiPriority w:val="39"/>
    <w:unhideWhenUsed/>
    <w:rsid w:val="00360421"/>
    <w:pPr>
      <w:spacing w:after="100"/>
    </w:pPr>
  </w:style>
  <w:style w:type="paragraph" w:styleId="Tabledesillustrations">
    <w:name w:val="table of figures"/>
    <w:basedOn w:val="Normal"/>
    <w:next w:val="Normal"/>
    <w:uiPriority w:val="99"/>
    <w:unhideWhenUsed/>
    <w:rsid w:val="00360421"/>
    <w:pPr>
      <w:spacing w:after="0"/>
    </w:pPr>
  </w:style>
  <w:style w:type="paragraph" w:styleId="Bibliographie">
    <w:name w:val="Bibliography"/>
    <w:basedOn w:val="Normal"/>
    <w:next w:val="Normal"/>
    <w:uiPriority w:val="37"/>
    <w:unhideWhenUsed/>
    <w:rsid w:val="00360421"/>
    <w:pPr>
      <w:tabs>
        <w:tab w:val="left" w:pos="384"/>
      </w:tabs>
      <w:spacing w:after="0" w:line="480" w:lineRule="auto"/>
      <w:ind w:left="384" w:hanging="384"/>
    </w:pPr>
  </w:style>
  <w:style w:type="paragraph" w:styleId="En-tte">
    <w:name w:val="header"/>
    <w:basedOn w:val="Normal"/>
    <w:link w:val="En-tteCar"/>
    <w:uiPriority w:val="99"/>
    <w:unhideWhenUsed/>
    <w:rsid w:val="00360421"/>
    <w:pPr>
      <w:tabs>
        <w:tab w:val="center" w:pos="4536"/>
        <w:tab w:val="right" w:pos="9072"/>
      </w:tabs>
      <w:spacing w:after="0" w:line="240" w:lineRule="auto"/>
    </w:pPr>
  </w:style>
  <w:style w:type="character" w:customStyle="1" w:styleId="En-tteCar">
    <w:name w:val="En-tête Car"/>
    <w:basedOn w:val="Policepardfaut"/>
    <w:link w:val="En-tte"/>
    <w:uiPriority w:val="99"/>
    <w:rsid w:val="00360421"/>
    <w:rPr>
      <w:lang w:val="en-US"/>
    </w:rPr>
  </w:style>
  <w:style w:type="paragraph" w:styleId="Pieddepage">
    <w:name w:val="footer"/>
    <w:basedOn w:val="Normal"/>
    <w:link w:val="PieddepageCar"/>
    <w:uiPriority w:val="99"/>
    <w:unhideWhenUsed/>
    <w:rsid w:val="00360421"/>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360421"/>
    <w:rPr>
      <w:lang w:val="en-US"/>
    </w:rPr>
  </w:style>
  <w:style w:type="paragraph" w:styleId="Titre">
    <w:name w:val="Title"/>
    <w:basedOn w:val="Normal"/>
    <w:next w:val="Normal"/>
    <w:link w:val="TitreCar"/>
    <w:uiPriority w:val="10"/>
    <w:qFormat/>
    <w:rsid w:val="00360421"/>
    <w:pPr>
      <w:jc w:val="center"/>
    </w:pPr>
    <w:rPr>
      <w:b/>
    </w:rPr>
  </w:style>
  <w:style w:type="character" w:customStyle="1" w:styleId="TitreCar">
    <w:name w:val="Titre Car"/>
    <w:basedOn w:val="Policepardfaut"/>
    <w:link w:val="Titre"/>
    <w:uiPriority w:val="10"/>
    <w:rsid w:val="00360421"/>
    <w:rPr>
      <w:b/>
      <w:lang w:val="en-US"/>
    </w:rPr>
  </w:style>
  <w:style w:type="paragraph" w:styleId="Sous-titre">
    <w:name w:val="Subtitle"/>
    <w:basedOn w:val="Normal"/>
    <w:next w:val="Normal"/>
    <w:link w:val="Sous-titreCar"/>
    <w:uiPriority w:val="11"/>
    <w:qFormat/>
    <w:rsid w:val="00360421"/>
    <w:pPr>
      <w:contextualSpacing/>
      <w:jc w:val="center"/>
    </w:pPr>
    <w:rPr>
      <w:rFonts w:eastAsia="SimSun"/>
      <w:b/>
    </w:rPr>
  </w:style>
  <w:style w:type="character" w:customStyle="1" w:styleId="Sous-titreCar">
    <w:name w:val="Sous-titre Car"/>
    <w:basedOn w:val="Policepardfaut"/>
    <w:link w:val="Sous-titre"/>
    <w:uiPriority w:val="11"/>
    <w:rsid w:val="00360421"/>
    <w:rPr>
      <w:rFonts w:eastAsia="SimSun"/>
      <w:b/>
      <w:lang w:val="en-US"/>
    </w:rPr>
  </w:style>
  <w:style w:type="paragraph" w:customStyle="1" w:styleId="MARQUEDECHAPITRE">
    <w:name w:val="MARQUE DE CHAPITRE"/>
    <w:basedOn w:val="En-tte"/>
    <w:autoRedefine/>
    <w:qFormat/>
    <w:rsid w:val="00360421"/>
    <w:pPr>
      <w:suppressAutoHyphens/>
    </w:pPr>
    <w:rPr>
      <w:rFonts w:ascii="Chinese Rocks Rg" w:eastAsiaTheme="minorEastAsia" w:hAnsi="Chinese Rocks Rg"/>
      <w:smallCaps/>
      <w:color w:val="FFFFFF" w:themeColor="background1"/>
      <w:sz w:val="28"/>
      <w:lang w:val="fr-FR"/>
    </w:rPr>
  </w:style>
  <w:style w:type="character" w:customStyle="1" w:styleId="TextedebullesCar">
    <w:name w:val="Texte de bulles Car"/>
    <w:basedOn w:val="Policepardfaut"/>
    <w:link w:val="Textedebulles"/>
    <w:uiPriority w:val="99"/>
    <w:semiHidden/>
    <w:rsid w:val="00360421"/>
    <w:rPr>
      <w:rFonts w:ascii="Segoe UI" w:hAnsi="Segoe UI" w:cs="Segoe UI"/>
      <w:sz w:val="18"/>
      <w:szCs w:val="18"/>
      <w:lang w:val="en-US"/>
    </w:rPr>
  </w:style>
  <w:style w:type="paragraph" w:styleId="Textedebulles">
    <w:name w:val="Balloon Text"/>
    <w:basedOn w:val="Normal"/>
    <w:link w:val="TextedebullesCar"/>
    <w:uiPriority w:val="99"/>
    <w:semiHidden/>
    <w:unhideWhenUsed/>
    <w:rsid w:val="00360421"/>
    <w:pPr>
      <w:spacing w:after="0" w:line="240" w:lineRule="auto"/>
    </w:pPr>
    <w:rPr>
      <w:rFonts w:ascii="Segoe UI" w:hAnsi="Segoe UI" w:cs="Segoe UI"/>
      <w:sz w:val="18"/>
      <w:szCs w:val="18"/>
    </w:rPr>
  </w:style>
  <w:style w:type="paragraph" w:styleId="Sansinterligne">
    <w:name w:val="No Spacing"/>
    <w:uiPriority w:val="1"/>
    <w:qFormat/>
    <w:rsid w:val="00B52392"/>
    <w:pPr>
      <w:spacing w:after="0" w:line="240" w:lineRule="auto"/>
    </w:pPr>
    <w:rPr>
      <w:lang w:val="en-US"/>
    </w:rPr>
  </w:style>
  <w:style w:type="character" w:styleId="Mentionnonrsolue">
    <w:name w:val="Unresolved Mention"/>
    <w:basedOn w:val="Policepardfaut"/>
    <w:uiPriority w:val="99"/>
    <w:semiHidden/>
    <w:unhideWhenUsed/>
    <w:rsid w:val="00F77F51"/>
    <w:rPr>
      <w:color w:val="605E5C"/>
      <w:shd w:val="clear" w:color="auto" w:fill="E1DFDD"/>
    </w:rPr>
  </w:style>
  <w:style w:type="character" w:customStyle="1" w:styleId="version-info-item">
    <w:name w:val="version-info-item"/>
    <w:basedOn w:val="Policepardfaut"/>
    <w:rsid w:val="00F77F51"/>
  </w:style>
  <w:style w:type="character" w:customStyle="1" w:styleId="citation-select">
    <w:name w:val="citation-select"/>
    <w:basedOn w:val="Policepardfaut"/>
    <w:rsid w:val="00310B57"/>
  </w:style>
  <w:style w:type="character" w:styleId="Numrodeligne">
    <w:name w:val="line number"/>
    <w:basedOn w:val="Policepardfaut"/>
    <w:uiPriority w:val="99"/>
    <w:semiHidden/>
    <w:unhideWhenUsed/>
    <w:rsid w:val="00D54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oi.org/10.48531/JBRU.CALMIP/PBS858" TargetMode="External"/><Relationship Id="rId13" Type="http://schemas.openxmlformats.org/officeDocument/2006/relationships/image" Target="media/image3.png"/><Relationship Id="rId18" Type="http://schemas.openxmlformats.org/officeDocument/2006/relationships/image" Target="media/image8.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image" Target="media/image7.png"/><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s://doi.org/10.17632/b9sx3h3584.3" TargetMode="External"/><Relationship Id="rId19"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doi.org/10.48531/JBRU.CALMIP/UJVBTR" TargetMode="External"/><Relationship Id="rId14" Type="http://schemas.openxmlformats.org/officeDocument/2006/relationships/image" Target="media/image4.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78BF5B3-1117-4203-A001-D552B88F43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1635</TotalTime>
  <Pages>34</Pages>
  <Words>36091</Words>
  <Characters>205724</Characters>
  <Application>Microsoft Office Word</Application>
  <DocSecurity>0</DocSecurity>
  <Lines>1714</Lines>
  <Paragraphs>482</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241333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Ugo Javourez</dc:creator>
  <cp:keywords/>
  <dc:description/>
  <cp:lastModifiedBy>Ugo Javourez</cp:lastModifiedBy>
  <cp:revision>92</cp:revision>
  <dcterms:created xsi:type="dcterms:W3CDTF">2023-11-02T10:45:00Z</dcterms:created>
  <dcterms:modified xsi:type="dcterms:W3CDTF">2024-01-07T10:01:00Z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zotero-version="6.0.26"&gt;&lt;session id="V2TgXFIx"/&gt;&lt;style id="http://www.zotero.org/styles/nature" hasBibliography="1" bibliographyStyleHasBeenSet="1"/&gt;&lt;prefs&gt;&lt;pref name="fieldType" value="Field"/&gt;&lt;/prefs&gt;&lt;/data&gt;</vt:lpwstr>
  </property>
</Properties>
</file>