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AEDD7" w14:textId="77777777" w:rsidR="00317B4E" w:rsidRDefault="00317B4E" w:rsidP="00317B4E">
      <w:pPr>
        <w:spacing w:line="480" w:lineRule="auto"/>
        <w:jc w:val="both"/>
        <w:rPr>
          <w:rFonts w:cstheme="minorHAnsi"/>
          <w:b/>
          <w:bCs/>
          <w:sz w:val="28"/>
          <w:szCs w:val="28"/>
        </w:rPr>
      </w:pPr>
      <w:r w:rsidRPr="00D566DD">
        <w:rPr>
          <w:rFonts w:cstheme="minorHAnsi"/>
          <w:b/>
          <w:bCs/>
          <w:sz w:val="28"/>
          <w:szCs w:val="28"/>
        </w:rPr>
        <w:t xml:space="preserve">A study of SARS-COV-2 outbreaks in </w:t>
      </w:r>
      <w:r>
        <w:rPr>
          <w:rFonts w:cstheme="minorHAnsi"/>
          <w:b/>
          <w:bCs/>
          <w:sz w:val="28"/>
          <w:szCs w:val="28"/>
        </w:rPr>
        <w:t xml:space="preserve">US </w:t>
      </w:r>
      <w:r w:rsidRPr="00D566DD">
        <w:rPr>
          <w:rFonts w:cstheme="minorHAnsi"/>
          <w:b/>
          <w:bCs/>
          <w:sz w:val="28"/>
          <w:szCs w:val="28"/>
        </w:rPr>
        <w:t xml:space="preserve">federal prisons: the linkage between staff, </w:t>
      </w:r>
      <w:r>
        <w:rPr>
          <w:rFonts w:cstheme="minorHAnsi"/>
          <w:b/>
          <w:bCs/>
          <w:sz w:val="28"/>
          <w:szCs w:val="28"/>
        </w:rPr>
        <w:t>inmate</w:t>
      </w:r>
      <w:r w:rsidRPr="00D566DD">
        <w:rPr>
          <w:rFonts w:cstheme="minorHAnsi"/>
          <w:b/>
          <w:bCs/>
          <w:sz w:val="28"/>
          <w:szCs w:val="28"/>
        </w:rPr>
        <w:t>, and community transmission</w:t>
      </w:r>
    </w:p>
    <w:p w14:paraId="75EBA305" w14:textId="77777777" w:rsidR="00BB43CC" w:rsidRPr="00D9128C" w:rsidRDefault="00BB43CC" w:rsidP="00CA23E2">
      <w:pPr>
        <w:spacing w:line="480" w:lineRule="auto"/>
        <w:jc w:val="both"/>
        <w:rPr>
          <w:rFonts w:cstheme="minorHAnsi"/>
          <w:color w:val="000000" w:themeColor="text1"/>
        </w:rPr>
      </w:pPr>
    </w:p>
    <w:p w14:paraId="0093CBAD" w14:textId="77777777" w:rsidR="00AA5694" w:rsidRPr="00034F64" w:rsidRDefault="00AA5694" w:rsidP="00CA23E2">
      <w:pPr>
        <w:spacing w:line="480" w:lineRule="auto"/>
        <w:jc w:val="both"/>
        <w:rPr>
          <w:rFonts w:cstheme="minorHAnsi"/>
          <w:b/>
          <w:bCs/>
          <w:color w:val="000000" w:themeColor="text1"/>
        </w:rPr>
      </w:pPr>
      <w:r w:rsidRPr="00034F64">
        <w:rPr>
          <w:rFonts w:cstheme="minorHAnsi"/>
          <w:b/>
          <w:bCs/>
          <w:color w:val="000000" w:themeColor="text1"/>
        </w:rPr>
        <w:t>Appendix A</w:t>
      </w:r>
    </w:p>
    <w:p w14:paraId="687A3EEC" w14:textId="77777777" w:rsidR="007056D5" w:rsidRPr="00C90A4D" w:rsidRDefault="007056D5" w:rsidP="00CA23E2">
      <w:pPr>
        <w:spacing w:line="480" w:lineRule="auto"/>
        <w:jc w:val="both"/>
        <w:rPr>
          <w:rFonts w:cstheme="minorHAnsi"/>
          <w:b/>
          <w:color w:val="000000" w:themeColor="text1"/>
        </w:rPr>
      </w:pPr>
    </w:p>
    <w:p w14:paraId="40F950A3" w14:textId="73C1AF98" w:rsidR="00AA5694" w:rsidRPr="00D9128C" w:rsidRDefault="00AA5694" w:rsidP="00CA23E2">
      <w:pPr>
        <w:spacing w:line="480" w:lineRule="auto"/>
        <w:jc w:val="both"/>
        <w:rPr>
          <w:rFonts w:cstheme="minorHAnsi"/>
          <w:b/>
          <w:color w:val="000000" w:themeColor="text1"/>
        </w:rPr>
      </w:pPr>
      <w:r w:rsidRPr="00D9128C">
        <w:rPr>
          <w:rFonts w:cstheme="minorHAnsi"/>
          <w:b/>
          <w:color w:val="000000" w:themeColor="text1"/>
        </w:rPr>
        <w:t xml:space="preserve">A.1 Probability mass distributions for over-dispersed count data </w:t>
      </w:r>
    </w:p>
    <w:p w14:paraId="1D4B5810" w14:textId="77777777" w:rsidR="00542BB8" w:rsidRPr="00BB2CE0" w:rsidRDefault="00542BB8" w:rsidP="00CA23E2">
      <w:pPr>
        <w:spacing w:line="480" w:lineRule="auto"/>
        <w:jc w:val="both"/>
        <w:rPr>
          <w:rFonts w:cstheme="minorHAnsi"/>
          <w:color w:val="000000" w:themeColor="text1"/>
        </w:rPr>
      </w:pPr>
    </w:p>
    <w:p w14:paraId="37975E2D" w14:textId="17B2F243" w:rsidR="00AA5694" w:rsidRPr="00BB2CE0" w:rsidRDefault="007056D5" w:rsidP="00CA23E2">
      <w:pPr>
        <w:spacing w:line="480" w:lineRule="auto"/>
        <w:jc w:val="both"/>
        <w:rPr>
          <w:rFonts w:cstheme="minorHAnsi"/>
          <w:color w:val="000000" w:themeColor="text1"/>
        </w:rPr>
      </w:pPr>
      <w:r w:rsidRPr="00BB2CE0">
        <w:rPr>
          <w:rFonts w:cstheme="minorHAnsi"/>
          <w:color w:val="000000" w:themeColor="text1"/>
        </w:rPr>
        <w:t>Least squares linear regression methods are inappropriate for count data, particularly when the number of counts is low.  In such cases, regression methods based on probability distributions specific to integer data, such as the Poisson distribution, are preferred</w:t>
      </w:r>
      <w:r w:rsidR="00317B4E">
        <w:rPr>
          <w:rFonts w:cstheme="minorHAnsi"/>
          <w:color w:val="000000" w:themeColor="text1"/>
        </w:rPr>
        <w:t xml:space="preserve"> </w:t>
      </w:r>
      <w:r w:rsidR="00317B4E">
        <w:rPr>
          <w:rFonts w:cstheme="minorHAnsi"/>
          <w:color w:val="000000" w:themeColor="text1"/>
        </w:rPr>
        <w:fldChar w:fldCharType="begin" w:fldLock="1"/>
      </w:r>
      <w:r w:rsidR="00317B4E">
        <w:rPr>
          <w:rFonts w:cstheme="minorHAnsi"/>
          <w:color w:val="000000" w:themeColor="text1"/>
        </w:rPr>
        <w:instrText>ADDIN CSL_CITATION {"citationItems":[{"id":"ITEM-1","itemData":{"author":[{"dropping-particle":"","family":"Neter","given":"John","non-dropping-particle":"","parse-names":false,"suffix":""},{"dropping-particle":"","family":"Kutner","given":"Michael H","non-dropping-particle":"","parse-names":false,"suffix":""},{"dropping-particle":"","family":"Nachtsheim","given":"Christopher J","non-dropping-particle":"","parse-names":false,"suffix":""},{"dropping-particle":"","family":"Wasserman","given":"William","non-dropping-particle":"","parse-names":false,"suffix":""}],"id":"ITEM-1","issued":{"date-parts":[["1996"]]},"publisher":"Irwin Chicago","title":"Applied linear statistical models","type":"book","volume":"4"},"uris":["http://www.mendeley.com/documents/?uuid=f1cf4dd6-bc8d-4fd6-bf5d-6a55d1c5b90f"]}],"mendeley":{"formattedCitation":"(1)","plainTextFormattedCitation":"(1)","previouslyFormattedCitation":"(1)"},"properties":{"noteIndex":0},"schema":"https://github.com/citation-style-language/schema/raw/master/csl-citation.json"}</w:instrText>
      </w:r>
      <w:r w:rsidR="00317B4E">
        <w:rPr>
          <w:rFonts w:cstheme="minorHAnsi"/>
          <w:color w:val="000000" w:themeColor="text1"/>
        </w:rPr>
        <w:fldChar w:fldCharType="separate"/>
      </w:r>
      <w:r w:rsidR="00317B4E" w:rsidRPr="00317B4E">
        <w:rPr>
          <w:rFonts w:cstheme="minorHAnsi"/>
          <w:noProof/>
          <w:color w:val="000000" w:themeColor="text1"/>
        </w:rPr>
        <w:t>(1)</w:t>
      </w:r>
      <w:r w:rsidR="00317B4E">
        <w:rPr>
          <w:rFonts w:cstheme="minorHAnsi"/>
          <w:color w:val="000000" w:themeColor="text1"/>
        </w:rPr>
        <w:fldChar w:fldCharType="end"/>
      </w:r>
      <w:r w:rsidRPr="00C90A4D">
        <w:rPr>
          <w:rFonts w:cstheme="minorHAnsi"/>
          <w:color w:val="000000" w:themeColor="text1"/>
        </w:rPr>
        <w:t>.  However, c</w:t>
      </w:r>
      <w:r w:rsidR="00AA5694" w:rsidRPr="00D9128C">
        <w:rPr>
          <w:rFonts w:cstheme="minorHAnsi"/>
          <w:color w:val="000000" w:themeColor="text1"/>
        </w:rPr>
        <w:t xml:space="preserve">ount data are often over-dispersed relative to the Poisson model, in which case a more appropriate choice is the Negative Binomial model, which, like the Poisson distribution, </w:t>
      </w:r>
      <w:r w:rsidR="00AA5694" w:rsidRPr="00BB2CE0">
        <w:rPr>
          <w:rFonts w:cstheme="minorHAnsi"/>
          <w:color w:val="000000" w:themeColor="text1"/>
        </w:rPr>
        <w:t>includes the expected number of counts, λ, as a parameter, along with another parameter, α which is a measure of the amount of over-dispersion in the data</w:t>
      </w:r>
      <w:r w:rsidR="00317B4E">
        <w:rPr>
          <w:rFonts w:cstheme="minorHAnsi"/>
          <w:color w:val="000000" w:themeColor="text1"/>
        </w:rPr>
        <w:t xml:space="preserve"> </w:t>
      </w:r>
      <w:r w:rsidR="00DB20D1" w:rsidRPr="00D9128C">
        <w:rPr>
          <w:rFonts w:cstheme="minorHAnsi"/>
          <w:color w:val="000000" w:themeColor="text1"/>
        </w:rPr>
        <w:fldChar w:fldCharType="begin" w:fldLock="1"/>
      </w:r>
      <w:r w:rsidR="00317B4E">
        <w:rPr>
          <w:rFonts w:cstheme="minorHAnsi"/>
          <w:color w:val="000000" w:themeColor="text1"/>
        </w:rPr>
        <w:instrText>ADDIN CSL_CITATION {"citationItems":[{"id":"ITEM-1","itemData":{"author":[{"dropping-particle":"","family":"Lloyd-Smith","given":"James O","non-dropping-particle":"","parse-names":false,"suffix":""}],"container-title":"PloS one","id":"ITEM-1","issue":"2","issued":{"date-parts":[["2007"]]},"page":"e180","publisher":"Public Library of Science","title":"Maximum likelihood estimation of the negative binomial dispersion parameter for highly overdispersed data, with applications to infectious diseases","type":"article-journal","volume":"2"},"uris":["http://www.mendeley.com/documents/?uuid=c37b7978-b01e-4441-b970-78b4fe6540c6","http://www.mendeley.com/documents/?uuid=80f7fb7c-5e8d-4f6e-9dfc-c3d30efda52c"]}],"mendeley":{"formattedCitation":"(2)","plainTextFormattedCitation":"(2)","previouslyFormattedCitation":"(3)"},"properties":{"noteIndex":0},"schema":"https://github.com/citation-style-language/schema/raw/master/csl-citation.json"}</w:instrText>
      </w:r>
      <w:r w:rsidR="00DB20D1" w:rsidRPr="00D9128C">
        <w:rPr>
          <w:rFonts w:cstheme="minorHAnsi"/>
          <w:color w:val="000000" w:themeColor="text1"/>
        </w:rPr>
        <w:fldChar w:fldCharType="separate"/>
      </w:r>
      <w:r w:rsidR="00317B4E" w:rsidRPr="00317B4E">
        <w:rPr>
          <w:rFonts w:cstheme="minorHAnsi"/>
          <w:noProof/>
          <w:color w:val="000000" w:themeColor="text1"/>
        </w:rPr>
        <w:t>(2)</w:t>
      </w:r>
      <w:r w:rsidR="00DB20D1" w:rsidRPr="00D9128C">
        <w:rPr>
          <w:rFonts w:cstheme="minorHAnsi"/>
          <w:color w:val="000000" w:themeColor="text1"/>
        </w:rPr>
        <w:fldChar w:fldCharType="end"/>
      </w:r>
      <w:r w:rsidR="00AA5694" w:rsidRPr="00C90A4D">
        <w:rPr>
          <w:rFonts w:cstheme="minorHAnsi"/>
          <w:color w:val="000000" w:themeColor="text1"/>
        </w:rPr>
        <w:t>. The use of a Negative Binomial regression model when data are over-dispersed ensures that the estimates of the regr</w:t>
      </w:r>
      <w:r w:rsidR="00AA5694" w:rsidRPr="00D9128C">
        <w:rPr>
          <w:rFonts w:cstheme="minorHAnsi"/>
          <w:color w:val="000000" w:themeColor="text1"/>
        </w:rPr>
        <w:t>essi</w:t>
      </w:r>
      <w:r w:rsidR="00AA5694" w:rsidRPr="00BB2CE0">
        <w:rPr>
          <w:rFonts w:cstheme="minorHAnsi"/>
          <w:color w:val="000000" w:themeColor="text1"/>
        </w:rPr>
        <w:t xml:space="preserve">on coefficients have accurate confidence intervals. </w:t>
      </w:r>
    </w:p>
    <w:p w14:paraId="18E44024" w14:textId="77777777" w:rsidR="007056D5" w:rsidRPr="00BB2CE0" w:rsidRDefault="007056D5" w:rsidP="00CA23E2">
      <w:pPr>
        <w:spacing w:line="480" w:lineRule="auto"/>
        <w:jc w:val="both"/>
        <w:rPr>
          <w:rFonts w:cstheme="minorHAnsi"/>
          <w:color w:val="000000" w:themeColor="text1"/>
        </w:rPr>
      </w:pPr>
    </w:p>
    <w:p w14:paraId="4504A4F0" w14:textId="73EE99B2" w:rsidR="00AA5694" w:rsidRPr="00D9128C" w:rsidRDefault="00AA5694" w:rsidP="00CA23E2">
      <w:pPr>
        <w:spacing w:line="480" w:lineRule="auto"/>
        <w:jc w:val="both"/>
        <w:rPr>
          <w:rFonts w:cstheme="minorHAnsi"/>
          <w:color w:val="000000" w:themeColor="text1"/>
        </w:rPr>
      </w:pPr>
      <w:r w:rsidRPr="00BB2CE0">
        <w:rPr>
          <w:rFonts w:cstheme="minorHAnsi"/>
          <w:color w:val="000000" w:themeColor="text1"/>
        </w:rPr>
        <w:t xml:space="preserve">The Negative Binomial probability mass distribution for observing k counts when λ are expected, with over-dispersion parameter, α, is </w:t>
      </w:r>
      <w:r w:rsidR="0055084C" w:rsidRPr="00D9128C">
        <w:rPr>
          <w:rFonts w:cstheme="minorHAnsi"/>
          <w:color w:val="000000" w:themeColor="text1"/>
        </w:rPr>
        <w:fldChar w:fldCharType="begin" w:fldLock="1"/>
      </w:r>
      <w:r w:rsidR="00317B4E">
        <w:rPr>
          <w:rFonts w:cstheme="minorHAnsi"/>
          <w:color w:val="000000" w:themeColor="text1"/>
        </w:rPr>
        <w:instrText>ADDIN CSL_CITATION {"citationItems":[{"id":"ITEM-1","itemData":{"author":[{"dropping-particle":"","family":"Lloyd-Smith","given":"James O","non-dropping-particle":"","parse-names":false,"suffix":""}],"container-title":"PloS one","id":"ITEM-1","issue":"2","issued":{"date-parts":[["2007"]]},"page":"e180","publisher":"Public Library of Science","title":"Maximum likelihood estimation of the negative binomial dispersion parameter for highly overdispersed data, with applications to infectious diseases","type":"article-journal","volume":"2"},"uris":["http://www.mendeley.com/documents/?uuid=80f7fb7c-5e8d-4f6e-9dfc-c3d30efda52c","http://www.mendeley.com/documents/?uuid=c37b7978-b01e-4441-b970-78b4fe6540c6"]}],"mendeley":{"formattedCitation":"(2)","plainTextFormattedCitation":"(2)","previouslyFormattedCitation":"(3)"},"properties":{"noteIndex":0},"schema":"https://github.com/citation-style-language/schema/raw/master/csl-citation.json"}</w:instrText>
      </w:r>
      <w:r w:rsidR="0055084C" w:rsidRPr="00D9128C">
        <w:rPr>
          <w:rFonts w:cstheme="minorHAnsi"/>
          <w:color w:val="000000" w:themeColor="text1"/>
        </w:rPr>
        <w:fldChar w:fldCharType="separate"/>
      </w:r>
      <w:r w:rsidR="00317B4E" w:rsidRPr="00317B4E">
        <w:rPr>
          <w:rFonts w:cstheme="minorHAnsi"/>
          <w:noProof/>
          <w:color w:val="000000" w:themeColor="text1"/>
        </w:rPr>
        <w:t>(2)</w:t>
      </w:r>
      <w:r w:rsidR="0055084C" w:rsidRPr="00D9128C">
        <w:rPr>
          <w:rFonts w:cstheme="minorHAnsi"/>
          <w:color w:val="000000" w:themeColor="text1"/>
        </w:rPr>
        <w:fldChar w:fldCharType="end"/>
      </w:r>
      <w:r w:rsidR="00346A2F" w:rsidRPr="00C90A4D">
        <w:rPr>
          <w:rFonts w:cstheme="minorHAnsi"/>
          <w:color w:val="000000" w:themeColor="text1"/>
        </w:rPr>
        <w:tab/>
      </w:r>
    </w:p>
    <w:p w14:paraId="5E3854B1" w14:textId="04841728" w:rsidR="00AA5694" w:rsidRPr="00D9128C" w:rsidRDefault="00200C22" w:rsidP="00CA23E2">
      <w:pPr>
        <w:spacing w:line="480" w:lineRule="auto"/>
        <w:ind w:firstLine="720"/>
        <w:jc w:val="both"/>
        <w:rPr>
          <w:rFonts w:cstheme="minorHAnsi"/>
          <w:color w:val="000000" w:themeColor="text1"/>
        </w:rPr>
      </w:pPr>
      <m:oMath>
        <m:sSub>
          <m:sSubPr>
            <m:ctrlPr>
              <w:rPr>
                <w:rFonts w:ascii="Cambria Math" w:hAnsi="Cambria Math" w:cstheme="minorHAnsi"/>
                <w:i/>
                <w:color w:val="000000" w:themeColor="text1"/>
              </w:rPr>
            </m:ctrlPr>
          </m:sSubPr>
          <m:e>
            <m:r>
              <w:rPr>
                <w:rFonts w:ascii="Cambria Math" w:hAnsi="Cambria Math" w:cstheme="minorHAnsi"/>
                <w:color w:val="000000" w:themeColor="text1"/>
              </w:rPr>
              <m:t>f</m:t>
            </m:r>
          </m:e>
          <m:sub>
            <m:r>
              <w:rPr>
                <w:rFonts w:ascii="Cambria Math" w:hAnsi="Cambria Math" w:cstheme="minorHAnsi"/>
                <w:color w:val="000000" w:themeColor="text1"/>
              </w:rPr>
              <m:t>NB</m:t>
            </m:r>
          </m:sub>
        </m:sSub>
        <m:d>
          <m:dPr>
            <m:ctrlPr>
              <w:rPr>
                <w:rFonts w:ascii="Cambria Math" w:hAnsi="Cambria Math" w:cstheme="minorHAnsi"/>
                <w:i/>
                <w:color w:val="000000" w:themeColor="text1"/>
              </w:rPr>
            </m:ctrlPr>
          </m:dPr>
          <m:e>
            <m:r>
              <w:rPr>
                <w:rFonts w:ascii="Cambria Math" w:hAnsi="Cambria Math" w:cstheme="minorHAnsi"/>
                <w:color w:val="000000" w:themeColor="text1"/>
              </w:rPr>
              <m:t>k</m:t>
            </m:r>
          </m:e>
          <m:e>
            <m:r>
              <w:rPr>
                <w:rFonts w:ascii="Cambria Math" w:hAnsi="Cambria Math" w:cstheme="minorHAnsi"/>
                <w:color w:val="000000" w:themeColor="text1"/>
              </w:rPr>
              <m:t>λ,α</m:t>
            </m:r>
          </m:e>
        </m:d>
        <m:r>
          <w:rPr>
            <w:rFonts w:ascii="Cambria Math" w:hAnsi="Cambria Math" w:cstheme="minorHAnsi"/>
            <w:color w:val="000000" w:themeColor="text1"/>
          </w:rPr>
          <m:t xml:space="preserve">= </m:t>
        </m:r>
        <m:f>
          <m:fPr>
            <m:ctrlPr>
              <w:rPr>
                <w:rFonts w:ascii="Cambria Math" w:hAnsi="Cambria Math" w:cstheme="minorHAnsi"/>
                <w:i/>
                <w:color w:val="000000" w:themeColor="text1"/>
              </w:rPr>
            </m:ctrlPr>
          </m:fPr>
          <m:num>
            <m:r>
              <m:rPr>
                <m:sty m:val="p"/>
              </m:rPr>
              <w:rPr>
                <w:rFonts w:ascii="Cambria Math" w:hAnsi="Cambria Math" w:cstheme="minorHAnsi"/>
                <w:color w:val="000000" w:themeColor="text1"/>
              </w:rPr>
              <m:t>Γ</m:t>
            </m:r>
            <m:r>
              <w:rPr>
                <w:rFonts w:ascii="Cambria Math" w:hAnsi="Cambria Math" w:cstheme="minorHAnsi"/>
                <w:color w:val="000000" w:themeColor="text1"/>
              </w:rPr>
              <m:t>(k+α)</m:t>
            </m:r>
          </m:num>
          <m:den>
            <m:r>
              <w:rPr>
                <w:rFonts w:ascii="Cambria Math" w:hAnsi="Cambria Math" w:cstheme="minorHAnsi"/>
                <w:color w:val="000000" w:themeColor="text1"/>
              </w:rPr>
              <m:t>k!</m:t>
            </m:r>
            <m:r>
              <m:rPr>
                <m:sty m:val="p"/>
              </m:rPr>
              <w:rPr>
                <w:rFonts w:ascii="Cambria Math" w:hAnsi="Cambria Math" w:cstheme="minorHAnsi"/>
                <w:color w:val="000000" w:themeColor="text1"/>
              </w:rPr>
              <m:t>Γ</m:t>
            </m:r>
            <m:r>
              <w:rPr>
                <w:rFonts w:ascii="Cambria Math" w:hAnsi="Cambria Math" w:cstheme="minorHAnsi"/>
                <w:color w:val="000000" w:themeColor="text1"/>
              </w:rPr>
              <m:t>(α)</m:t>
            </m:r>
          </m:den>
        </m:f>
        <m:sSup>
          <m:sSupPr>
            <m:ctrlPr>
              <w:rPr>
                <w:rFonts w:ascii="Cambria Math" w:hAnsi="Cambria Math" w:cstheme="minorHAnsi"/>
                <w:i/>
                <w:color w:val="000000" w:themeColor="text1"/>
              </w:rPr>
            </m:ctrlPr>
          </m:sSupPr>
          <m:e>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λ</m:t>
                    </m:r>
                  </m:num>
                  <m:den>
                    <m:r>
                      <w:rPr>
                        <w:rFonts w:ascii="Cambria Math" w:hAnsi="Cambria Math" w:cstheme="minorHAnsi"/>
                        <w:color w:val="000000" w:themeColor="text1"/>
                      </w:rPr>
                      <m:t>λ+α</m:t>
                    </m:r>
                  </m:den>
                </m:f>
              </m:e>
            </m:d>
          </m:e>
          <m:sup>
            <m:r>
              <w:rPr>
                <w:rFonts w:ascii="Cambria Math" w:hAnsi="Cambria Math" w:cstheme="minorHAnsi"/>
                <w:color w:val="000000" w:themeColor="text1"/>
              </w:rPr>
              <m:t>k</m:t>
            </m:r>
          </m:sup>
        </m:sSup>
        <m:sSup>
          <m:sSupPr>
            <m:ctrlPr>
              <w:rPr>
                <w:rFonts w:ascii="Cambria Math" w:hAnsi="Cambria Math" w:cstheme="minorHAnsi"/>
                <w:i/>
                <w:color w:val="000000" w:themeColor="text1"/>
              </w:rPr>
            </m:ctrlPr>
          </m:sSupPr>
          <m:e>
            <m:d>
              <m:dPr>
                <m:ctrlPr>
                  <w:rPr>
                    <w:rFonts w:ascii="Cambria Math" w:hAnsi="Cambria Math" w:cstheme="minorHAnsi"/>
                    <w:i/>
                    <w:color w:val="000000" w:themeColor="text1"/>
                  </w:rPr>
                </m:ctrlPr>
              </m:dPr>
              <m:e>
                <m:r>
                  <w:rPr>
                    <w:rFonts w:ascii="Cambria Math" w:hAnsi="Cambria Math" w:cstheme="minorHAnsi"/>
                    <w:color w:val="000000" w:themeColor="text1"/>
                  </w:rPr>
                  <m:t>1+</m:t>
                </m:r>
                <m:box>
                  <m:boxPr>
                    <m:ctrlPr>
                      <w:rPr>
                        <w:rFonts w:ascii="Cambria Math" w:hAnsi="Cambria Math" w:cstheme="minorHAnsi"/>
                        <w:i/>
                        <w:color w:val="000000" w:themeColor="text1"/>
                      </w:rPr>
                    </m:ctrlPr>
                  </m:boxPr>
                  <m:e>
                    <m:argPr>
                      <m:argSz m:val="-1"/>
                    </m:argPr>
                    <m:f>
                      <m:fPr>
                        <m:ctrlPr>
                          <w:rPr>
                            <w:rFonts w:ascii="Cambria Math" w:hAnsi="Cambria Math" w:cstheme="minorHAnsi"/>
                            <w:i/>
                            <w:color w:val="000000" w:themeColor="text1"/>
                          </w:rPr>
                        </m:ctrlPr>
                      </m:fPr>
                      <m:num>
                        <m:r>
                          <w:rPr>
                            <w:rFonts w:ascii="Cambria Math" w:hAnsi="Cambria Math" w:cstheme="minorHAnsi"/>
                            <w:color w:val="000000" w:themeColor="text1"/>
                          </w:rPr>
                          <m:t>λ</m:t>
                        </m:r>
                      </m:num>
                      <m:den>
                        <m:r>
                          <w:rPr>
                            <w:rFonts w:ascii="Cambria Math" w:hAnsi="Cambria Math" w:cstheme="minorHAnsi"/>
                            <w:color w:val="000000" w:themeColor="text1"/>
                          </w:rPr>
                          <m:t>α</m:t>
                        </m:r>
                      </m:den>
                    </m:f>
                  </m:e>
                </m:box>
              </m:e>
            </m:d>
            <m:r>
              <w:rPr>
                <w:rFonts w:ascii="Cambria Math" w:hAnsi="Cambria Math" w:cstheme="minorHAnsi"/>
                <w:color w:val="000000" w:themeColor="text1"/>
              </w:rPr>
              <m:t>.</m:t>
            </m:r>
          </m:e>
          <m:sup>
            <m:r>
              <w:rPr>
                <w:rFonts w:ascii="Cambria Math" w:hAnsi="Cambria Math" w:cstheme="minorHAnsi"/>
                <w:color w:val="000000" w:themeColor="text1"/>
              </w:rPr>
              <m:t>-α</m:t>
            </m:r>
          </m:sup>
        </m:sSup>
      </m:oMath>
      <w:r w:rsidR="00AA5694" w:rsidRPr="00C90A4D">
        <w:rPr>
          <w:rFonts w:cstheme="minorHAnsi"/>
          <w:color w:val="000000" w:themeColor="text1"/>
        </w:rPr>
        <w:t xml:space="preserve">        Eqn 1</w:t>
      </w:r>
    </w:p>
    <w:p w14:paraId="3215EB69" w14:textId="61F9E938" w:rsidR="00AA5694" w:rsidRPr="00BB2CE0" w:rsidRDefault="00AA5694" w:rsidP="00CA23E2">
      <w:pPr>
        <w:spacing w:line="480" w:lineRule="auto"/>
        <w:jc w:val="both"/>
        <w:rPr>
          <w:rFonts w:cstheme="minorHAnsi"/>
          <w:color w:val="000000" w:themeColor="text1"/>
        </w:rPr>
      </w:pPr>
      <w:r w:rsidRPr="00BB2CE0">
        <w:rPr>
          <w:rFonts w:cstheme="minorHAnsi"/>
          <w:color w:val="000000" w:themeColor="text1"/>
        </w:rPr>
        <w:t xml:space="preserve">When α → ∞ the distribution approaches the Poisson distribution. </w:t>
      </w:r>
    </w:p>
    <w:p w14:paraId="3A6EC571" w14:textId="3E195902" w:rsidR="00D452E2" w:rsidRPr="00BB2CE0" w:rsidRDefault="00D452E2" w:rsidP="00CA23E2">
      <w:pPr>
        <w:spacing w:line="480" w:lineRule="auto"/>
        <w:jc w:val="both"/>
        <w:rPr>
          <w:rFonts w:cstheme="minorHAnsi"/>
          <w:color w:val="000000" w:themeColor="text1"/>
        </w:rPr>
      </w:pPr>
    </w:p>
    <w:p w14:paraId="6D7877BE" w14:textId="0BF5DF9F" w:rsidR="00D452E2" w:rsidRPr="00BB2CE0" w:rsidRDefault="00D452E2" w:rsidP="00CA23E2">
      <w:pPr>
        <w:spacing w:line="480" w:lineRule="auto"/>
        <w:jc w:val="both"/>
        <w:rPr>
          <w:rFonts w:cstheme="minorHAnsi"/>
          <w:b/>
          <w:bCs/>
          <w:color w:val="000000" w:themeColor="text1"/>
        </w:rPr>
      </w:pPr>
      <w:r w:rsidRPr="00BB2CE0">
        <w:rPr>
          <w:rFonts w:cstheme="minorHAnsi"/>
          <w:b/>
          <w:bCs/>
          <w:color w:val="000000" w:themeColor="text1"/>
        </w:rPr>
        <w:t>A.2 Population standardized regression</w:t>
      </w:r>
    </w:p>
    <w:p w14:paraId="48A55D39" w14:textId="77777777" w:rsidR="00D452E2" w:rsidRPr="00C60D94" w:rsidRDefault="00D452E2" w:rsidP="00CA23E2">
      <w:pPr>
        <w:spacing w:line="480" w:lineRule="auto"/>
        <w:jc w:val="both"/>
        <w:rPr>
          <w:rFonts w:cstheme="minorHAnsi"/>
          <w:b/>
          <w:color w:val="000000" w:themeColor="text1"/>
        </w:rPr>
      </w:pPr>
    </w:p>
    <w:p w14:paraId="62EB7833" w14:textId="093E57D8" w:rsidR="00D452E2" w:rsidRPr="00D9128C" w:rsidRDefault="00D452E2" w:rsidP="00CA23E2">
      <w:pPr>
        <w:spacing w:line="480" w:lineRule="auto"/>
        <w:jc w:val="both"/>
        <w:rPr>
          <w:rFonts w:cstheme="minorHAnsi"/>
          <w:color w:val="000000" w:themeColor="text1"/>
        </w:rPr>
      </w:pPr>
      <w:r w:rsidRPr="00226E9F">
        <w:rPr>
          <w:rFonts w:cstheme="minorHAnsi"/>
          <w:color w:val="000000" w:themeColor="text1"/>
        </w:rPr>
        <w:t xml:space="preserve">To examine trends in per capita rates of </w:t>
      </w:r>
      <w:r w:rsidR="00FF3968" w:rsidRPr="00226E9F">
        <w:rPr>
          <w:rFonts w:cstheme="minorHAnsi"/>
          <w:color w:val="000000" w:themeColor="text1"/>
        </w:rPr>
        <w:t>SARS-COV-2</w:t>
      </w:r>
      <w:r w:rsidRPr="000546E4">
        <w:rPr>
          <w:rFonts w:cstheme="minorHAnsi"/>
          <w:color w:val="000000" w:themeColor="text1"/>
        </w:rPr>
        <w:t xml:space="preserve"> infecti</w:t>
      </w:r>
      <w:r w:rsidRPr="005A2BAD">
        <w:rPr>
          <w:rFonts w:cstheme="minorHAnsi"/>
          <w:color w:val="000000" w:themeColor="text1"/>
        </w:rPr>
        <w:t xml:space="preserve">on we used population standardized regression methods.  The Poisson and Negative Binomial linear regression models both assume by default a logarithmic link, thus the regression takes a log-linear form in the regressors,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x</m:t>
            </m:r>
          </m:e>
          <m:sub>
            <m:r>
              <w:rPr>
                <w:rFonts w:ascii="Cambria Math" w:hAnsi="Cambria Math" w:cstheme="minorHAnsi"/>
                <w:color w:val="000000" w:themeColor="text1"/>
              </w:rPr>
              <m:t>j</m:t>
            </m:r>
          </m:sub>
        </m:sSub>
      </m:oMath>
      <w:r w:rsidRPr="00C90A4D">
        <w:rPr>
          <w:rFonts w:cstheme="minorHAnsi"/>
          <w:color w:val="000000" w:themeColor="text1"/>
        </w:rPr>
        <w:t>, and regression coeff</w:t>
      </w:r>
      <w:r w:rsidRPr="00D9128C">
        <w:rPr>
          <w:rFonts w:cstheme="minorHAnsi"/>
          <w:color w:val="000000" w:themeColor="text1"/>
        </w:rPr>
        <w:t>icien</w:t>
      </w:r>
      <w:r w:rsidRPr="00BB2CE0">
        <w:rPr>
          <w:rFonts w:cstheme="minorHAnsi"/>
          <w:color w:val="000000" w:themeColor="text1"/>
        </w:rPr>
        <w:t xml:space="preserve">ts,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β</m:t>
            </m:r>
          </m:e>
          <m:sub>
            <m:r>
              <w:rPr>
                <w:rFonts w:ascii="Cambria Math" w:hAnsi="Cambria Math" w:cstheme="minorHAnsi"/>
                <w:color w:val="000000" w:themeColor="text1"/>
              </w:rPr>
              <m:t>j</m:t>
            </m:r>
          </m:sub>
        </m:sSub>
      </m:oMath>
      <w:r w:rsidRPr="00C90A4D">
        <w:rPr>
          <w:rFonts w:cstheme="minorHAnsi"/>
          <w:color w:val="000000" w:themeColor="text1"/>
        </w:rPr>
        <w:t>:</w:t>
      </w:r>
    </w:p>
    <w:p w14:paraId="7E6F33A9" w14:textId="2937328B" w:rsidR="00D452E2" w:rsidRPr="00BB2CE0" w:rsidRDefault="00D452E2" w:rsidP="00CA23E2">
      <w:pPr>
        <w:spacing w:line="480" w:lineRule="auto"/>
        <w:ind w:firstLine="720"/>
        <w:jc w:val="both"/>
        <w:rPr>
          <w:rFonts w:cstheme="minorHAnsi"/>
          <w:color w:val="000000" w:themeColor="text1"/>
        </w:rPr>
      </w:pPr>
      <m:oMath>
        <m:r>
          <w:rPr>
            <w:rFonts w:ascii="Cambria Math" w:hAnsi="Cambria Math" w:cstheme="minorHAnsi"/>
            <w:color w:val="000000" w:themeColor="text1"/>
          </w:rPr>
          <m:t xml:space="preserve">logλ= </m:t>
        </m:r>
        <m:sSub>
          <m:sSubPr>
            <m:ctrlPr>
              <w:rPr>
                <w:rFonts w:ascii="Cambria Math" w:hAnsi="Cambria Math" w:cstheme="minorHAnsi"/>
                <w:i/>
                <w:color w:val="000000" w:themeColor="text1"/>
              </w:rPr>
            </m:ctrlPr>
          </m:sSubPr>
          <m:e>
            <m:r>
              <w:rPr>
                <w:rFonts w:ascii="Cambria Math" w:hAnsi="Cambria Math" w:cstheme="minorHAnsi"/>
                <w:color w:val="000000" w:themeColor="text1"/>
              </w:rPr>
              <m:t>β</m:t>
            </m:r>
          </m:e>
          <m:sub>
            <m:r>
              <w:rPr>
                <w:rFonts w:ascii="Cambria Math" w:hAnsi="Cambria Math" w:cstheme="minorHAnsi"/>
                <w:color w:val="000000" w:themeColor="text1"/>
              </w:rPr>
              <m:t>0</m:t>
            </m:r>
          </m:sub>
        </m:sSub>
        <m:r>
          <w:rPr>
            <w:rFonts w:ascii="Cambria Math" w:hAnsi="Cambria Math" w:cstheme="minorHAnsi"/>
            <w:color w:val="000000" w:themeColor="text1"/>
          </w:rPr>
          <m:t>+</m:t>
        </m:r>
        <m:nary>
          <m:naryPr>
            <m:chr m:val="∑"/>
            <m:limLoc m:val="undOvr"/>
            <m:ctrlPr>
              <w:rPr>
                <w:rFonts w:ascii="Cambria Math" w:hAnsi="Cambria Math" w:cstheme="minorHAnsi"/>
                <w:i/>
                <w:color w:val="000000" w:themeColor="text1"/>
              </w:rPr>
            </m:ctrlPr>
          </m:naryPr>
          <m:sub>
            <m:r>
              <w:rPr>
                <w:rFonts w:ascii="Cambria Math" w:hAnsi="Cambria Math" w:cstheme="minorHAnsi"/>
                <w:color w:val="000000" w:themeColor="text1"/>
              </w:rPr>
              <m:t>j=1</m:t>
            </m:r>
          </m:sub>
          <m:sup>
            <m:r>
              <w:rPr>
                <w:rFonts w:ascii="Cambria Math" w:hAnsi="Cambria Math" w:cstheme="minorHAnsi"/>
                <w:color w:val="000000" w:themeColor="text1"/>
              </w:rPr>
              <m:t>J</m:t>
            </m:r>
          </m:sup>
          <m:e>
            <m:sSub>
              <m:sSubPr>
                <m:ctrlPr>
                  <w:rPr>
                    <w:rFonts w:ascii="Cambria Math" w:hAnsi="Cambria Math" w:cstheme="minorHAnsi"/>
                    <w:i/>
                    <w:color w:val="000000" w:themeColor="text1"/>
                  </w:rPr>
                </m:ctrlPr>
              </m:sSubPr>
              <m:e>
                <m:r>
                  <w:rPr>
                    <w:rFonts w:ascii="Cambria Math" w:hAnsi="Cambria Math" w:cstheme="minorHAnsi"/>
                    <w:color w:val="000000" w:themeColor="text1"/>
                  </w:rPr>
                  <m:t>β</m:t>
                </m:r>
              </m:e>
              <m:sub>
                <m:r>
                  <w:rPr>
                    <w:rFonts w:ascii="Cambria Math" w:hAnsi="Cambria Math" w:cstheme="minorHAnsi"/>
                    <w:color w:val="000000" w:themeColor="text1"/>
                  </w:rPr>
                  <m:t xml:space="preserve">j </m:t>
                </m:r>
              </m:sub>
            </m:sSub>
            <m:sSub>
              <m:sSubPr>
                <m:ctrlPr>
                  <w:rPr>
                    <w:rFonts w:ascii="Cambria Math" w:hAnsi="Cambria Math" w:cstheme="minorHAnsi"/>
                    <w:i/>
                    <w:color w:val="000000" w:themeColor="text1"/>
                  </w:rPr>
                </m:ctrlPr>
              </m:sSubPr>
              <m:e>
                <m:r>
                  <w:rPr>
                    <w:rFonts w:ascii="Cambria Math" w:hAnsi="Cambria Math" w:cstheme="minorHAnsi"/>
                    <w:color w:val="000000" w:themeColor="text1"/>
                  </w:rPr>
                  <m:t>x</m:t>
                </m:r>
              </m:e>
              <m:sub>
                <m:r>
                  <w:rPr>
                    <w:rFonts w:ascii="Cambria Math" w:hAnsi="Cambria Math" w:cstheme="minorHAnsi"/>
                    <w:color w:val="000000" w:themeColor="text1"/>
                  </w:rPr>
                  <m:t>j</m:t>
                </m:r>
              </m:sub>
            </m:sSub>
          </m:e>
        </m:nary>
      </m:oMath>
      <w:proofErr w:type="gramStart"/>
      <w:r w:rsidR="00346A2F" w:rsidRPr="00C90A4D">
        <w:rPr>
          <w:rFonts w:cstheme="minorHAnsi"/>
          <w:color w:val="000000" w:themeColor="text1"/>
        </w:rPr>
        <w:t>,</w:t>
      </w:r>
      <w:r w:rsidRPr="00D9128C">
        <w:rPr>
          <w:rFonts w:cstheme="minorHAnsi"/>
          <w:color w:val="000000" w:themeColor="text1"/>
        </w:rPr>
        <w:t xml:space="preserve">   </w:t>
      </w:r>
      <w:proofErr w:type="gramEnd"/>
      <w:r w:rsidRPr="00D9128C">
        <w:rPr>
          <w:rFonts w:cstheme="minorHAnsi"/>
          <w:color w:val="000000" w:themeColor="text1"/>
        </w:rPr>
        <w:t xml:space="preserve"> </w:t>
      </w:r>
      <w:proofErr w:type="spellStart"/>
      <w:r w:rsidRPr="00D9128C">
        <w:rPr>
          <w:rFonts w:cstheme="minorHAnsi"/>
          <w:color w:val="000000" w:themeColor="text1"/>
        </w:rPr>
        <w:t>Eqn</w:t>
      </w:r>
      <w:proofErr w:type="spellEnd"/>
      <w:r w:rsidRPr="00D9128C">
        <w:rPr>
          <w:rFonts w:cstheme="minorHAnsi"/>
          <w:color w:val="000000" w:themeColor="text1"/>
        </w:rPr>
        <w:t xml:space="preserve"> </w:t>
      </w:r>
      <w:r w:rsidR="00346A2F" w:rsidRPr="00BB2CE0">
        <w:rPr>
          <w:rFonts w:cstheme="minorHAnsi"/>
          <w:color w:val="000000" w:themeColor="text1"/>
        </w:rPr>
        <w:t>2</w:t>
      </w:r>
    </w:p>
    <w:p w14:paraId="2C4DD549" w14:textId="40FC1A0D" w:rsidR="00346A2F" w:rsidRPr="00D9128C" w:rsidRDefault="00D452E2" w:rsidP="00CA23E2">
      <w:pPr>
        <w:spacing w:line="480" w:lineRule="auto"/>
        <w:jc w:val="both"/>
        <w:rPr>
          <w:rFonts w:cstheme="minorHAnsi"/>
          <w:color w:val="000000" w:themeColor="text1"/>
        </w:rPr>
      </w:pPr>
      <w:r w:rsidRPr="00BB2CE0">
        <w:rPr>
          <w:rFonts w:cstheme="minorHAnsi"/>
          <w:color w:val="000000" w:themeColor="text1"/>
        </w:rPr>
        <w:t xml:space="preserve">where J is the total number of regressors,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x</m:t>
            </m:r>
          </m:e>
          <m:sub>
            <m:r>
              <w:rPr>
                <w:rFonts w:ascii="Cambria Math" w:hAnsi="Cambria Math" w:cstheme="minorHAnsi"/>
                <w:color w:val="000000" w:themeColor="text1"/>
              </w:rPr>
              <m:t>j</m:t>
            </m:r>
          </m:sub>
        </m:sSub>
      </m:oMath>
      <w:r w:rsidRPr="00C90A4D">
        <w:rPr>
          <w:rFonts w:cstheme="minorHAnsi"/>
          <w:color w:val="000000" w:themeColor="text1"/>
        </w:rPr>
        <w:t xml:space="preserve"> (for example, if regressing only on time, </w:t>
      </w:r>
      <m:oMath>
        <m:r>
          <w:rPr>
            <w:rFonts w:ascii="Cambria Math" w:hAnsi="Cambria Math" w:cstheme="minorHAnsi"/>
            <w:color w:val="000000" w:themeColor="text1"/>
          </w:rPr>
          <m:t>J=1</m:t>
        </m:r>
      </m:oMath>
      <w:r w:rsidRPr="00BB2CE0">
        <w:rPr>
          <w:rFonts w:cstheme="minorHAnsi"/>
          <w:color w:val="000000" w:themeColor="text1"/>
        </w:rPr>
        <w:t xml:space="preserve">, and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x</m:t>
            </m:r>
          </m:e>
          <m:sub>
            <m:r>
              <w:rPr>
                <w:rFonts w:ascii="Cambria Math" w:hAnsi="Cambria Math" w:cstheme="minorHAnsi"/>
                <w:color w:val="000000" w:themeColor="text1"/>
              </w:rPr>
              <m:t>1</m:t>
            </m:r>
          </m:sub>
        </m:sSub>
      </m:oMath>
      <w:r w:rsidRPr="00C90A4D">
        <w:rPr>
          <w:rFonts w:cstheme="minorHAnsi"/>
          <w:color w:val="000000" w:themeColor="text1"/>
        </w:rPr>
        <w:t xml:space="preserve"> is time).   The best-fit parameters are the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β</m:t>
            </m:r>
          </m:e>
          <m:sub>
            <m:r>
              <w:rPr>
                <w:rFonts w:ascii="Cambria Math" w:hAnsi="Cambria Math" w:cstheme="minorHAnsi"/>
                <w:color w:val="000000" w:themeColor="text1"/>
              </w:rPr>
              <m:t>j</m:t>
            </m:r>
          </m:sub>
        </m:sSub>
      </m:oMath>
      <w:r w:rsidRPr="00C90A4D">
        <w:rPr>
          <w:rFonts w:cstheme="minorHAnsi"/>
          <w:color w:val="000000" w:themeColor="text1"/>
        </w:rPr>
        <w:t xml:space="preserve"> which maximize the likelihood of observations. </w:t>
      </w:r>
    </w:p>
    <w:p w14:paraId="228037F8" w14:textId="77777777" w:rsidR="00346A2F" w:rsidRPr="00BB2CE0" w:rsidRDefault="00346A2F" w:rsidP="00CA23E2">
      <w:pPr>
        <w:spacing w:line="480" w:lineRule="auto"/>
        <w:jc w:val="both"/>
        <w:rPr>
          <w:rFonts w:cstheme="minorHAnsi"/>
          <w:color w:val="000000" w:themeColor="text1"/>
        </w:rPr>
      </w:pPr>
    </w:p>
    <w:p w14:paraId="0B1DD342" w14:textId="3BC0C6A1" w:rsidR="00D452E2" w:rsidRPr="00D9128C" w:rsidRDefault="00D452E2" w:rsidP="00CA23E2">
      <w:pPr>
        <w:spacing w:line="480" w:lineRule="auto"/>
        <w:jc w:val="both"/>
        <w:rPr>
          <w:rFonts w:cstheme="minorHAnsi"/>
          <w:color w:val="000000" w:themeColor="text1"/>
        </w:rPr>
      </w:pPr>
      <w:r w:rsidRPr="00BB2CE0">
        <w:rPr>
          <w:rFonts w:cstheme="minorHAnsi"/>
          <w:color w:val="000000" w:themeColor="text1"/>
        </w:rPr>
        <w:t xml:space="preserve">However, when analyzing the per capita number of </w:t>
      </w:r>
      <w:r w:rsidR="00FF3968" w:rsidRPr="00BB2CE0">
        <w:rPr>
          <w:rFonts w:cstheme="minorHAnsi"/>
          <w:color w:val="000000" w:themeColor="text1"/>
        </w:rPr>
        <w:t>SARS-COV-2</w:t>
      </w:r>
      <w:r w:rsidRPr="00BB2CE0">
        <w:rPr>
          <w:rFonts w:cstheme="minorHAnsi"/>
          <w:color w:val="000000" w:themeColor="text1"/>
        </w:rPr>
        <w:t xml:space="preserve"> cases, the number of cases we detect in a particular locale, </w:t>
      </w:r>
      <m:oMath>
        <m:r>
          <w:rPr>
            <w:rFonts w:ascii="Cambria Math" w:hAnsi="Cambria Math" w:cstheme="minorHAnsi"/>
            <w:color w:val="000000" w:themeColor="text1"/>
          </w:rPr>
          <m:t>λ,</m:t>
        </m:r>
      </m:oMath>
      <w:r w:rsidRPr="00C60D94">
        <w:rPr>
          <w:rFonts w:cstheme="minorHAnsi"/>
          <w:color w:val="000000" w:themeColor="text1"/>
        </w:rPr>
        <w:t xml:space="preserve"> will be proportional to the number of individuals in that locale, N. To take this into account, we perform wha</w:t>
      </w:r>
      <w:r w:rsidRPr="00226E9F">
        <w:rPr>
          <w:rFonts w:cstheme="minorHAnsi"/>
          <w:color w:val="000000" w:themeColor="text1"/>
        </w:rPr>
        <w:t>t is known as popula</w:t>
      </w:r>
      <w:r w:rsidRPr="000546E4">
        <w:rPr>
          <w:rFonts w:cstheme="minorHAnsi"/>
          <w:color w:val="000000" w:themeColor="text1"/>
        </w:rPr>
        <w:t>tion standardization of the model</w:t>
      </w:r>
      <w:r w:rsidR="00317B4E">
        <w:rPr>
          <w:rFonts w:cstheme="minorHAnsi"/>
          <w:color w:val="000000" w:themeColor="text1"/>
        </w:rPr>
        <w:t xml:space="preserve"> </w:t>
      </w:r>
      <w:r w:rsidR="0055084C" w:rsidRPr="00D9128C">
        <w:rPr>
          <w:rFonts w:cstheme="minorHAnsi"/>
          <w:color w:val="000000" w:themeColor="text1"/>
        </w:rPr>
        <w:fldChar w:fldCharType="begin" w:fldLock="1"/>
      </w:r>
      <w:r w:rsidR="00317B4E">
        <w:rPr>
          <w:rFonts w:cstheme="minorHAnsi"/>
          <w:color w:val="000000" w:themeColor="text1"/>
        </w:rPr>
        <w:instrText>ADDIN CSL_CITATION {"citationItems":[{"id":"ITEM-1","itemData":{"author":[{"dropping-particle":"","family":"Osgood","given":"D Wayne","non-dropping-particle":"","parse-names":false,"suffix":""}],"container-title":"Journal of quantitative criminology","id":"ITEM-1","issue":"1","issued":{"date-parts":[["2000"]]},"page":"21-43","publisher":"Springer","title":"Poisson-based regression analysis of aggregate crime rates","type":"article-journal","volume":"16"},"uris":["http://www.mendeley.com/documents/?uuid=bdadc373-8ef0-4eb6-8a76-45cb9cee2607"]}],"mendeley":{"formattedCitation":"(3)","plainTextFormattedCitation":"(3)","previouslyFormattedCitation":"(4)"},"properties":{"noteIndex":0},"schema":"https://github.com/citation-style-language/schema/raw/master/csl-citation.json"}</w:instrText>
      </w:r>
      <w:r w:rsidR="0055084C" w:rsidRPr="00D9128C">
        <w:rPr>
          <w:rFonts w:cstheme="minorHAnsi"/>
          <w:color w:val="000000" w:themeColor="text1"/>
        </w:rPr>
        <w:fldChar w:fldCharType="separate"/>
      </w:r>
      <w:r w:rsidR="00317B4E" w:rsidRPr="00317B4E">
        <w:rPr>
          <w:rFonts w:cstheme="minorHAnsi"/>
          <w:noProof/>
          <w:color w:val="000000" w:themeColor="text1"/>
        </w:rPr>
        <w:t>(3)</w:t>
      </w:r>
      <w:r w:rsidR="0055084C" w:rsidRPr="00D9128C">
        <w:rPr>
          <w:rFonts w:cstheme="minorHAnsi"/>
          <w:color w:val="000000" w:themeColor="text1"/>
        </w:rPr>
        <w:fldChar w:fldCharType="end"/>
      </w:r>
      <w:r w:rsidRPr="00C90A4D">
        <w:rPr>
          <w:rFonts w:cstheme="minorHAnsi"/>
          <w:color w:val="000000" w:themeColor="text1"/>
        </w:rPr>
        <w:t xml:space="preserve">, with </w:t>
      </w:r>
    </w:p>
    <w:p w14:paraId="123E3E01" w14:textId="34CB2841" w:rsidR="00D452E2" w:rsidRPr="00D9128C" w:rsidRDefault="00D452E2" w:rsidP="00CA23E2">
      <w:pPr>
        <w:spacing w:line="480" w:lineRule="auto"/>
        <w:jc w:val="both"/>
        <w:rPr>
          <w:rFonts w:cstheme="minorHAnsi"/>
          <w:color w:val="000000" w:themeColor="text1"/>
        </w:rPr>
      </w:pPr>
      <w:r w:rsidRPr="00BB2CE0">
        <w:rPr>
          <w:rFonts w:cstheme="minorHAnsi"/>
          <w:color w:val="000000" w:themeColor="text1"/>
        </w:rPr>
        <w:tab/>
      </w:r>
      <m:oMath>
        <m:r>
          <w:rPr>
            <w:rFonts w:ascii="Cambria Math" w:hAnsi="Cambria Math" w:cstheme="minorHAnsi"/>
            <w:color w:val="000000" w:themeColor="text1"/>
          </w:rPr>
          <m:t>logλ= logN+</m:t>
        </m:r>
        <m:sSub>
          <m:sSubPr>
            <m:ctrlPr>
              <w:rPr>
                <w:rFonts w:ascii="Cambria Math" w:hAnsi="Cambria Math" w:cstheme="minorHAnsi"/>
                <w:i/>
                <w:color w:val="000000" w:themeColor="text1"/>
              </w:rPr>
            </m:ctrlPr>
          </m:sSubPr>
          <m:e>
            <m:r>
              <w:rPr>
                <w:rFonts w:ascii="Cambria Math" w:hAnsi="Cambria Math" w:cstheme="minorHAnsi"/>
                <w:color w:val="000000" w:themeColor="text1"/>
              </w:rPr>
              <m:t>β</m:t>
            </m:r>
          </m:e>
          <m:sub>
            <m:r>
              <w:rPr>
                <w:rFonts w:ascii="Cambria Math" w:hAnsi="Cambria Math" w:cstheme="minorHAnsi"/>
                <w:color w:val="000000" w:themeColor="text1"/>
              </w:rPr>
              <m:t>0</m:t>
            </m:r>
          </m:sub>
        </m:sSub>
        <m:r>
          <w:rPr>
            <w:rFonts w:ascii="Cambria Math" w:hAnsi="Cambria Math" w:cstheme="minorHAnsi"/>
            <w:color w:val="000000" w:themeColor="text1"/>
          </w:rPr>
          <m:t>+</m:t>
        </m:r>
        <m:nary>
          <m:naryPr>
            <m:chr m:val="∑"/>
            <m:limLoc m:val="undOvr"/>
            <m:ctrlPr>
              <w:rPr>
                <w:rFonts w:ascii="Cambria Math" w:hAnsi="Cambria Math" w:cstheme="minorHAnsi"/>
                <w:i/>
                <w:color w:val="000000" w:themeColor="text1"/>
              </w:rPr>
            </m:ctrlPr>
          </m:naryPr>
          <m:sub>
            <m:r>
              <w:rPr>
                <w:rFonts w:ascii="Cambria Math" w:hAnsi="Cambria Math" w:cstheme="minorHAnsi"/>
                <w:color w:val="000000" w:themeColor="text1"/>
              </w:rPr>
              <m:t>j=1</m:t>
            </m:r>
          </m:sub>
          <m:sup>
            <m:r>
              <w:rPr>
                <w:rFonts w:ascii="Cambria Math" w:hAnsi="Cambria Math" w:cstheme="minorHAnsi"/>
                <w:color w:val="000000" w:themeColor="text1"/>
              </w:rPr>
              <m:t>J</m:t>
            </m:r>
          </m:sup>
          <m:e>
            <m:sSub>
              <m:sSubPr>
                <m:ctrlPr>
                  <w:rPr>
                    <w:rFonts w:ascii="Cambria Math" w:hAnsi="Cambria Math" w:cstheme="minorHAnsi"/>
                    <w:i/>
                    <w:color w:val="000000" w:themeColor="text1"/>
                  </w:rPr>
                </m:ctrlPr>
              </m:sSubPr>
              <m:e>
                <m:r>
                  <w:rPr>
                    <w:rFonts w:ascii="Cambria Math" w:hAnsi="Cambria Math" w:cstheme="minorHAnsi"/>
                    <w:color w:val="000000" w:themeColor="text1"/>
                  </w:rPr>
                  <m:t>β</m:t>
                </m:r>
              </m:e>
              <m:sub>
                <m:r>
                  <w:rPr>
                    <w:rFonts w:ascii="Cambria Math" w:hAnsi="Cambria Math" w:cstheme="minorHAnsi"/>
                    <w:color w:val="000000" w:themeColor="text1"/>
                  </w:rPr>
                  <m:t xml:space="preserve">j </m:t>
                </m:r>
              </m:sub>
            </m:sSub>
            <m:sSub>
              <m:sSubPr>
                <m:ctrlPr>
                  <w:rPr>
                    <w:rFonts w:ascii="Cambria Math" w:hAnsi="Cambria Math" w:cstheme="minorHAnsi"/>
                    <w:i/>
                    <w:color w:val="000000" w:themeColor="text1"/>
                  </w:rPr>
                </m:ctrlPr>
              </m:sSubPr>
              <m:e>
                <m:r>
                  <w:rPr>
                    <w:rFonts w:ascii="Cambria Math" w:hAnsi="Cambria Math" w:cstheme="minorHAnsi"/>
                    <w:color w:val="000000" w:themeColor="text1"/>
                  </w:rPr>
                  <m:t>x</m:t>
                </m:r>
              </m:e>
              <m:sub>
                <m:r>
                  <w:rPr>
                    <w:rFonts w:ascii="Cambria Math" w:hAnsi="Cambria Math" w:cstheme="minorHAnsi"/>
                    <w:color w:val="000000" w:themeColor="text1"/>
                  </w:rPr>
                  <m:t>j</m:t>
                </m:r>
              </m:sub>
            </m:sSub>
            <m:r>
              <w:rPr>
                <w:rFonts w:ascii="Cambria Math" w:hAnsi="Cambria Math" w:cstheme="minorHAnsi"/>
                <w:color w:val="000000" w:themeColor="text1"/>
              </w:rPr>
              <m:t>,</m:t>
            </m:r>
          </m:e>
        </m:nary>
      </m:oMath>
      <w:r w:rsidRPr="00C90A4D">
        <w:rPr>
          <w:rFonts w:cstheme="minorHAnsi"/>
          <w:color w:val="000000" w:themeColor="text1"/>
        </w:rPr>
        <w:t xml:space="preserve">     Eqn 3</w:t>
      </w:r>
    </w:p>
    <w:p w14:paraId="78DD7A96" w14:textId="652CF5B2" w:rsidR="00D452E2" w:rsidRPr="00BB2CE0" w:rsidRDefault="00D452E2" w:rsidP="00CA23E2">
      <w:pPr>
        <w:spacing w:line="480" w:lineRule="auto"/>
        <w:jc w:val="both"/>
        <w:rPr>
          <w:rFonts w:cstheme="minorHAnsi"/>
          <w:color w:val="000000" w:themeColor="text1"/>
        </w:rPr>
      </w:pPr>
      <w:r w:rsidRPr="00BB2CE0">
        <w:rPr>
          <w:rFonts w:cstheme="minorHAnsi"/>
          <w:color w:val="000000" w:themeColor="text1"/>
        </w:rPr>
        <w:t>and perform the linear regression analysis with the coefficient of the log N term fixed to one.</w:t>
      </w:r>
    </w:p>
    <w:p w14:paraId="08DAA0E8" w14:textId="465BA5B2" w:rsidR="00D92EA6" w:rsidRPr="00BB2CE0" w:rsidRDefault="00D92EA6" w:rsidP="00CA23E2">
      <w:pPr>
        <w:spacing w:line="480" w:lineRule="auto"/>
        <w:jc w:val="both"/>
        <w:rPr>
          <w:rFonts w:cstheme="minorHAnsi"/>
          <w:color w:val="000000" w:themeColor="text1"/>
        </w:rPr>
      </w:pPr>
    </w:p>
    <w:p w14:paraId="1A126BE4" w14:textId="4962EDC0" w:rsidR="00573B52" w:rsidRDefault="00D92EA6" w:rsidP="00CA23E2">
      <w:pPr>
        <w:spacing w:line="480" w:lineRule="auto"/>
        <w:jc w:val="both"/>
        <w:rPr>
          <w:rFonts w:cstheme="minorHAnsi"/>
          <w:color w:val="000000" w:themeColor="text1"/>
        </w:rPr>
      </w:pPr>
      <w:r w:rsidRPr="00BB2CE0">
        <w:rPr>
          <w:rFonts w:cstheme="minorHAnsi"/>
          <w:color w:val="000000" w:themeColor="text1"/>
        </w:rPr>
        <w:t xml:space="preserve">Because Negative Binomial linear regression inherently involves a log link for the dependent variable, one should also take the log of per capita rates used as explanatory variables.  Because the per capita rates may be zero for one or </w:t>
      </w:r>
      <w:r w:rsidRPr="00C60D94">
        <w:rPr>
          <w:rFonts w:cstheme="minorHAnsi"/>
          <w:color w:val="000000" w:themeColor="text1"/>
        </w:rPr>
        <w:t>more cases in the explanatory variable, we instead take the log of (x+1)/N, where x is the number of cases, and N is</w:t>
      </w:r>
      <w:r w:rsidRPr="00226E9F">
        <w:rPr>
          <w:rFonts w:cstheme="minorHAnsi"/>
          <w:color w:val="000000" w:themeColor="text1"/>
        </w:rPr>
        <w:t xml:space="preserve"> the population size.</w:t>
      </w:r>
    </w:p>
    <w:p w14:paraId="7347BD4F" w14:textId="5EF2B00E" w:rsidR="00317B4E" w:rsidRPr="00317B4E" w:rsidRDefault="00317B4E" w:rsidP="00CA23E2">
      <w:pPr>
        <w:spacing w:line="480" w:lineRule="auto"/>
        <w:jc w:val="both"/>
        <w:rPr>
          <w:rFonts w:cstheme="minorHAnsi"/>
          <w:b/>
          <w:bCs/>
          <w:color w:val="000000" w:themeColor="text1"/>
          <w:sz w:val="28"/>
          <w:szCs w:val="28"/>
        </w:rPr>
      </w:pPr>
      <w:r w:rsidRPr="00317B4E">
        <w:rPr>
          <w:rFonts w:cstheme="minorHAnsi"/>
          <w:b/>
          <w:bCs/>
          <w:color w:val="000000" w:themeColor="text1"/>
          <w:sz w:val="28"/>
          <w:szCs w:val="28"/>
        </w:rPr>
        <w:lastRenderedPageBreak/>
        <w:t xml:space="preserve">References </w:t>
      </w:r>
    </w:p>
    <w:p w14:paraId="71A55C15" w14:textId="630DC961" w:rsidR="00317B4E" w:rsidRPr="00317B4E" w:rsidRDefault="00317B4E" w:rsidP="00317B4E">
      <w:pPr>
        <w:widowControl w:val="0"/>
        <w:autoSpaceDE w:val="0"/>
        <w:autoSpaceDN w:val="0"/>
        <w:adjustRightInd w:val="0"/>
        <w:spacing w:line="480" w:lineRule="auto"/>
        <w:ind w:left="640" w:hanging="640"/>
        <w:rPr>
          <w:rFonts w:ascii="Calibri" w:hAnsi="Calibri" w:cs="Calibri"/>
          <w:noProof/>
        </w:rPr>
      </w:pPr>
      <w:r>
        <w:rPr>
          <w:rFonts w:cstheme="minorHAnsi"/>
          <w:color w:val="000000" w:themeColor="text1"/>
        </w:rPr>
        <w:fldChar w:fldCharType="begin" w:fldLock="1"/>
      </w:r>
      <w:r>
        <w:rPr>
          <w:rFonts w:cstheme="minorHAnsi"/>
          <w:color w:val="000000" w:themeColor="text1"/>
        </w:rPr>
        <w:instrText xml:space="preserve">ADDIN Mendeley Bibliography CSL_BIBLIOGRAPHY </w:instrText>
      </w:r>
      <w:r>
        <w:rPr>
          <w:rFonts w:cstheme="minorHAnsi"/>
          <w:color w:val="000000" w:themeColor="text1"/>
        </w:rPr>
        <w:fldChar w:fldCharType="separate"/>
      </w:r>
      <w:r w:rsidRPr="00317B4E">
        <w:rPr>
          <w:rFonts w:ascii="Calibri" w:hAnsi="Calibri" w:cs="Calibri"/>
          <w:noProof/>
        </w:rPr>
        <w:t xml:space="preserve">1. </w:t>
      </w:r>
      <w:r w:rsidRPr="00317B4E">
        <w:rPr>
          <w:rFonts w:ascii="Calibri" w:hAnsi="Calibri" w:cs="Calibri"/>
          <w:noProof/>
        </w:rPr>
        <w:tab/>
        <w:t xml:space="preserve">Neter J, Kutner MH, Nachtsheim CJ, Wasserman W. Applied linear statistical models. Vol. 4. Irwin Chicago; 1996. </w:t>
      </w:r>
    </w:p>
    <w:p w14:paraId="6FCA8D42" w14:textId="77777777" w:rsidR="00317B4E" w:rsidRPr="00317B4E" w:rsidRDefault="00317B4E" w:rsidP="00317B4E">
      <w:pPr>
        <w:widowControl w:val="0"/>
        <w:autoSpaceDE w:val="0"/>
        <w:autoSpaceDN w:val="0"/>
        <w:adjustRightInd w:val="0"/>
        <w:spacing w:line="480" w:lineRule="auto"/>
        <w:ind w:left="640" w:hanging="640"/>
        <w:rPr>
          <w:rFonts w:ascii="Calibri" w:hAnsi="Calibri" w:cs="Calibri"/>
          <w:noProof/>
        </w:rPr>
      </w:pPr>
      <w:r w:rsidRPr="00317B4E">
        <w:rPr>
          <w:rFonts w:ascii="Calibri" w:hAnsi="Calibri" w:cs="Calibri"/>
          <w:noProof/>
        </w:rPr>
        <w:t xml:space="preserve">2. </w:t>
      </w:r>
      <w:r w:rsidRPr="00317B4E">
        <w:rPr>
          <w:rFonts w:ascii="Calibri" w:hAnsi="Calibri" w:cs="Calibri"/>
          <w:noProof/>
        </w:rPr>
        <w:tab/>
        <w:t xml:space="preserve">Lloyd-Smith JO. Maximum likelihood estimation of the negative binomial dispersion parameter for highly overdispersed data, with applications to infectious diseases. PLoS One. 2007;2(2):e180. </w:t>
      </w:r>
    </w:p>
    <w:p w14:paraId="489A1217" w14:textId="77777777" w:rsidR="00317B4E" w:rsidRPr="00317B4E" w:rsidRDefault="00317B4E" w:rsidP="00317B4E">
      <w:pPr>
        <w:widowControl w:val="0"/>
        <w:autoSpaceDE w:val="0"/>
        <w:autoSpaceDN w:val="0"/>
        <w:adjustRightInd w:val="0"/>
        <w:spacing w:line="480" w:lineRule="auto"/>
        <w:ind w:left="640" w:hanging="640"/>
        <w:rPr>
          <w:rFonts w:ascii="Calibri" w:hAnsi="Calibri" w:cs="Calibri"/>
          <w:noProof/>
        </w:rPr>
      </w:pPr>
      <w:r w:rsidRPr="00317B4E">
        <w:rPr>
          <w:rFonts w:ascii="Calibri" w:hAnsi="Calibri" w:cs="Calibri"/>
          <w:noProof/>
        </w:rPr>
        <w:t xml:space="preserve">3. </w:t>
      </w:r>
      <w:r w:rsidRPr="00317B4E">
        <w:rPr>
          <w:rFonts w:ascii="Calibri" w:hAnsi="Calibri" w:cs="Calibri"/>
          <w:noProof/>
        </w:rPr>
        <w:tab/>
        <w:t xml:space="preserve">Osgood DW. Poisson-based regression analysis of aggregate crime rates. J Quant Criminol. 2000;16(1):21–43. </w:t>
      </w:r>
    </w:p>
    <w:p w14:paraId="258B0657" w14:textId="59B4D299" w:rsidR="00317B4E" w:rsidRPr="005A2BAD" w:rsidRDefault="00317B4E" w:rsidP="00CA23E2">
      <w:pPr>
        <w:spacing w:line="480" w:lineRule="auto"/>
        <w:jc w:val="both"/>
        <w:rPr>
          <w:rFonts w:cstheme="minorHAnsi"/>
          <w:color w:val="000000" w:themeColor="text1"/>
        </w:rPr>
      </w:pPr>
      <w:r>
        <w:rPr>
          <w:rFonts w:cstheme="minorHAnsi"/>
          <w:color w:val="000000" w:themeColor="text1"/>
        </w:rPr>
        <w:fldChar w:fldCharType="end"/>
      </w:r>
    </w:p>
    <w:sectPr w:rsidR="00317B4E" w:rsidRPr="005A2BAD" w:rsidSect="00CE7831">
      <w:footerReference w:type="even" r:id="rId8"/>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F5DAF" w14:textId="77777777" w:rsidR="00200C22" w:rsidRDefault="00200C22" w:rsidP="004875C7">
      <w:r>
        <w:separator/>
      </w:r>
    </w:p>
  </w:endnote>
  <w:endnote w:type="continuationSeparator" w:id="0">
    <w:p w14:paraId="7678F84A" w14:textId="77777777" w:rsidR="00200C22" w:rsidRDefault="00200C22" w:rsidP="0048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50735291"/>
      <w:docPartObj>
        <w:docPartGallery w:val="Page Numbers (Bottom of Page)"/>
        <w:docPartUnique/>
      </w:docPartObj>
    </w:sdtPr>
    <w:sdtEndPr>
      <w:rPr>
        <w:rStyle w:val="PageNumber"/>
      </w:rPr>
    </w:sdtEndPr>
    <w:sdtContent>
      <w:p w14:paraId="30FC4361" w14:textId="331A3B83" w:rsidR="00D53072" w:rsidRDefault="00D53072" w:rsidP="00FB7F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40E776" w14:textId="77777777" w:rsidR="00D53072" w:rsidRDefault="00D53072" w:rsidP="00D530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0851213"/>
      <w:docPartObj>
        <w:docPartGallery w:val="Page Numbers (Bottom of Page)"/>
        <w:docPartUnique/>
      </w:docPartObj>
    </w:sdtPr>
    <w:sdtEndPr>
      <w:rPr>
        <w:rStyle w:val="PageNumber"/>
      </w:rPr>
    </w:sdtEndPr>
    <w:sdtContent>
      <w:p w14:paraId="7F5BD6D9" w14:textId="779F62F3" w:rsidR="00D53072" w:rsidRDefault="00D53072" w:rsidP="00FB7F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3E414C" w14:textId="77777777" w:rsidR="00D53072" w:rsidRDefault="00D53072" w:rsidP="00D530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E115C" w14:textId="77777777" w:rsidR="00200C22" w:rsidRDefault="00200C22" w:rsidP="004875C7">
      <w:r>
        <w:separator/>
      </w:r>
    </w:p>
  </w:footnote>
  <w:footnote w:type="continuationSeparator" w:id="0">
    <w:p w14:paraId="7416F0AA" w14:textId="77777777" w:rsidR="00200C22" w:rsidRDefault="00200C22" w:rsidP="00487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7AD"/>
    <w:multiLevelType w:val="hybridMultilevel"/>
    <w:tmpl w:val="F524F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713D8C"/>
    <w:multiLevelType w:val="hybridMultilevel"/>
    <w:tmpl w:val="C644A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A8"/>
    <w:rsid w:val="000018A8"/>
    <w:rsid w:val="0000240F"/>
    <w:rsid w:val="0000346A"/>
    <w:rsid w:val="00004B1D"/>
    <w:rsid w:val="00004F87"/>
    <w:rsid w:val="00005AE2"/>
    <w:rsid w:val="000072A6"/>
    <w:rsid w:val="00010175"/>
    <w:rsid w:val="000115E9"/>
    <w:rsid w:val="00012853"/>
    <w:rsid w:val="000152D5"/>
    <w:rsid w:val="00016679"/>
    <w:rsid w:val="00016B89"/>
    <w:rsid w:val="00027240"/>
    <w:rsid w:val="00032EDA"/>
    <w:rsid w:val="00034F64"/>
    <w:rsid w:val="0003575E"/>
    <w:rsid w:val="0004760A"/>
    <w:rsid w:val="00050799"/>
    <w:rsid w:val="000510F8"/>
    <w:rsid w:val="000546E4"/>
    <w:rsid w:val="0006036B"/>
    <w:rsid w:val="00073257"/>
    <w:rsid w:val="000734FC"/>
    <w:rsid w:val="00077A81"/>
    <w:rsid w:val="000A47C5"/>
    <w:rsid w:val="000B1984"/>
    <w:rsid w:val="000C47D1"/>
    <w:rsid w:val="000C6B42"/>
    <w:rsid w:val="000C7AF7"/>
    <w:rsid w:val="000D03F7"/>
    <w:rsid w:val="000D10FD"/>
    <w:rsid w:val="000E052A"/>
    <w:rsid w:val="000E6142"/>
    <w:rsid w:val="0010031A"/>
    <w:rsid w:val="00115F1F"/>
    <w:rsid w:val="001264FD"/>
    <w:rsid w:val="00133160"/>
    <w:rsid w:val="00140303"/>
    <w:rsid w:val="0014121F"/>
    <w:rsid w:val="00144094"/>
    <w:rsid w:val="0017304D"/>
    <w:rsid w:val="00175E2B"/>
    <w:rsid w:val="00185B10"/>
    <w:rsid w:val="0019110D"/>
    <w:rsid w:val="001941D6"/>
    <w:rsid w:val="001A204B"/>
    <w:rsid w:val="001A24A0"/>
    <w:rsid w:val="001A3B70"/>
    <w:rsid w:val="001B4E5D"/>
    <w:rsid w:val="001B6E2F"/>
    <w:rsid w:val="001C40D3"/>
    <w:rsid w:val="001C4F18"/>
    <w:rsid w:val="001C53FA"/>
    <w:rsid w:val="001C7151"/>
    <w:rsid w:val="001D0057"/>
    <w:rsid w:val="001E52E0"/>
    <w:rsid w:val="00200C22"/>
    <w:rsid w:val="0021338C"/>
    <w:rsid w:val="0021469D"/>
    <w:rsid w:val="002157EA"/>
    <w:rsid w:val="00226E9F"/>
    <w:rsid w:val="00232ED9"/>
    <w:rsid w:val="00236F9C"/>
    <w:rsid w:val="00240128"/>
    <w:rsid w:val="00241626"/>
    <w:rsid w:val="002433AF"/>
    <w:rsid w:val="00250337"/>
    <w:rsid w:val="00253BAA"/>
    <w:rsid w:val="00264251"/>
    <w:rsid w:val="00270567"/>
    <w:rsid w:val="0027263F"/>
    <w:rsid w:val="0027281F"/>
    <w:rsid w:val="002739E7"/>
    <w:rsid w:val="002761A2"/>
    <w:rsid w:val="00281361"/>
    <w:rsid w:val="00283007"/>
    <w:rsid w:val="00290892"/>
    <w:rsid w:val="002924EC"/>
    <w:rsid w:val="0029345A"/>
    <w:rsid w:val="002950F4"/>
    <w:rsid w:val="00295479"/>
    <w:rsid w:val="002A0762"/>
    <w:rsid w:val="002A5D46"/>
    <w:rsid w:val="002B07CC"/>
    <w:rsid w:val="002C6176"/>
    <w:rsid w:val="002D5E88"/>
    <w:rsid w:val="002E01C6"/>
    <w:rsid w:val="002F2D18"/>
    <w:rsid w:val="002F3196"/>
    <w:rsid w:val="00302240"/>
    <w:rsid w:val="0030513F"/>
    <w:rsid w:val="00305A50"/>
    <w:rsid w:val="00312A48"/>
    <w:rsid w:val="00315D64"/>
    <w:rsid w:val="00317856"/>
    <w:rsid w:val="00317B4E"/>
    <w:rsid w:val="003226CA"/>
    <w:rsid w:val="00324DCA"/>
    <w:rsid w:val="00331AD2"/>
    <w:rsid w:val="00333746"/>
    <w:rsid w:val="0033612C"/>
    <w:rsid w:val="00344166"/>
    <w:rsid w:val="00346A2F"/>
    <w:rsid w:val="0035443C"/>
    <w:rsid w:val="00360B5D"/>
    <w:rsid w:val="003737AC"/>
    <w:rsid w:val="003839B0"/>
    <w:rsid w:val="00394FA4"/>
    <w:rsid w:val="003A2516"/>
    <w:rsid w:val="003B4F36"/>
    <w:rsid w:val="003B532F"/>
    <w:rsid w:val="003C0C44"/>
    <w:rsid w:val="003C4E0C"/>
    <w:rsid w:val="003C5EF1"/>
    <w:rsid w:val="003E3211"/>
    <w:rsid w:val="003E3C53"/>
    <w:rsid w:val="003E5504"/>
    <w:rsid w:val="003F7CC6"/>
    <w:rsid w:val="00407D5A"/>
    <w:rsid w:val="004118B6"/>
    <w:rsid w:val="004124F5"/>
    <w:rsid w:val="004245E4"/>
    <w:rsid w:val="00425D00"/>
    <w:rsid w:val="004331E2"/>
    <w:rsid w:val="0043330D"/>
    <w:rsid w:val="004364ED"/>
    <w:rsid w:val="00450C1D"/>
    <w:rsid w:val="00451194"/>
    <w:rsid w:val="004513C7"/>
    <w:rsid w:val="00452DF3"/>
    <w:rsid w:val="00454581"/>
    <w:rsid w:val="004611FA"/>
    <w:rsid w:val="00465A19"/>
    <w:rsid w:val="00484F99"/>
    <w:rsid w:val="00485605"/>
    <w:rsid w:val="004875C7"/>
    <w:rsid w:val="00494DE4"/>
    <w:rsid w:val="004A12D6"/>
    <w:rsid w:val="004A2E69"/>
    <w:rsid w:val="004A39E9"/>
    <w:rsid w:val="004B0B7D"/>
    <w:rsid w:val="004B3C7A"/>
    <w:rsid w:val="004C2F52"/>
    <w:rsid w:val="004C76E9"/>
    <w:rsid w:val="004C77E5"/>
    <w:rsid w:val="004D526D"/>
    <w:rsid w:val="004E08F6"/>
    <w:rsid w:val="004E0DDB"/>
    <w:rsid w:val="004E26B1"/>
    <w:rsid w:val="004E3DB5"/>
    <w:rsid w:val="004E4BD6"/>
    <w:rsid w:val="004E523F"/>
    <w:rsid w:val="004F338C"/>
    <w:rsid w:val="00501BAC"/>
    <w:rsid w:val="005103F7"/>
    <w:rsid w:val="0051222A"/>
    <w:rsid w:val="00520474"/>
    <w:rsid w:val="00533461"/>
    <w:rsid w:val="00542BB8"/>
    <w:rsid w:val="0055084C"/>
    <w:rsid w:val="0055490F"/>
    <w:rsid w:val="00570B7B"/>
    <w:rsid w:val="00570D01"/>
    <w:rsid w:val="00573B52"/>
    <w:rsid w:val="0058620C"/>
    <w:rsid w:val="00593A72"/>
    <w:rsid w:val="00594EF8"/>
    <w:rsid w:val="005A04FD"/>
    <w:rsid w:val="005A2BAD"/>
    <w:rsid w:val="005A66AB"/>
    <w:rsid w:val="005C021E"/>
    <w:rsid w:val="005C4386"/>
    <w:rsid w:val="005C442C"/>
    <w:rsid w:val="005C581B"/>
    <w:rsid w:val="005E5AF6"/>
    <w:rsid w:val="005E7BB4"/>
    <w:rsid w:val="005F6A92"/>
    <w:rsid w:val="005F7B58"/>
    <w:rsid w:val="00601789"/>
    <w:rsid w:val="006019F5"/>
    <w:rsid w:val="00603C75"/>
    <w:rsid w:val="00606A5E"/>
    <w:rsid w:val="00606FA0"/>
    <w:rsid w:val="00620696"/>
    <w:rsid w:val="00621F36"/>
    <w:rsid w:val="006265DC"/>
    <w:rsid w:val="00627A21"/>
    <w:rsid w:val="0063572D"/>
    <w:rsid w:val="00640D0C"/>
    <w:rsid w:val="00642316"/>
    <w:rsid w:val="0064369D"/>
    <w:rsid w:val="00653589"/>
    <w:rsid w:val="00655934"/>
    <w:rsid w:val="00655B6A"/>
    <w:rsid w:val="00662302"/>
    <w:rsid w:val="00663742"/>
    <w:rsid w:val="00664CAC"/>
    <w:rsid w:val="006674CA"/>
    <w:rsid w:val="00671526"/>
    <w:rsid w:val="00675969"/>
    <w:rsid w:val="00677D0C"/>
    <w:rsid w:val="00682D64"/>
    <w:rsid w:val="00691C24"/>
    <w:rsid w:val="00692416"/>
    <w:rsid w:val="00693437"/>
    <w:rsid w:val="006A16B8"/>
    <w:rsid w:val="006A2981"/>
    <w:rsid w:val="006A65AF"/>
    <w:rsid w:val="006A67F6"/>
    <w:rsid w:val="006A6BAB"/>
    <w:rsid w:val="006B29FE"/>
    <w:rsid w:val="006B4E0F"/>
    <w:rsid w:val="006C201B"/>
    <w:rsid w:val="006C3CA2"/>
    <w:rsid w:val="006C3EAF"/>
    <w:rsid w:val="006D3ECC"/>
    <w:rsid w:val="006D4AD4"/>
    <w:rsid w:val="006E1DA7"/>
    <w:rsid w:val="006F2789"/>
    <w:rsid w:val="00703473"/>
    <w:rsid w:val="007056D5"/>
    <w:rsid w:val="0071065E"/>
    <w:rsid w:val="007119EA"/>
    <w:rsid w:val="00711BCC"/>
    <w:rsid w:val="00737F6D"/>
    <w:rsid w:val="00747DFF"/>
    <w:rsid w:val="00760B31"/>
    <w:rsid w:val="00764326"/>
    <w:rsid w:val="00765156"/>
    <w:rsid w:val="007657E7"/>
    <w:rsid w:val="00767EE8"/>
    <w:rsid w:val="00784B29"/>
    <w:rsid w:val="0078755E"/>
    <w:rsid w:val="007924FF"/>
    <w:rsid w:val="007939F6"/>
    <w:rsid w:val="00796BCC"/>
    <w:rsid w:val="007A0CE0"/>
    <w:rsid w:val="007A0F18"/>
    <w:rsid w:val="007B05F3"/>
    <w:rsid w:val="007B2C96"/>
    <w:rsid w:val="007B40B6"/>
    <w:rsid w:val="007C56A2"/>
    <w:rsid w:val="007C5BA6"/>
    <w:rsid w:val="007C7287"/>
    <w:rsid w:val="007D2AC0"/>
    <w:rsid w:val="007E5637"/>
    <w:rsid w:val="007F268F"/>
    <w:rsid w:val="007F77B2"/>
    <w:rsid w:val="00805264"/>
    <w:rsid w:val="00812155"/>
    <w:rsid w:val="00813722"/>
    <w:rsid w:val="008170B6"/>
    <w:rsid w:val="0082122B"/>
    <w:rsid w:val="0082184B"/>
    <w:rsid w:val="00827A1E"/>
    <w:rsid w:val="00830959"/>
    <w:rsid w:val="00832646"/>
    <w:rsid w:val="00834D88"/>
    <w:rsid w:val="00837813"/>
    <w:rsid w:val="008402C5"/>
    <w:rsid w:val="0084221F"/>
    <w:rsid w:val="008532F6"/>
    <w:rsid w:val="00857115"/>
    <w:rsid w:val="00861E0C"/>
    <w:rsid w:val="008637B7"/>
    <w:rsid w:val="008649B7"/>
    <w:rsid w:val="008678E2"/>
    <w:rsid w:val="00872FD9"/>
    <w:rsid w:val="00883CED"/>
    <w:rsid w:val="008B471C"/>
    <w:rsid w:val="008B5731"/>
    <w:rsid w:val="008B6061"/>
    <w:rsid w:val="008D1BE5"/>
    <w:rsid w:val="008D3330"/>
    <w:rsid w:val="008D3EE3"/>
    <w:rsid w:val="008E0D99"/>
    <w:rsid w:val="008E2047"/>
    <w:rsid w:val="008E2DC8"/>
    <w:rsid w:val="008E487C"/>
    <w:rsid w:val="008F27EF"/>
    <w:rsid w:val="008F3439"/>
    <w:rsid w:val="008F7CB3"/>
    <w:rsid w:val="0090234C"/>
    <w:rsid w:val="0090243C"/>
    <w:rsid w:val="00904CC7"/>
    <w:rsid w:val="0092288D"/>
    <w:rsid w:val="00941B10"/>
    <w:rsid w:val="0095515F"/>
    <w:rsid w:val="00964F7D"/>
    <w:rsid w:val="009659EE"/>
    <w:rsid w:val="009673E9"/>
    <w:rsid w:val="00970D02"/>
    <w:rsid w:val="00973445"/>
    <w:rsid w:val="00980EE4"/>
    <w:rsid w:val="00983861"/>
    <w:rsid w:val="00986018"/>
    <w:rsid w:val="0099145B"/>
    <w:rsid w:val="009955D1"/>
    <w:rsid w:val="009A176A"/>
    <w:rsid w:val="009A2E3C"/>
    <w:rsid w:val="009A43BD"/>
    <w:rsid w:val="009A4BC6"/>
    <w:rsid w:val="009B18C1"/>
    <w:rsid w:val="009B3DE9"/>
    <w:rsid w:val="009C66E3"/>
    <w:rsid w:val="009C6C9C"/>
    <w:rsid w:val="009D0BE7"/>
    <w:rsid w:val="009D1105"/>
    <w:rsid w:val="009D36F3"/>
    <w:rsid w:val="009D394E"/>
    <w:rsid w:val="009D6213"/>
    <w:rsid w:val="009E0204"/>
    <w:rsid w:val="009F1E93"/>
    <w:rsid w:val="009F69C1"/>
    <w:rsid w:val="00A07638"/>
    <w:rsid w:val="00A11803"/>
    <w:rsid w:val="00A127C5"/>
    <w:rsid w:val="00A1770E"/>
    <w:rsid w:val="00A25B62"/>
    <w:rsid w:val="00A26671"/>
    <w:rsid w:val="00A3586A"/>
    <w:rsid w:val="00A461F1"/>
    <w:rsid w:val="00A51B6F"/>
    <w:rsid w:val="00A54D0D"/>
    <w:rsid w:val="00A770E8"/>
    <w:rsid w:val="00A8287A"/>
    <w:rsid w:val="00A9018A"/>
    <w:rsid w:val="00A93AB9"/>
    <w:rsid w:val="00A96EBD"/>
    <w:rsid w:val="00AA5694"/>
    <w:rsid w:val="00AA7A6F"/>
    <w:rsid w:val="00AB0C06"/>
    <w:rsid w:val="00AB2B7B"/>
    <w:rsid w:val="00AB77E3"/>
    <w:rsid w:val="00AB7969"/>
    <w:rsid w:val="00AD0479"/>
    <w:rsid w:val="00AD21C8"/>
    <w:rsid w:val="00AE06E8"/>
    <w:rsid w:val="00AE08CC"/>
    <w:rsid w:val="00AE24CD"/>
    <w:rsid w:val="00AE5D44"/>
    <w:rsid w:val="00AF4CA8"/>
    <w:rsid w:val="00AF611D"/>
    <w:rsid w:val="00B2291F"/>
    <w:rsid w:val="00B32DD5"/>
    <w:rsid w:val="00B33B38"/>
    <w:rsid w:val="00B47A30"/>
    <w:rsid w:val="00B52E16"/>
    <w:rsid w:val="00B64AC1"/>
    <w:rsid w:val="00B71E98"/>
    <w:rsid w:val="00B746F9"/>
    <w:rsid w:val="00B75425"/>
    <w:rsid w:val="00B75878"/>
    <w:rsid w:val="00B77131"/>
    <w:rsid w:val="00B851DD"/>
    <w:rsid w:val="00B952E7"/>
    <w:rsid w:val="00BA682D"/>
    <w:rsid w:val="00BB2CE0"/>
    <w:rsid w:val="00BB3D88"/>
    <w:rsid w:val="00BB43CC"/>
    <w:rsid w:val="00BB4AD2"/>
    <w:rsid w:val="00BB74E6"/>
    <w:rsid w:val="00BC0495"/>
    <w:rsid w:val="00BC6715"/>
    <w:rsid w:val="00BD1BEA"/>
    <w:rsid w:val="00BE23A2"/>
    <w:rsid w:val="00BE3289"/>
    <w:rsid w:val="00BE6C18"/>
    <w:rsid w:val="00BF7642"/>
    <w:rsid w:val="00BF7CD2"/>
    <w:rsid w:val="00C01EB6"/>
    <w:rsid w:val="00C12F68"/>
    <w:rsid w:val="00C14B9E"/>
    <w:rsid w:val="00C22169"/>
    <w:rsid w:val="00C249DE"/>
    <w:rsid w:val="00C36294"/>
    <w:rsid w:val="00C418FB"/>
    <w:rsid w:val="00C42D96"/>
    <w:rsid w:val="00C52E24"/>
    <w:rsid w:val="00C54371"/>
    <w:rsid w:val="00C55080"/>
    <w:rsid w:val="00C56BD5"/>
    <w:rsid w:val="00C60D94"/>
    <w:rsid w:val="00C6236D"/>
    <w:rsid w:val="00C64C54"/>
    <w:rsid w:val="00C7154D"/>
    <w:rsid w:val="00C746BB"/>
    <w:rsid w:val="00C75146"/>
    <w:rsid w:val="00C83155"/>
    <w:rsid w:val="00C90A4D"/>
    <w:rsid w:val="00C92B3E"/>
    <w:rsid w:val="00C9384B"/>
    <w:rsid w:val="00C93A10"/>
    <w:rsid w:val="00C948BA"/>
    <w:rsid w:val="00C96F2E"/>
    <w:rsid w:val="00CA0AE3"/>
    <w:rsid w:val="00CA1438"/>
    <w:rsid w:val="00CA23E2"/>
    <w:rsid w:val="00CA52AD"/>
    <w:rsid w:val="00CC0122"/>
    <w:rsid w:val="00CC7638"/>
    <w:rsid w:val="00CD5D64"/>
    <w:rsid w:val="00CD7161"/>
    <w:rsid w:val="00CE1C45"/>
    <w:rsid w:val="00CE5DE4"/>
    <w:rsid w:val="00CE7831"/>
    <w:rsid w:val="00CE79CD"/>
    <w:rsid w:val="00CF7959"/>
    <w:rsid w:val="00D033BE"/>
    <w:rsid w:val="00D102B7"/>
    <w:rsid w:val="00D33C61"/>
    <w:rsid w:val="00D34024"/>
    <w:rsid w:val="00D40583"/>
    <w:rsid w:val="00D4433E"/>
    <w:rsid w:val="00D452E2"/>
    <w:rsid w:val="00D47EB0"/>
    <w:rsid w:val="00D47FFB"/>
    <w:rsid w:val="00D53072"/>
    <w:rsid w:val="00D5536F"/>
    <w:rsid w:val="00D566DD"/>
    <w:rsid w:val="00D57C93"/>
    <w:rsid w:val="00D633D2"/>
    <w:rsid w:val="00D77234"/>
    <w:rsid w:val="00D81CF2"/>
    <w:rsid w:val="00D9128C"/>
    <w:rsid w:val="00D92EA6"/>
    <w:rsid w:val="00DA0704"/>
    <w:rsid w:val="00DA2532"/>
    <w:rsid w:val="00DA4798"/>
    <w:rsid w:val="00DB0120"/>
    <w:rsid w:val="00DB20D1"/>
    <w:rsid w:val="00DB542E"/>
    <w:rsid w:val="00DB7CEC"/>
    <w:rsid w:val="00DC0D66"/>
    <w:rsid w:val="00DC6408"/>
    <w:rsid w:val="00DC7B72"/>
    <w:rsid w:val="00DD1210"/>
    <w:rsid w:val="00DD4FB1"/>
    <w:rsid w:val="00DD625C"/>
    <w:rsid w:val="00DD7F51"/>
    <w:rsid w:val="00DE05AB"/>
    <w:rsid w:val="00DE17B6"/>
    <w:rsid w:val="00E25D06"/>
    <w:rsid w:val="00E43089"/>
    <w:rsid w:val="00E60131"/>
    <w:rsid w:val="00E63A9B"/>
    <w:rsid w:val="00E63D7A"/>
    <w:rsid w:val="00E746CD"/>
    <w:rsid w:val="00E83982"/>
    <w:rsid w:val="00E83B0C"/>
    <w:rsid w:val="00E937F3"/>
    <w:rsid w:val="00E945C4"/>
    <w:rsid w:val="00EA2B9B"/>
    <w:rsid w:val="00EB1002"/>
    <w:rsid w:val="00EB49D5"/>
    <w:rsid w:val="00EC3EA6"/>
    <w:rsid w:val="00ED0DCA"/>
    <w:rsid w:val="00ED37D5"/>
    <w:rsid w:val="00EE377D"/>
    <w:rsid w:val="00EF1B14"/>
    <w:rsid w:val="00F10548"/>
    <w:rsid w:val="00F11AC3"/>
    <w:rsid w:val="00F122A2"/>
    <w:rsid w:val="00F14B7C"/>
    <w:rsid w:val="00F171C1"/>
    <w:rsid w:val="00F171C2"/>
    <w:rsid w:val="00F20567"/>
    <w:rsid w:val="00F24AC9"/>
    <w:rsid w:val="00F24BA2"/>
    <w:rsid w:val="00F25715"/>
    <w:rsid w:val="00F34BD2"/>
    <w:rsid w:val="00F362A0"/>
    <w:rsid w:val="00F4106C"/>
    <w:rsid w:val="00F41FE3"/>
    <w:rsid w:val="00F434EA"/>
    <w:rsid w:val="00F436F5"/>
    <w:rsid w:val="00F5205C"/>
    <w:rsid w:val="00F54A4E"/>
    <w:rsid w:val="00F554A5"/>
    <w:rsid w:val="00F6097F"/>
    <w:rsid w:val="00F745E0"/>
    <w:rsid w:val="00F84648"/>
    <w:rsid w:val="00F85191"/>
    <w:rsid w:val="00F9139E"/>
    <w:rsid w:val="00F96F72"/>
    <w:rsid w:val="00FA1855"/>
    <w:rsid w:val="00FA1FFB"/>
    <w:rsid w:val="00FA2A1C"/>
    <w:rsid w:val="00FA7832"/>
    <w:rsid w:val="00FB0CC4"/>
    <w:rsid w:val="00FB2440"/>
    <w:rsid w:val="00FB5863"/>
    <w:rsid w:val="00FC52BA"/>
    <w:rsid w:val="00FC6694"/>
    <w:rsid w:val="00FC6BE1"/>
    <w:rsid w:val="00FC6D41"/>
    <w:rsid w:val="00FC70B9"/>
    <w:rsid w:val="00FD4C7A"/>
    <w:rsid w:val="00FE2593"/>
    <w:rsid w:val="00FE2996"/>
    <w:rsid w:val="00FE2F1B"/>
    <w:rsid w:val="00FE58FD"/>
    <w:rsid w:val="00FF3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63F60"/>
  <w15:chartTrackingRefBased/>
  <w15:docId w15:val="{CD1A5409-4393-E642-A01D-077317CC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75C7"/>
    <w:rPr>
      <w:sz w:val="20"/>
      <w:szCs w:val="20"/>
    </w:rPr>
  </w:style>
  <w:style w:type="character" w:customStyle="1" w:styleId="FootnoteTextChar">
    <w:name w:val="Footnote Text Char"/>
    <w:basedOn w:val="DefaultParagraphFont"/>
    <w:link w:val="FootnoteText"/>
    <w:uiPriority w:val="99"/>
    <w:semiHidden/>
    <w:rsid w:val="004875C7"/>
    <w:rPr>
      <w:sz w:val="20"/>
      <w:szCs w:val="20"/>
    </w:rPr>
  </w:style>
  <w:style w:type="character" w:styleId="FootnoteReference">
    <w:name w:val="footnote reference"/>
    <w:basedOn w:val="DefaultParagraphFont"/>
    <w:uiPriority w:val="99"/>
    <w:semiHidden/>
    <w:unhideWhenUsed/>
    <w:rsid w:val="004875C7"/>
    <w:rPr>
      <w:vertAlign w:val="superscript"/>
    </w:rPr>
  </w:style>
  <w:style w:type="character" w:styleId="Hyperlink">
    <w:name w:val="Hyperlink"/>
    <w:basedOn w:val="DefaultParagraphFont"/>
    <w:uiPriority w:val="99"/>
    <w:unhideWhenUsed/>
    <w:rsid w:val="004875C7"/>
    <w:rPr>
      <w:color w:val="0563C1" w:themeColor="hyperlink"/>
      <w:u w:val="single"/>
    </w:rPr>
  </w:style>
  <w:style w:type="character" w:styleId="UnresolvedMention">
    <w:name w:val="Unresolved Mention"/>
    <w:basedOn w:val="DefaultParagraphFont"/>
    <w:uiPriority w:val="99"/>
    <w:semiHidden/>
    <w:unhideWhenUsed/>
    <w:rsid w:val="004875C7"/>
    <w:rPr>
      <w:color w:val="605E5C"/>
      <w:shd w:val="clear" w:color="auto" w:fill="E1DFDD"/>
    </w:rPr>
  </w:style>
  <w:style w:type="paragraph" w:styleId="BalloonText">
    <w:name w:val="Balloon Text"/>
    <w:basedOn w:val="Normal"/>
    <w:link w:val="BalloonTextChar"/>
    <w:uiPriority w:val="99"/>
    <w:semiHidden/>
    <w:unhideWhenUsed/>
    <w:rsid w:val="00861E0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1E0C"/>
    <w:rPr>
      <w:rFonts w:ascii="Times New Roman" w:hAnsi="Times New Roman" w:cs="Times New Roman"/>
      <w:sz w:val="18"/>
      <w:szCs w:val="18"/>
    </w:rPr>
  </w:style>
  <w:style w:type="character" w:styleId="PlaceholderText">
    <w:name w:val="Placeholder Text"/>
    <w:basedOn w:val="DefaultParagraphFont"/>
    <w:uiPriority w:val="99"/>
    <w:semiHidden/>
    <w:rsid w:val="00573B52"/>
    <w:rPr>
      <w:color w:val="808080"/>
    </w:rPr>
  </w:style>
  <w:style w:type="paragraph" w:styleId="Caption">
    <w:name w:val="caption"/>
    <w:basedOn w:val="Normal"/>
    <w:next w:val="Normal"/>
    <w:uiPriority w:val="35"/>
    <w:unhideWhenUsed/>
    <w:qFormat/>
    <w:rsid w:val="00AE08CC"/>
    <w:pPr>
      <w:spacing w:after="200"/>
    </w:pPr>
    <w:rPr>
      <w:i/>
      <w:iCs/>
      <w:color w:val="44546A" w:themeColor="text2"/>
      <w:sz w:val="18"/>
      <w:szCs w:val="18"/>
    </w:rPr>
  </w:style>
  <w:style w:type="paragraph" w:styleId="ListParagraph">
    <w:name w:val="List Paragraph"/>
    <w:basedOn w:val="Normal"/>
    <w:uiPriority w:val="34"/>
    <w:qFormat/>
    <w:rsid w:val="00264251"/>
    <w:pPr>
      <w:ind w:left="720"/>
      <w:contextualSpacing/>
    </w:pPr>
  </w:style>
  <w:style w:type="character" w:styleId="CommentReference">
    <w:name w:val="annotation reference"/>
    <w:basedOn w:val="DefaultParagraphFont"/>
    <w:uiPriority w:val="99"/>
    <w:semiHidden/>
    <w:unhideWhenUsed/>
    <w:rsid w:val="00DA2532"/>
    <w:rPr>
      <w:sz w:val="16"/>
      <w:szCs w:val="16"/>
    </w:rPr>
  </w:style>
  <w:style w:type="paragraph" w:styleId="CommentText">
    <w:name w:val="annotation text"/>
    <w:basedOn w:val="Normal"/>
    <w:link w:val="CommentTextChar"/>
    <w:uiPriority w:val="99"/>
    <w:semiHidden/>
    <w:unhideWhenUsed/>
    <w:rsid w:val="00DA2532"/>
    <w:rPr>
      <w:sz w:val="20"/>
      <w:szCs w:val="20"/>
    </w:rPr>
  </w:style>
  <w:style w:type="character" w:customStyle="1" w:styleId="CommentTextChar">
    <w:name w:val="Comment Text Char"/>
    <w:basedOn w:val="DefaultParagraphFont"/>
    <w:link w:val="CommentText"/>
    <w:uiPriority w:val="99"/>
    <w:semiHidden/>
    <w:rsid w:val="00DA2532"/>
    <w:rPr>
      <w:sz w:val="20"/>
      <w:szCs w:val="20"/>
    </w:rPr>
  </w:style>
  <w:style w:type="paragraph" w:styleId="CommentSubject">
    <w:name w:val="annotation subject"/>
    <w:basedOn w:val="CommentText"/>
    <w:next w:val="CommentText"/>
    <w:link w:val="CommentSubjectChar"/>
    <w:uiPriority w:val="99"/>
    <w:semiHidden/>
    <w:unhideWhenUsed/>
    <w:rsid w:val="00DA2532"/>
    <w:rPr>
      <w:b/>
      <w:bCs/>
    </w:rPr>
  </w:style>
  <w:style w:type="character" w:customStyle="1" w:styleId="CommentSubjectChar">
    <w:name w:val="Comment Subject Char"/>
    <w:basedOn w:val="CommentTextChar"/>
    <w:link w:val="CommentSubject"/>
    <w:uiPriority w:val="99"/>
    <w:semiHidden/>
    <w:rsid w:val="00DA2532"/>
    <w:rPr>
      <w:b/>
      <w:bCs/>
      <w:sz w:val="20"/>
      <w:szCs w:val="20"/>
    </w:rPr>
  </w:style>
  <w:style w:type="character" w:styleId="LineNumber">
    <w:name w:val="line number"/>
    <w:basedOn w:val="DefaultParagraphFont"/>
    <w:uiPriority w:val="99"/>
    <w:semiHidden/>
    <w:unhideWhenUsed/>
    <w:rsid w:val="00CE7831"/>
  </w:style>
  <w:style w:type="paragraph" w:styleId="NormalWeb">
    <w:name w:val="Normal (Web)"/>
    <w:basedOn w:val="Normal"/>
    <w:uiPriority w:val="99"/>
    <w:semiHidden/>
    <w:unhideWhenUsed/>
    <w:rsid w:val="00DE17B6"/>
    <w:pPr>
      <w:spacing w:before="100" w:beforeAutospacing="1" w:after="100" w:afterAutospacing="1"/>
    </w:pPr>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BF7642"/>
    <w:rPr>
      <w:vertAlign w:val="superscript"/>
    </w:rPr>
  </w:style>
  <w:style w:type="table" w:styleId="TableGrid">
    <w:name w:val="Table Grid"/>
    <w:basedOn w:val="TableNormal"/>
    <w:uiPriority w:val="39"/>
    <w:rsid w:val="00E93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4F64"/>
    <w:pPr>
      <w:tabs>
        <w:tab w:val="center" w:pos="4680"/>
        <w:tab w:val="right" w:pos="9360"/>
      </w:tabs>
    </w:pPr>
  </w:style>
  <w:style w:type="character" w:customStyle="1" w:styleId="HeaderChar">
    <w:name w:val="Header Char"/>
    <w:basedOn w:val="DefaultParagraphFont"/>
    <w:link w:val="Header"/>
    <w:uiPriority w:val="99"/>
    <w:rsid w:val="00034F64"/>
  </w:style>
  <w:style w:type="paragraph" w:styleId="Footer">
    <w:name w:val="footer"/>
    <w:basedOn w:val="Normal"/>
    <w:link w:val="FooterChar"/>
    <w:uiPriority w:val="99"/>
    <w:unhideWhenUsed/>
    <w:rsid w:val="00034F64"/>
    <w:pPr>
      <w:tabs>
        <w:tab w:val="center" w:pos="4680"/>
        <w:tab w:val="right" w:pos="9360"/>
      </w:tabs>
    </w:pPr>
  </w:style>
  <w:style w:type="character" w:customStyle="1" w:styleId="FooterChar">
    <w:name w:val="Footer Char"/>
    <w:basedOn w:val="DefaultParagraphFont"/>
    <w:link w:val="Footer"/>
    <w:uiPriority w:val="99"/>
    <w:rsid w:val="00034F64"/>
  </w:style>
  <w:style w:type="character" w:styleId="FollowedHyperlink">
    <w:name w:val="FollowedHyperlink"/>
    <w:basedOn w:val="DefaultParagraphFont"/>
    <w:uiPriority w:val="99"/>
    <w:semiHidden/>
    <w:unhideWhenUsed/>
    <w:rsid w:val="00305A50"/>
    <w:rPr>
      <w:color w:val="954F72" w:themeColor="followedHyperlink"/>
      <w:u w:val="single"/>
    </w:rPr>
  </w:style>
  <w:style w:type="character" w:styleId="PageNumber">
    <w:name w:val="page number"/>
    <w:basedOn w:val="DefaultParagraphFont"/>
    <w:uiPriority w:val="99"/>
    <w:semiHidden/>
    <w:unhideWhenUsed/>
    <w:rsid w:val="00D53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35955">
      <w:bodyDiv w:val="1"/>
      <w:marLeft w:val="0"/>
      <w:marRight w:val="0"/>
      <w:marTop w:val="0"/>
      <w:marBottom w:val="0"/>
      <w:divBdr>
        <w:top w:val="none" w:sz="0" w:space="0" w:color="auto"/>
        <w:left w:val="none" w:sz="0" w:space="0" w:color="auto"/>
        <w:bottom w:val="none" w:sz="0" w:space="0" w:color="auto"/>
        <w:right w:val="none" w:sz="0" w:space="0" w:color="auto"/>
      </w:divBdr>
    </w:div>
    <w:div w:id="205920826">
      <w:bodyDiv w:val="1"/>
      <w:marLeft w:val="0"/>
      <w:marRight w:val="0"/>
      <w:marTop w:val="0"/>
      <w:marBottom w:val="0"/>
      <w:divBdr>
        <w:top w:val="none" w:sz="0" w:space="0" w:color="auto"/>
        <w:left w:val="none" w:sz="0" w:space="0" w:color="auto"/>
        <w:bottom w:val="none" w:sz="0" w:space="0" w:color="auto"/>
        <w:right w:val="none" w:sz="0" w:space="0" w:color="auto"/>
      </w:divBdr>
    </w:div>
    <w:div w:id="266932340">
      <w:bodyDiv w:val="1"/>
      <w:marLeft w:val="0"/>
      <w:marRight w:val="0"/>
      <w:marTop w:val="0"/>
      <w:marBottom w:val="0"/>
      <w:divBdr>
        <w:top w:val="none" w:sz="0" w:space="0" w:color="auto"/>
        <w:left w:val="none" w:sz="0" w:space="0" w:color="auto"/>
        <w:bottom w:val="none" w:sz="0" w:space="0" w:color="auto"/>
        <w:right w:val="none" w:sz="0" w:space="0" w:color="auto"/>
      </w:divBdr>
    </w:div>
    <w:div w:id="277220802">
      <w:bodyDiv w:val="1"/>
      <w:marLeft w:val="0"/>
      <w:marRight w:val="0"/>
      <w:marTop w:val="0"/>
      <w:marBottom w:val="0"/>
      <w:divBdr>
        <w:top w:val="none" w:sz="0" w:space="0" w:color="auto"/>
        <w:left w:val="none" w:sz="0" w:space="0" w:color="auto"/>
        <w:bottom w:val="none" w:sz="0" w:space="0" w:color="auto"/>
        <w:right w:val="none" w:sz="0" w:space="0" w:color="auto"/>
      </w:divBdr>
    </w:div>
    <w:div w:id="926622394">
      <w:bodyDiv w:val="1"/>
      <w:marLeft w:val="0"/>
      <w:marRight w:val="0"/>
      <w:marTop w:val="0"/>
      <w:marBottom w:val="0"/>
      <w:divBdr>
        <w:top w:val="none" w:sz="0" w:space="0" w:color="auto"/>
        <w:left w:val="none" w:sz="0" w:space="0" w:color="auto"/>
        <w:bottom w:val="none" w:sz="0" w:space="0" w:color="auto"/>
        <w:right w:val="none" w:sz="0" w:space="0" w:color="auto"/>
      </w:divBdr>
    </w:div>
    <w:div w:id="975330708">
      <w:bodyDiv w:val="1"/>
      <w:marLeft w:val="0"/>
      <w:marRight w:val="0"/>
      <w:marTop w:val="0"/>
      <w:marBottom w:val="0"/>
      <w:divBdr>
        <w:top w:val="none" w:sz="0" w:space="0" w:color="auto"/>
        <w:left w:val="none" w:sz="0" w:space="0" w:color="auto"/>
        <w:bottom w:val="none" w:sz="0" w:space="0" w:color="auto"/>
        <w:right w:val="none" w:sz="0" w:space="0" w:color="auto"/>
      </w:divBdr>
    </w:div>
    <w:div w:id="992686701">
      <w:bodyDiv w:val="1"/>
      <w:marLeft w:val="0"/>
      <w:marRight w:val="0"/>
      <w:marTop w:val="0"/>
      <w:marBottom w:val="0"/>
      <w:divBdr>
        <w:top w:val="none" w:sz="0" w:space="0" w:color="auto"/>
        <w:left w:val="none" w:sz="0" w:space="0" w:color="auto"/>
        <w:bottom w:val="none" w:sz="0" w:space="0" w:color="auto"/>
        <w:right w:val="none" w:sz="0" w:space="0" w:color="auto"/>
      </w:divBdr>
    </w:div>
    <w:div w:id="1206410430">
      <w:bodyDiv w:val="1"/>
      <w:marLeft w:val="0"/>
      <w:marRight w:val="0"/>
      <w:marTop w:val="0"/>
      <w:marBottom w:val="0"/>
      <w:divBdr>
        <w:top w:val="none" w:sz="0" w:space="0" w:color="auto"/>
        <w:left w:val="none" w:sz="0" w:space="0" w:color="auto"/>
        <w:bottom w:val="none" w:sz="0" w:space="0" w:color="auto"/>
        <w:right w:val="none" w:sz="0" w:space="0" w:color="auto"/>
      </w:divBdr>
    </w:div>
    <w:div w:id="1299651393">
      <w:bodyDiv w:val="1"/>
      <w:marLeft w:val="0"/>
      <w:marRight w:val="0"/>
      <w:marTop w:val="0"/>
      <w:marBottom w:val="0"/>
      <w:divBdr>
        <w:top w:val="none" w:sz="0" w:space="0" w:color="auto"/>
        <w:left w:val="none" w:sz="0" w:space="0" w:color="auto"/>
        <w:bottom w:val="none" w:sz="0" w:space="0" w:color="auto"/>
        <w:right w:val="none" w:sz="0" w:space="0" w:color="auto"/>
      </w:divBdr>
    </w:div>
    <w:div w:id="1406296219">
      <w:bodyDiv w:val="1"/>
      <w:marLeft w:val="0"/>
      <w:marRight w:val="0"/>
      <w:marTop w:val="0"/>
      <w:marBottom w:val="0"/>
      <w:divBdr>
        <w:top w:val="none" w:sz="0" w:space="0" w:color="auto"/>
        <w:left w:val="none" w:sz="0" w:space="0" w:color="auto"/>
        <w:bottom w:val="none" w:sz="0" w:space="0" w:color="auto"/>
        <w:right w:val="none" w:sz="0" w:space="0" w:color="auto"/>
      </w:divBdr>
    </w:div>
    <w:div w:id="1462457870">
      <w:bodyDiv w:val="1"/>
      <w:marLeft w:val="0"/>
      <w:marRight w:val="0"/>
      <w:marTop w:val="0"/>
      <w:marBottom w:val="0"/>
      <w:divBdr>
        <w:top w:val="none" w:sz="0" w:space="0" w:color="auto"/>
        <w:left w:val="none" w:sz="0" w:space="0" w:color="auto"/>
        <w:bottom w:val="none" w:sz="0" w:space="0" w:color="auto"/>
        <w:right w:val="none" w:sz="0" w:space="0" w:color="auto"/>
      </w:divBdr>
    </w:div>
    <w:div w:id="1744600558">
      <w:bodyDiv w:val="1"/>
      <w:marLeft w:val="0"/>
      <w:marRight w:val="0"/>
      <w:marTop w:val="0"/>
      <w:marBottom w:val="0"/>
      <w:divBdr>
        <w:top w:val="none" w:sz="0" w:space="0" w:color="auto"/>
        <w:left w:val="none" w:sz="0" w:space="0" w:color="auto"/>
        <w:bottom w:val="none" w:sz="0" w:space="0" w:color="auto"/>
        <w:right w:val="none" w:sz="0" w:space="0" w:color="auto"/>
      </w:divBdr>
    </w:div>
    <w:div w:id="1816993532">
      <w:bodyDiv w:val="1"/>
      <w:marLeft w:val="0"/>
      <w:marRight w:val="0"/>
      <w:marTop w:val="0"/>
      <w:marBottom w:val="0"/>
      <w:divBdr>
        <w:top w:val="none" w:sz="0" w:space="0" w:color="auto"/>
        <w:left w:val="none" w:sz="0" w:space="0" w:color="auto"/>
        <w:bottom w:val="none" w:sz="0" w:space="0" w:color="auto"/>
        <w:right w:val="none" w:sz="0" w:space="0" w:color="auto"/>
      </w:divBdr>
    </w:div>
    <w:div w:id="1958874520">
      <w:bodyDiv w:val="1"/>
      <w:marLeft w:val="0"/>
      <w:marRight w:val="0"/>
      <w:marTop w:val="0"/>
      <w:marBottom w:val="0"/>
      <w:divBdr>
        <w:top w:val="none" w:sz="0" w:space="0" w:color="auto"/>
        <w:left w:val="none" w:sz="0" w:space="0" w:color="auto"/>
        <w:bottom w:val="none" w:sz="0" w:space="0" w:color="auto"/>
        <w:right w:val="none" w:sz="0" w:space="0" w:color="auto"/>
      </w:divBdr>
    </w:div>
    <w:div w:id="204971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652FA-A2E5-184E-8806-D2138F4D3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Towers, Sherry M</dc:creator>
  <cp:keywords/>
  <dc:description/>
  <cp:lastModifiedBy>Towers, Sherry M</cp:lastModifiedBy>
  <cp:revision>3</cp:revision>
  <cp:lastPrinted>2021-03-05T18:58:00Z</cp:lastPrinted>
  <dcterms:created xsi:type="dcterms:W3CDTF">2021-04-01T12:44:00Z</dcterms:created>
  <dcterms:modified xsi:type="dcterms:W3CDTF">2021-04-01T12:50:00Z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http://www.zotero.org/styles/public-health-nutrition</vt:lpwstr>
  </property>
  <property fmtid="{D5CDD505-2E9C-101B-9397-08002B2CF9AE}" pid="19" name="Mendeley Recent Style Name 8_1">
    <vt:lpwstr>Public Health Nutrition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342c6542-9b57-3934-af06-9fd5886806ff</vt:lpwstr>
  </property>
</Properties>
</file>