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78F2" w14:textId="77777777" w:rsidR="00EA66C0" w:rsidRDefault="0000000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Additional File 1</w:t>
      </w:r>
    </w:p>
    <w:p w14:paraId="30FFB0F5" w14:textId="77777777" w:rsidR="00EA66C0" w:rsidRDefault="00EA66C0">
      <w:pPr>
        <w:rPr>
          <w:b/>
          <w:sz w:val="28"/>
          <w:szCs w:val="28"/>
          <w:lang w:val="en-US"/>
        </w:rPr>
      </w:pPr>
    </w:p>
    <w:p w14:paraId="5C348710" w14:textId="77777777" w:rsidR="00EA66C0" w:rsidRDefault="00EA66C0">
      <w:pPr>
        <w:rPr>
          <w:b/>
          <w:sz w:val="20"/>
          <w:szCs w:val="20"/>
          <w:lang w:val="en-US"/>
        </w:rPr>
      </w:pPr>
    </w:p>
    <w:p w14:paraId="662E4568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b/>
          <w:sz w:val="20"/>
          <w:lang w:val="en-US"/>
        </w:rPr>
        <w:t>Title</w:t>
      </w:r>
      <w:r>
        <w:rPr>
          <w:sz w:val="20"/>
          <w:lang w:val="en-US"/>
        </w:rPr>
        <w:t xml:space="preserve">: </w:t>
      </w:r>
    </w:p>
    <w:p w14:paraId="18298365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sz w:val="20"/>
          <w:lang w:val="en-US"/>
        </w:rPr>
        <w:t>Impact of the early phase of the COVID-19 pandemic on emergency department-to-intensive care unit admissions in Korea: An interrupted time-series analysis</w:t>
      </w:r>
    </w:p>
    <w:p w14:paraId="0BA280A7" w14:textId="77777777" w:rsidR="00EA66C0" w:rsidRDefault="00EA66C0">
      <w:pPr>
        <w:spacing w:line="480" w:lineRule="auto"/>
        <w:rPr>
          <w:sz w:val="20"/>
          <w:lang w:val="en-US"/>
        </w:rPr>
      </w:pPr>
    </w:p>
    <w:p w14:paraId="742E3AAA" w14:textId="77777777" w:rsidR="00EA66C0" w:rsidRDefault="00EA66C0">
      <w:pPr>
        <w:spacing w:line="480" w:lineRule="auto"/>
        <w:rPr>
          <w:sz w:val="20"/>
          <w:lang w:val="en-US"/>
        </w:rPr>
      </w:pPr>
    </w:p>
    <w:p w14:paraId="2C8D8E36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b/>
          <w:sz w:val="20"/>
          <w:lang w:val="en-US"/>
        </w:rPr>
        <w:t>Authors</w:t>
      </w:r>
      <w:r>
        <w:rPr>
          <w:sz w:val="20"/>
          <w:lang w:val="en-US"/>
        </w:rPr>
        <w:t>:</w:t>
      </w:r>
    </w:p>
    <w:p w14:paraId="4D956A3C" w14:textId="77777777" w:rsidR="00EA66C0" w:rsidRDefault="00000000">
      <w:pPr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Kyung-Shin Lee, </w:t>
      </w:r>
      <w:proofErr w:type="spellStart"/>
      <w:r>
        <w:rPr>
          <w:sz w:val="20"/>
          <w:szCs w:val="20"/>
          <w:lang w:val="en-US"/>
        </w:rPr>
        <w:t>Changwoo</w:t>
      </w:r>
      <w:proofErr w:type="spellEnd"/>
      <w:r>
        <w:rPr>
          <w:sz w:val="20"/>
          <w:szCs w:val="20"/>
          <w:lang w:val="en-US"/>
        </w:rPr>
        <w:t xml:space="preserve"> Han</w:t>
      </w:r>
      <w:r>
        <w:rPr>
          <w:rFonts w:hint="eastAsia"/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 xml:space="preserve">Hye Sook Min, </w:t>
      </w:r>
      <w:proofErr w:type="spellStart"/>
      <w:r>
        <w:rPr>
          <w:sz w:val="20"/>
          <w:szCs w:val="20"/>
          <w:lang w:val="en-US"/>
        </w:rPr>
        <w:t>Jeehye</w:t>
      </w:r>
      <w:proofErr w:type="spellEnd"/>
      <w:r>
        <w:rPr>
          <w:sz w:val="20"/>
          <w:szCs w:val="20"/>
          <w:lang w:val="en-US"/>
        </w:rPr>
        <w:t xml:space="preserve"> Lee, Seok Hwa Youn, </w:t>
      </w:r>
      <w:proofErr w:type="spellStart"/>
      <w:r>
        <w:rPr>
          <w:sz w:val="20"/>
          <w:szCs w:val="20"/>
          <w:lang w:val="en-US"/>
        </w:rPr>
        <w:t>Younghwan</w:t>
      </w:r>
      <w:proofErr w:type="spellEnd"/>
      <w:r>
        <w:rPr>
          <w:sz w:val="20"/>
          <w:szCs w:val="20"/>
          <w:lang w:val="en-US"/>
        </w:rPr>
        <w:t xml:space="preserve"> Kim, Jae Young Moon, Young Seok Lee</w:t>
      </w:r>
      <w:r>
        <w:rPr>
          <w:rFonts w:hint="eastAsia"/>
          <w:sz w:val="20"/>
          <w:szCs w:val="20"/>
          <w:lang w:val="en-US"/>
        </w:rPr>
        <w:t xml:space="preserve">, </w:t>
      </w:r>
      <w:r>
        <w:rPr>
          <w:sz w:val="20"/>
          <w:szCs w:val="20"/>
          <w:lang w:val="en-US"/>
        </w:rPr>
        <w:t>Su Jin Kim, Ho Kyung Sung</w:t>
      </w:r>
    </w:p>
    <w:p w14:paraId="7819579C" w14:textId="77777777" w:rsidR="00EA66C0" w:rsidRDefault="00EA66C0">
      <w:pPr>
        <w:spacing w:line="480" w:lineRule="auto"/>
        <w:rPr>
          <w:sz w:val="20"/>
          <w:szCs w:val="20"/>
          <w:lang w:val="en-US"/>
        </w:rPr>
      </w:pPr>
    </w:p>
    <w:p w14:paraId="7F42F760" w14:textId="77777777" w:rsidR="00EA66C0" w:rsidRDefault="00EA66C0">
      <w:pPr>
        <w:spacing w:line="480" w:lineRule="auto"/>
        <w:rPr>
          <w:sz w:val="20"/>
          <w:lang w:val="en-US"/>
        </w:rPr>
      </w:pPr>
    </w:p>
    <w:p w14:paraId="471919E2" w14:textId="77777777" w:rsidR="00EA66C0" w:rsidRDefault="00EA66C0">
      <w:pPr>
        <w:spacing w:line="480" w:lineRule="auto"/>
        <w:rPr>
          <w:sz w:val="20"/>
          <w:lang w:val="en-US"/>
        </w:rPr>
      </w:pPr>
    </w:p>
    <w:p w14:paraId="2902BE42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b/>
          <w:sz w:val="20"/>
          <w:lang w:val="en-US"/>
        </w:rPr>
        <w:t>Corresponding author</w:t>
      </w:r>
      <w:r>
        <w:rPr>
          <w:sz w:val="20"/>
          <w:lang w:val="en-US"/>
        </w:rPr>
        <w:t>:</w:t>
      </w:r>
    </w:p>
    <w:p w14:paraId="6949A491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sz w:val="20"/>
          <w:lang w:val="en-US"/>
        </w:rPr>
        <w:t xml:space="preserve">Ho Kyung Sung, M.D. </w:t>
      </w:r>
    </w:p>
    <w:p w14:paraId="493B5087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sz w:val="20"/>
          <w:lang w:val="en-US"/>
        </w:rPr>
        <w:t>National Emergency Medical Center, National Medical Center, Seoul, Korea</w:t>
      </w:r>
    </w:p>
    <w:p w14:paraId="038D1C92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sz w:val="20"/>
          <w:lang w:val="en-US"/>
        </w:rPr>
        <w:t xml:space="preserve">National Medical Center, 245 </w:t>
      </w:r>
      <w:proofErr w:type="spellStart"/>
      <w:r>
        <w:rPr>
          <w:sz w:val="20"/>
          <w:lang w:val="en-US"/>
        </w:rPr>
        <w:t>Eulgi-ro</w:t>
      </w:r>
      <w:proofErr w:type="spellEnd"/>
      <w:r>
        <w:rPr>
          <w:sz w:val="20"/>
          <w:lang w:val="en-US"/>
        </w:rPr>
        <w:t>, Jung-</w:t>
      </w:r>
      <w:proofErr w:type="spellStart"/>
      <w:r>
        <w:rPr>
          <w:sz w:val="20"/>
          <w:lang w:val="en-US"/>
        </w:rPr>
        <w:t>gu</w:t>
      </w:r>
      <w:proofErr w:type="spellEnd"/>
      <w:r>
        <w:rPr>
          <w:sz w:val="20"/>
          <w:lang w:val="en-US"/>
        </w:rPr>
        <w:t xml:space="preserve">, Seoul 04564, Korea </w:t>
      </w:r>
    </w:p>
    <w:p w14:paraId="578DB221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sz w:val="20"/>
          <w:lang w:val="en-US"/>
        </w:rPr>
        <w:t>Tel: +82-2-6260-3180</w:t>
      </w:r>
    </w:p>
    <w:p w14:paraId="71F77274" w14:textId="77777777" w:rsidR="00EA66C0" w:rsidRDefault="00000000">
      <w:pPr>
        <w:spacing w:line="480" w:lineRule="auto"/>
        <w:rPr>
          <w:sz w:val="20"/>
          <w:lang w:val="en-US"/>
        </w:rPr>
      </w:pPr>
      <w:r>
        <w:rPr>
          <w:sz w:val="20"/>
          <w:lang w:val="en-US"/>
        </w:rPr>
        <w:t>Fax: +82-2-2260-7552</w:t>
      </w:r>
    </w:p>
    <w:p w14:paraId="3CEEBD82" w14:textId="77777777" w:rsidR="00EA66C0" w:rsidRDefault="00000000">
      <w:pPr>
        <w:spacing w:line="480" w:lineRule="auto"/>
        <w:rPr>
          <w:b/>
          <w:sz w:val="20"/>
          <w:lang w:val="en-US"/>
        </w:rPr>
        <w:sectPr w:rsidR="00EA66C0">
          <w:footerReference w:type="default" r:id="rId6"/>
          <w:pgSz w:w="11900" w:h="16840"/>
          <w:pgMar w:top="703" w:right="1417" w:bottom="442" w:left="1417" w:header="708" w:footer="708" w:gutter="0"/>
          <w:cols w:space="708"/>
          <w:docGrid w:linePitch="360"/>
        </w:sectPr>
      </w:pPr>
      <w:r>
        <w:rPr>
          <w:sz w:val="20"/>
          <w:lang w:val="en-US"/>
        </w:rPr>
        <w:t>E-mail: hokyungsung@nmc.or.kr</w:t>
      </w:r>
      <w:r>
        <w:rPr>
          <w:b/>
          <w:sz w:val="20"/>
          <w:lang w:val="en-US"/>
        </w:rPr>
        <w:br w:type="page"/>
      </w:r>
    </w:p>
    <w:p w14:paraId="2DE8F753" w14:textId="6412E17F" w:rsidR="00EA66C0" w:rsidRDefault="0002471F">
      <w:pPr>
        <w:spacing w:line="480" w:lineRule="auto"/>
        <w:rPr>
          <w:b/>
          <w:sz w:val="20"/>
          <w:szCs w:val="20"/>
          <w:lang w:val="en-US"/>
        </w:rPr>
      </w:pPr>
      <w:bookmarkStart w:id="0" w:name="_Hlk154816952"/>
      <w:r w:rsidRPr="0002471F">
        <w:rPr>
          <w:b/>
          <w:sz w:val="20"/>
          <w:szCs w:val="20"/>
          <w:lang w:val="en-US"/>
        </w:rPr>
        <w:lastRenderedPageBreak/>
        <w:t>Supplementary</w:t>
      </w:r>
      <w:r>
        <w:rPr>
          <w:b/>
          <w:sz w:val="20"/>
          <w:szCs w:val="20"/>
          <w:lang w:val="en-US"/>
        </w:rPr>
        <w:t xml:space="preserve"> Figure 1. Number of level 1 or 2 ED presentations and confirmed COVID-19 cases before and during the COVID-19 </w:t>
      </w:r>
      <w:proofErr w:type="gramStart"/>
      <w:r>
        <w:rPr>
          <w:b/>
          <w:sz w:val="20"/>
          <w:szCs w:val="20"/>
          <w:lang w:val="en-US"/>
        </w:rPr>
        <w:t>pandemic</w:t>
      </w:r>
      <w:proofErr w:type="gramEnd"/>
    </w:p>
    <w:bookmarkEnd w:id="0"/>
    <w:p w14:paraId="5D64EF7C" w14:textId="77777777" w:rsidR="00EA66C0" w:rsidRDefault="00000000">
      <w:pPr>
        <w:pStyle w:val="ICM"/>
        <w:spacing w:line="480" w:lineRule="auto"/>
        <w:jc w:val="center"/>
        <w:rPr>
          <w:rFonts w:cs="Times New Roman"/>
          <w:szCs w:val="20"/>
          <w:lang w:val="en-US"/>
        </w:rPr>
      </w:pPr>
      <w:r>
        <w:rPr>
          <w:rFonts w:cs="Times New Roman"/>
          <w:noProof/>
          <w:szCs w:val="20"/>
          <w:lang w:val="en-US"/>
        </w:rPr>
        <w:drawing>
          <wp:inline distT="0" distB="0" distL="0" distR="0" wp14:anchorId="57F41E51" wp14:editId="4B3BE97C">
            <wp:extent cx="8929583" cy="5022641"/>
            <wp:effectExtent l="0" t="0" r="0" b="0"/>
            <wp:docPr id="1025" name="shape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29583" cy="502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45B11" w14:textId="4E19984F" w:rsidR="00EA66C0" w:rsidRDefault="00000000">
      <w:pPr>
        <w:rPr>
          <w:rFonts w:eastAsiaTheme="minorEastAsia"/>
          <w:b/>
          <w:bCs/>
          <w:sz w:val="20"/>
          <w:lang w:val="en-US"/>
        </w:rPr>
      </w:pPr>
      <w:r>
        <w:rPr>
          <w:rFonts w:eastAsiaTheme="minorEastAsia"/>
          <w:sz w:val="20"/>
          <w:lang w:val="en-US"/>
        </w:rPr>
        <w:t xml:space="preserve">ED, emergency department; COVID-19, coronavirus disease </w:t>
      </w:r>
      <w:r>
        <w:rPr>
          <w:rFonts w:eastAsiaTheme="minorEastAsia"/>
          <w:sz w:val="20"/>
          <w:lang w:val="en-US"/>
        </w:rPr>
        <w:br w:type="page"/>
      </w:r>
      <w:bookmarkStart w:id="1" w:name="_Hlk154816968"/>
      <w:r w:rsidR="0002471F" w:rsidRPr="0002471F">
        <w:rPr>
          <w:rFonts w:eastAsiaTheme="minorEastAsia"/>
          <w:b/>
          <w:bCs/>
          <w:sz w:val="20"/>
          <w:lang w:val="en-US"/>
        </w:rPr>
        <w:lastRenderedPageBreak/>
        <w:t xml:space="preserve">Supplementary </w:t>
      </w:r>
      <w:r w:rsidRPr="0002471F">
        <w:rPr>
          <w:rFonts w:eastAsiaTheme="minorEastAsia"/>
          <w:b/>
          <w:bCs/>
          <w:sz w:val="20"/>
          <w:lang w:val="en-US"/>
        </w:rPr>
        <w:t>Figure</w:t>
      </w:r>
      <w:r>
        <w:rPr>
          <w:rFonts w:eastAsiaTheme="minorEastAsia"/>
          <w:b/>
          <w:bCs/>
          <w:sz w:val="20"/>
          <w:lang w:val="en-US"/>
        </w:rPr>
        <w:t xml:space="preserve"> 2. </w:t>
      </w:r>
      <w:r>
        <w:rPr>
          <w:rFonts w:eastAsiaTheme="minorEastAsia"/>
          <w:b/>
          <w:bCs/>
          <w:sz w:val="20"/>
          <w:szCs w:val="20"/>
          <w:lang w:val="en-US" w:eastAsia="ko-KR"/>
        </w:rPr>
        <w:t>Monthly</w:t>
      </w:r>
      <w:r>
        <w:rPr>
          <w:rFonts w:eastAsiaTheme="minorEastAsia"/>
          <w:b/>
          <w:bCs/>
          <w:sz w:val="20"/>
          <w:lang w:val="en-US"/>
        </w:rPr>
        <w:t xml:space="preserve"> median </w:t>
      </w:r>
      <w:r>
        <w:rPr>
          <w:rFonts w:eastAsiaTheme="minorEastAsia"/>
          <w:b/>
          <w:bCs/>
          <w:sz w:val="20"/>
          <w:szCs w:val="20"/>
          <w:lang w:val="en-US" w:eastAsia="ko-KR"/>
        </w:rPr>
        <w:t xml:space="preserve">and percentage of prolonged </w:t>
      </w:r>
      <w:r>
        <w:rPr>
          <w:rFonts w:eastAsiaTheme="minorEastAsia"/>
          <w:b/>
          <w:bCs/>
          <w:sz w:val="20"/>
          <w:lang w:val="en-US"/>
        </w:rPr>
        <w:t xml:space="preserve">ED LOS for the </w:t>
      </w:r>
      <w:r>
        <w:rPr>
          <w:rFonts w:eastAsiaTheme="minorEastAsia"/>
          <w:b/>
          <w:bCs/>
          <w:sz w:val="20"/>
          <w:szCs w:val="20"/>
          <w:lang w:val="en-US" w:eastAsia="ko-KR"/>
        </w:rPr>
        <w:t>participants</w:t>
      </w:r>
      <w:r>
        <w:rPr>
          <w:rFonts w:eastAsiaTheme="minorEastAsia"/>
          <w:b/>
          <w:bCs/>
          <w:sz w:val="20"/>
          <w:lang w:val="en-US"/>
        </w:rPr>
        <w:t xml:space="preserve"> before and during the COVID-19 pandemic</w:t>
      </w:r>
    </w:p>
    <w:bookmarkEnd w:id="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2"/>
        <w:gridCol w:w="7843"/>
      </w:tblGrid>
      <w:tr w:rsidR="00EA66C0" w14:paraId="053E212B" w14:textId="77777777">
        <w:tc>
          <w:tcPr>
            <w:tcW w:w="7842" w:type="dxa"/>
          </w:tcPr>
          <w:p w14:paraId="4D6647AF" w14:textId="77777777" w:rsidR="00EA66C0" w:rsidRDefault="00EA66C0">
            <w:pPr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7843" w:type="dxa"/>
          </w:tcPr>
          <w:p w14:paraId="67D8DA5D" w14:textId="77777777" w:rsidR="00EA66C0" w:rsidRDefault="00EA66C0">
            <w:pPr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</w:tbl>
    <w:p w14:paraId="3B8B1A01" w14:textId="77777777" w:rsidR="00EA66C0" w:rsidRDefault="00000000">
      <w:pPr>
        <w:rPr>
          <w:rFonts w:eastAsiaTheme="minorEastAsia"/>
          <w:sz w:val="20"/>
          <w:szCs w:val="20"/>
          <w:lang w:val="pt-PT" w:eastAsia="ko-KR"/>
        </w:rPr>
      </w:pPr>
      <w:r>
        <w:rPr>
          <w:rFonts w:eastAsiaTheme="minorEastAsia"/>
          <w:sz w:val="20"/>
          <w:szCs w:val="20"/>
          <w:lang w:val="pt-PT" w:eastAsia="ko-KR"/>
        </w:rPr>
        <w:t>A. Median ED LOS (h)</w:t>
      </w:r>
    </w:p>
    <w:p w14:paraId="627178B8" w14:textId="77777777" w:rsidR="00EA66C0" w:rsidRDefault="00000000">
      <w:pPr>
        <w:rPr>
          <w:rFonts w:eastAsiaTheme="minorEastAsia"/>
          <w:color w:val="FF0000"/>
          <w:sz w:val="20"/>
          <w:lang w:val="en-US"/>
        </w:rPr>
      </w:pPr>
      <w:r>
        <w:rPr>
          <w:rFonts w:eastAsiaTheme="minorEastAsia"/>
          <w:noProof/>
          <w:color w:val="FF0000"/>
          <w:sz w:val="20"/>
          <w:lang w:val="en-US"/>
        </w:rPr>
        <w:drawing>
          <wp:inline distT="0" distB="0" distL="0" distR="0" wp14:anchorId="54790EA4" wp14:editId="43338631">
            <wp:extent cx="8846185" cy="4974590"/>
            <wp:effectExtent l="0" t="0" r="0" b="0"/>
            <wp:docPr id="1026" name="shape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46185" cy="497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11B50" w14:textId="77777777" w:rsidR="00EA66C0" w:rsidRDefault="00000000">
      <w:pPr>
        <w:rPr>
          <w:rFonts w:eastAsiaTheme="minorEastAsia"/>
          <w:color w:val="FF0000"/>
          <w:sz w:val="20"/>
          <w:lang w:val="en-US"/>
        </w:rPr>
      </w:pPr>
      <w:r>
        <w:rPr>
          <w:rFonts w:eastAsiaTheme="minorEastAsia"/>
          <w:sz w:val="20"/>
          <w:szCs w:val="20"/>
          <w:lang w:val="en-US" w:eastAsia="ko-KR"/>
        </w:rPr>
        <w:t>ED: emergency department, LOS: length of stay, COVID-19: coronavirus disease</w:t>
      </w:r>
    </w:p>
    <w:p w14:paraId="14F19831" w14:textId="77777777" w:rsidR="00EA66C0" w:rsidRDefault="00000000">
      <w:pPr>
        <w:spacing w:line="480" w:lineRule="auto"/>
        <w:rPr>
          <w:rFonts w:eastAsia="맑은 고딕"/>
          <w:b/>
          <w:sz w:val="20"/>
          <w:lang w:val="en-US"/>
        </w:rPr>
      </w:pPr>
      <w:r>
        <w:rPr>
          <w:rFonts w:eastAsia="맑은 고딕"/>
          <w:b/>
          <w:sz w:val="20"/>
          <w:lang w:val="en-US"/>
        </w:rPr>
        <w:br w:type="page"/>
      </w:r>
    </w:p>
    <w:p w14:paraId="13685842" w14:textId="77777777" w:rsidR="00EA66C0" w:rsidRDefault="00000000">
      <w:pPr>
        <w:rPr>
          <w:rFonts w:eastAsiaTheme="minorEastAsia"/>
          <w:sz w:val="20"/>
          <w:szCs w:val="20"/>
          <w:lang w:val="en" w:eastAsia="ko-KR"/>
        </w:rPr>
      </w:pPr>
      <w:r>
        <w:rPr>
          <w:rFonts w:eastAsiaTheme="minorEastAsia"/>
          <w:sz w:val="20"/>
          <w:szCs w:val="20"/>
          <w:lang w:val="en" w:eastAsia="ko-KR"/>
        </w:rPr>
        <w:lastRenderedPageBreak/>
        <w:t>B. Prolonged ED LOS (%)</w:t>
      </w:r>
    </w:p>
    <w:p w14:paraId="250EA841" w14:textId="77777777" w:rsidR="00EA66C0" w:rsidRDefault="00000000">
      <w:pPr>
        <w:jc w:val="center"/>
        <w:rPr>
          <w:rFonts w:eastAsiaTheme="minorEastAsia"/>
          <w:color w:val="FF0000"/>
          <w:sz w:val="20"/>
          <w:szCs w:val="20"/>
          <w:lang w:val="en" w:eastAsia="ko-KR"/>
        </w:rPr>
      </w:pPr>
      <w:r>
        <w:rPr>
          <w:rFonts w:eastAsiaTheme="minorEastAsia"/>
          <w:noProof/>
          <w:color w:val="FF0000"/>
          <w:sz w:val="20"/>
          <w:szCs w:val="20"/>
          <w:lang w:val="en" w:eastAsia="ko-KR"/>
        </w:rPr>
        <w:drawing>
          <wp:inline distT="0" distB="0" distL="0" distR="0" wp14:anchorId="2AAFCCC2" wp14:editId="354F08D7">
            <wp:extent cx="8594137" cy="4833963"/>
            <wp:effectExtent l="0" t="0" r="0" b="0"/>
            <wp:docPr id="1027" name="shape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4137" cy="483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99C02" w14:textId="77777777" w:rsidR="00EA66C0" w:rsidRDefault="00000000">
      <w:pPr>
        <w:rPr>
          <w:rFonts w:eastAsiaTheme="minorEastAsia"/>
          <w:sz w:val="20"/>
          <w:szCs w:val="20"/>
          <w:lang w:val="en" w:eastAsia="ko-KR"/>
        </w:rPr>
      </w:pPr>
      <w:r>
        <w:rPr>
          <w:rFonts w:eastAsiaTheme="minorEastAsia"/>
          <w:sz w:val="20"/>
          <w:szCs w:val="20"/>
          <w:lang w:val="en" w:eastAsia="ko-KR"/>
        </w:rPr>
        <w:t>ED, emergency department; LOS, length of stay; COVID-19, coronavirus disease 2019</w:t>
      </w:r>
    </w:p>
    <w:p w14:paraId="0EC2BCC4" w14:textId="77777777" w:rsidR="00EA66C0" w:rsidRDefault="00EA66C0">
      <w:pPr>
        <w:spacing w:line="480" w:lineRule="auto"/>
        <w:rPr>
          <w:rFonts w:eastAsia="맑은 고딕"/>
          <w:b/>
          <w:sz w:val="20"/>
          <w:lang w:val="en"/>
        </w:rPr>
      </w:pPr>
    </w:p>
    <w:p w14:paraId="5FD05BFB" w14:textId="77777777" w:rsidR="00EA66C0" w:rsidRDefault="00000000">
      <w:pPr>
        <w:spacing w:line="480" w:lineRule="auto"/>
        <w:rPr>
          <w:rFonts w:eastAsia="맑은 고딕"/>
          <w:b/>
          <w:sz w:val="20"/>
          <w:lang w:val="en-US"/>
        </w:rPr>
      </w:pPr>
      <w:r>
        <w:rPr>
          <w:rFonts w:eastAsia="맑은 고딕"/>
          <w:b/>
          <w:sz w:val="20"/>
          <w:lang w:val="en-US"/>
        </w:rPr>
        <w:br w:type="page"/>
      </w:r>
    </w:p>
    <w:p w14:paraId="57658F8A" w14:textId="44D21B69" w:rsidR="00EA66C0" w:rsidRDefault="0002471F">
      <w:pPr>
        <w:spacing w:line="480" w:lineRule="auto"/>
        <w:rPr>
          <w:rFonts w:eastAsia="맑은 고딕"/>
          <w:b/>
          <w:color w:val="000000"/>
          <w:sz w:val="20"/>
          <w:lang w:val="en-US"/>
        </w:rPr>
      </w:pPr>
      <w:bookmarkStart w:id="2" w:name="_Hlk154816975"/>
      <w:r w:rsidRPr="0002471F">
        <w:rPr>
          <w:rFonts w:eastAsia="맑은 고딕"/>
          <w:b/>
          <w:sz w:val="20"/>
          <w:lang w:val="en-US"/>
        </w:rPr>
        <w:lastRenderedPageBreak/>
        <w:t>Supplementary</w:t>
      </w:r>
      <w:r>
        <w:rPr>
          <w:rFonts w:eastAsia="맑은 고딕"/>
          <w:b/>
          <w:sz w:val="20"/>
          <w:lang w:val="en-US"/>
        </w:rPr>
        <w:t xml:space="preserve"> Table </w:t>
      </w:r>
      <w:r>
        <w:rPr>
          <w:rFonts w:eastAsia="맑은 고딕"/>
          <w:b/>
          <w:color w:val="000000"/>
          <w:sz w:val="20"/>
          <w:lang w:val="en-US"/>
        </w:rPr>
        <w:t xml:space="preserve">1. </w:t>
      </w:r>
      <w:r>
        <w:rPr>
          <w:rFonts w:eastAsia="맑은 고딕"/>
          <w:b/>
          <w:bCs/>
          <w:color w:val="000000"/>
          <w:sz w:val="20"/>
          <w:szCs w:val="20"/>
          <w:lang w:val="en-US"/>
        </w:rPr>
        <w:t>Participation</w:t>
      </w:r>
      <w:r>
        <w:rPr>
          <w:rFonts w:eastAsia="맑은 고딕"/>
          <w:b/>
          <w:color w:val="000000"/>
          <w:sz w:val="20"/>
          <w:lang w:val="en-US"/>
        </w:rPr>
        <w:t xml:space="preserve"> rate of EDs in the NEDIS</w:t>
      </w:r>
    </w:p>
    <w:bookmarkEnd w:id="2"/>
    <w:tbl>
      <w:tblPr>
        <w:tblStyle w:val="a3"/>
        <w:tblW w:w="157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0"/>
        <w:gridCol w:w="1240"/>
        <w:gridCol w:w="1241"/>
        <w:gridCol w:w="1240"/>
        <w:gridCol w:w="1240"/>
        <w:gridCol w:w="1241"/>
        <w:gridCol w:w="1240"/>
        <w:gridCol w:w="1240"/>
        <w:gridCol w:w="1241"/>
        <w:gridCol w:w="1240"/>
        <w:gridCol w:w="1240"/>
        <w:gridCol w:w="1241"/>
      </w:tblGrid>
      <w:tr w:rsidR="00EA66C0" w14:paraId="2A0B5286" w14:textId="77777777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0756D" w14:textId="77777777" w:rsidR="00EA66C0" w:rsidRDefault="00EA66C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5BDB3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Overall level ED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B5378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Level 1 ED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DFB75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Level 2 ED</w:t>
            </w:r>
          </w:p>
        </w:tc>
        <w:tc>
          <w:tcPr>
            <w:tcW w:w="37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4A1AD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Level 3 ED</w:t>
            </w:r>
          </w:p>
        </w:tc>
      </w:tr>
      <w:tr w:rsidR="00EA66C0" w14:paraId="0FF82675" w14:textId="77777777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9AF02" w14:textId="77777777" w:rsidR="00EA66C0" w:rsidRDefault="00EA66C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6B8869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Total number of EDs in Korea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C5D1630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Number of EDs participating in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lang w:val="en-US"/>
              </w:rPr>
              <w:t>NEDIS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A28F472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Participation rate (%)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369E6B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Total number of EDs in Korea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684305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Number of EDs participating in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lang w:val="en-US"/>
              </w:rPr>
              <w:t>NEDIS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CDFC99E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Participation rate (%)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469216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Total number of EDs in Korea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5F07BE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Number of EDs participating in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lang w:val="en-US"/>
              </w:rPr>
              <w:t>NEDIS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EB8F53E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Participation rate (%)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8A510AF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Total number of EDs in Korea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7DD627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Number of EDs participating in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>
              <w:rPr>
                <w:sz w:val="20"/>
                <w:lang w:val="en-US"/>
              </w:rPr>
              <w:t>NEDIS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8D6213" w14:textId="77777777" w:rsidR="00EA66C0" w:rsidRDefault="00000000">
            <w:pPr>
              <w:spacing w:line="480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Participation rate (%)</w:t>
            </w:r>
          </w:p>
        </w:tc>
      </w:tr>
      <w:tr w:rsidR="00EA66C0" w14:paraId="34E696DB" w14:textId="77777777">
        <w:tc>
          <w:tcPr>
            <w:tcW w:w="851" w:type="dxa"/>
            <w:tcBorders>
              <w:top w:val="single" w:sz="4" w:space="0" w:color="auto"/>
            </w:tcBorders>
            <w:vAlign w:val="center"/>
            <w:hideMark/>
          </w:tcPr>
          <w:p w14:paraId="3DE808C8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2018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09A5B5EE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401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354113B3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399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  <w:hideMark/>
          </w:tcPr>
          <w:p w14:paraId="1C9D8243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99.5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619AFBB6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36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11B757E0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36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  <w:hideMark/>
          </w:tcPr>
          <w:p w14:paraId="41B2EF49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0892A53B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117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7CD97683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117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  <w:hideMark/>
          </w:tcPr>
          <w:p w14:paraId="3DA474A1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691B13D6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248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vAlign w:val="center"/>
            <w:hideMark/>
          </w:tcPr>
          <w:p w14:paraId="4ED4E04B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246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center"/>
            <w:hideMark/>
          </w:tcPr>
          <w:p w14:paraId="57AD782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99.2</w:t>
            </w:r>
          </w:p>
        </w:tc>
      </w:tr>
      <w:tr w:rsidR="00EA66C0" w14:paraId="6D05A6E5" w14:textId="77777777">
        <w:tc>
          <w:tcPr>
            <w:tcW w:w="851" w:type="dxa"/>
            <w:vAlign w:val="center"/>
            <w:hideMark/>
          </w:tcPr>
          <w:p w14:paraId="0D36159F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2019</w:t>
            </w:r>
          </w:p>
        </w:tc>
        <w:tc>
          <w:tcPr>
            <w:tcW w:w="1240" w:type="dxa"/>
            <w:vAlign w:val="center"/>
            <w:hideMark/>
          </w:tcPr>
          <w:p w14:paraId="6EE821DE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402</w:t>
            </w:r>
          </w:p>
        </w:tc>
        <w:tc>
          <w:tcPr>
            <w:tcW w:w="1240" w:type="dxa"/>
            <w:vAlign w:val="center"/>
            <w:hideMark/>
          </w:tcPr>
          <w:p w14:paraId="5A6828D3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401</w:t>
            </w:r>
          </w:p>
        </w:tc>
        <w:tc>
          <w:tcPr>
            <w:tcW w:w="1241" w:type="dxa"/>
            <w:vAlign w:val="center"/>
            <w:hideMark/>
          </w:tcPr>
          <w:p w14:paraId="68F3052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99.8</w:t>
            </w:r>
          </w:p>
        </w:tc>
        <w:tc>
          <w:tcPr>
            <w:tcW w:w="1240" w:type="dxa"/>
            <w:vAlign w:val="center"/>
            <w:hideMark/>
          </w:tcPr>
          <w:p w14:paraId="4E18EB6D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1240" w:type="dxa"/>
            <w:vAlign w:val="center"/>
            <w:hideMark/>
          </w:tcPr>
          <w:p w14:paraId="2D0C9B07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1241" w:type="dxa"/>
            <w:vAlign w:val="center"/>
            <w:hideMark/>
          </w:tcPr>
          <w:p w14:paraId="57A41AA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4D9E9071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124</w:t>
            </w:r>
          </w:p>
        </w:tc>
        <w:tc>
          <w:tcPr>
            <w:tcW w:w="1240" w:type="dxa"/>
            <w:vAlign w:val="center"/>
            <w:hideMark/>
          </w:tcPr>
          <w:p w14:paraId="571825DA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124</w:t>
            </w:r>
          </w:p>
        </w:tc>
        <w:tc>
          <w:tcPr>
            <w:tcW w:w="1241" w:type="dxa"/>
            <w:vAlign w:val="center"/>
            <w:hideMark/>
          </w:tcPr>
          <w:p w14:paraId="5470FE20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0DD1FAFA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240</w:t>
            </w:r>
          </w:p>
        </w:tc>
        <w:tc>
          <w:tcPr>
            <w:tcW w:w="1240" w:type="dxa"/>
            <w:vAlign w:val="center"/>
            <w:hideMark/>
          </w:tcPr>
          <w:p w14:paraId="4B960B2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239</w:t>
            </w:r>
          </w:p>
        </w:tc>
        <w:tc>
          <w:tcPr>
            <w:tcW w:w="1241" w:type="dxa"/>
            <w:vAlign w:val="center"/>
            <w:hideMark/>
          </w:tcPr>
          <w:p w14:paraId="5635E7AC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96.5</w:t>
            </w:r>
          </w:p>
        </w:tc>
      </w:tr>
      <w:tr w:rsidR="00EA66C0" w14:paraId="01A45D16" w14:textId="77777777">
        <w:tc>
          <w:tcPr>
            <w:tcW w:w="851" w:type="dxa"/>
            <w:vAlign w:val="center"/>
            <w:hideMark/>
          </w:tcPr>
          <w:p w14:paraId="0CE0913C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2020</w:t>
            </w:r>
          </w:p>
        </w:tc>
        <w:tc>
          <w:tcPr>
            <w:tcW w:w="1240" w:type="dxa"/>
            <w:vAlign w:val="center"/>
            <w:hideMark/>
          </w:tcPr>
          <w:p w14:paraId="1E306FF5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403</w:t>
            </w:r>
          </w:p>
        </w:tc>
        <w:tc>
          <w:tcPr>
            <w:tcW w:w="1240" w:type="dxa"/>
            <w:vAlign w:val="center"/>
            <w:hideMark/>
          </w:tcPr>
          <w:p w14:paraId="4343D695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403</w:t>
            </w:r>
          </w:p>
        </w:tc>
        <w:tc>
          <w:tcPr>
            <w:tcW w:w="1241" w:type="dxa"/>
            <w:vAlign w:val="center"/>
            <w:hideMark/>
          </w:tcPr>
          <w:p w14:paraId="1C8BDE09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3CD1B2D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1240" w:type="dxa"/>
            <w:vAlign w:val="center"/>
            <w:hideMark/>
          </w:tcPr>
          <w:p w14:paraId="53C5FAEE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1241" w:type="dxa"/>
            <w:vAlign w:val="center"/>
            <w:hideMark/>
          </w:tcPr>
          <w:p w14:paraId="6D3851BA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24A44189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240" w:type="dxa"/>
            <w:vAlign w:val="center"/>
            <w:hideMark/>
          </w:tcPr>
          <w:p w14:paraId="4C72ED13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129</w:t>
            </w:r>
          </w:p>
        </w:tc>
        <w:tc>
          <w:tcPr>
            <w:tcW w:w="1241" w:type="dxa"/>
            <w:vAlign w:val="center"/>
            <w:hideMark/>
          </w:tcPr>
          <w:p w14:paraId="6FFDD69A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781ED6F1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236</w:t>
            </w:r>
          </w:p>
        </w:tc>
        <w:tc>
          <w:tcPr>
            <w:tcW w:w="1240" w:type="dxa"/>
            <w:vAlign w:val="center"/>
            <w:hideMark/>
          </w:tcPr>
          <w:p w14:paraId="5228C546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236</w:t>
            </w:r>
          </w:p>
        </w:tc>
        <w:tc>
          <w:tcPr>
            <w:tcW w:w="1241" w:type="dxa"/>
            <w:vAlign w:val="center"/>
            <w:hideMark/>
          </w:tcPr>
          <w:p w14:paraId="0124F3A9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</w:tr>
      <w:tr w:rsidR="00EA66C0" w14:paraId="728D85A1" w14:textId="77777777">
        <w:tc>
          <w:tcPr>
            <w:tcW w:w="851" w:type="dxa"/>
            <w:vAlign w:val="center"/>
            <w:hideMark/>
          </w:tcPr>
          <w:p w14:paraId="1993BB6F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2021</w:t>
            </w:r>
          </w:p>
        </w:tc>
        <w:tc>
          <w:tcPr>
            <w:tcW w:w="1240" w:type="dxa"/>
            <w:vAlign w:val="center"/>
            <w:hideMark/>
          </w:tcPr>
          <w:p w14:paraId="538A5744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398</w:t>
            </w:r>
          </w:p>
        </w:tc>
        <w:tc>
          <w:tcPr>
            <w:tcW w:w="1240" w:type="dxa"/>
            <w:vAlign w:val="center"/>
            <w:hideMark/>
          </w:tcPr>
          <w:p w14:paraId="7D42B74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398</w:t>
            </w:r>
          </w:p>
        </w:tc>
        <w:tc>
          <w:tcPr>
            <w:tcW w:w="1241" w:type="dxa"/>
            <w:vAlign w:val="center"/>
            <w:hideMark/>
          </w:tcPr>
          <w:p w14:paraId="037D688D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7D208937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1240" w:type="dxa"/>
            <w:vAlign w:val="center"/>
            <w:hideMark/>
          </w:tcPr>
          <w:p w14:paraId="643CF252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38</w:t>
            </w:r>
          </w:p>
        </w:tc>
        <w:tc>
          <w:tcPr>
            <w:tcW w:w="1241" w:type="dxa"/>
            <w:vAlign w:val="center"/>
            <w:hideMark/>
          </w:tcPr>
          <w:p w14:paraId="112930FF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74496E1E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127</w:t>
            </w:r>
          </w:p>
        </w:tc>
        <w:tc>
          <w:tcPr>
            <w:tcW w:w="1240" w:type="dxa"/>
            <w:vAlign w:val="center"/>
            <w:hideMark/>
          </w:tcPr>
          <w:p w14:paraId="401259AD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127</w:t>
            </w:r>
          </w:p>
        </w:tc>
        <w:tc>
          <w:tcPr>
            <w:tcW w:w="1241" w:type="dxa"/>
            <w:vAlign w:val="center"/>
            <w:hideMark/>
          </w:tcPr>
          <w:p w14:paraId="1B072787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  <w:tc>
          <w:tcPr>
            <w:tcW w:w="1240" w:type="dxa"/>
            <w:vAlign w:val="center"/>
            <w:hideMark/>
          </w:tcPr>
          <w:p w14:paraId="7C842C2C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233</w:t>
            </w:r>
          </w:p>
        </w:tc>
        <w:tc>
          <w:tcPr>
            <w:tcW w:w="1240" w:type="dxa"/>
            <w:vAlign w:val="center"/>
            <w:hideMark/>
          </w:tcPr>
          <w:p w14:paraId="759F94C8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233</w:t>
            </w:r>
          </w:p>
        </w:tc>
        <w:tc>
          <w:tcPr>
            <w:tcW w:w="1241" w:type="dxa"/>
            <w:vAlign w:val="center"/>
            <w:hideMark/>
          </w:tcPr>
          <w:p w14:paraId="061BC627" w14:textId="77777777" w:rsidR="00EA66C0" w:rsidRDefault="00000000">
            <w:pPr>
              <w:spacing w:line="480" w:lineRule="auto"/>
              <w:rPr>
                <w:rFonts w:eastAsia="맑은 고딕"/>
                <w:color w:val="000000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100</w:t>
            </w:r>
          </w:p>
        </w:tc>
      </w:tr>
    </w:tbl>
    <w:p w14:paraId="3A4C6BEC" w14:textId="77777777" w:rsidR="00EA66C0" w:rsidRDefault="00000000">
      <w:pPr>
        <w:spacing w:line="480" w:lineRule="auto"/>
        <w:rPr>
          <w:rFonts w:eastAsia="맑은 고딕"/>
          <w:color w:val="000000"/>
          <w:sz w:val="20"/>
          <w:lang w:val="en-US"/>
        </w:rPr>
      </w:pPr>
      <w:r>
        <w:rPr>
          <w:rFonts w:eastAsia="맑은 고딕"/>
          <w:color w:val="000000"/>
          <w:sz w:val="20"/>
          <w:lang w:val="en-US"/>
        </w:rPr>
        <w:t xml:space="preserve">ED, emergency department; NEDIS, </w:t>
      </w:r>
      <w:r>
        <w:rPr>
          <w:rFonts w:eastAsia="맑은 고딕"/>
          <w:bCs/>
          <w:color w:val="000000"/>
          <w:sz w:val="20"/>
          <w:szCs w:val="20"/>
          <w:lang w:val="en-US"/>
        </w:rPr>
        <w:t>National Emergency Department Information System</w:t>
      </w:r>
    </w:p>
    <w:p w14:paraId="20D50F15" w14:textId="77777777" w:rsidR="00EA66C0" w:rsidRDefault="00EA66C0">
      <w:pPr>
        <w:rPr>
          <w:b/>
          <w:sz w:val="20"/>
          <w:lang w:val="en-US"/>
        </w:rPr>
      </w:pPr>
    </w:p>
    <w:p w14:paraId="28B06402" w14:textId="77777777" w:rsidR="00EA66C0" w:rsidRDefault="00000000">
      <w:pPr>
        <w:rPr>
          <w:b/>
          <w:sz w:val="20"/>
          <w:lang w:val="en-US"/>
        </w:rPr>
      </w:pPr>
      <w:r>
        <w:rPr>
          <w:b/>
          <w:sz w:val="20"/>
          <w:lang w:val="en-US"/>
        </w:rPr>
        <w:br w:type="page"/>
      </w:r>
    </w:p>
    <w:p w14:paraId="11F9703B" w14:textId="2DDCA4B7" w:rsidR="00EA66C0" w:rsidRDefault="0002471F">
      <w:pPr>
        <w:spacing w:line="480" w:lineRule="auto"/>
        <w:rPr>
          <w:b/>
          <w:sz w:val="20"/>
          <w:szCs w:val="20"/>
          <w:lang w:val="en-US"/>
        </w:rPr>
      </w:pPr>
      <w:bookmarkStart w:id="3" w:name="_Hlk154816986"/>
      <w:r w:rsidRPr="0002471F">
        <w:rPr>
          <w:b/>
          <w:sz w:val="20"/>
          <w:szCs w:val="20"/>
          <w:lang w:val="en-US"/>
        </w:rPr>
        <w:lastRenderedPageBreak/>
        <w:t>Supplementary</w:t>
      </w:r>
      <w:r>
        <w:rPr>
          <w:b/>
          <w:sz w:val="20"/>
          <w:szCs w:val="20"/>
          <w:lang w:val="en-US"/>
        </w:rPr>
        <w:t xml:space="preserve"> Table 2. Number of presentations at level 1 or 2 EDs, number of ED-to-ICU admissions, and ED-to-ICU admission rate before and during the COVID-19 pandemic</w:t>
      </w:r>
    </w:p>
    <w:bookmarkEnd w:id="3"/>
    <w:tbl>
      <w:tblPr>
        <w:tblStyle w:val="a3"/>
        <w:tblW w:w="1573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1210"/>
        <w:gridCol w:w="1211"/>
        <w:gridCol w:w="1210"/>
        <w:gridCol w:w="1210"/>
        <w:gridCol w:w="1211"/>
        <w:gridCol w:w="1210"/>
        <w:gridCol w:w="1211"/>
        <w:gridCol w:w="1210"/>
        <w:gridCol w:w="1210"/>
        <w:gridCol w:w="1211"/>
        <w:gridCol w:w="1210"/>
        <w:gridCol w:w="1211"/>
      </w:tblGrid>
      <w:tr w:rsidR="00EA66C0" w14:paraId="5D780EDF" w14:textId="77777777">
        <w:trPr>
          <w:trHeight w:val="33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33032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3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CC0C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2018</w:t>
            </w:r>
          </w:p>
        </w:tc>
        <w:tc>
          <w:tcPr>
            <w:tcW w:w="3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2DAC7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2019</w:t>
            </w:r>
          </w:p>
        </w:tc>
        <w:tc>
          <w:tcPr>
            <w:tcW w:w="36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D9D4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2020</w:t>
            </w:r>
          </w:p>
        </w:tc>
        <w:tc>
          <w:tcPr>
            <w:tcW w:w="36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97E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lang w:val="en-US"/>
              </w:rPr>
              <w:t>2021</w:t>
            </w:r>
          </w:p>
        </w:tc>
      </w:tr>
      <w:tr w:rsidR="00EA66C0" w14:paraId="4C070A7C" w14:textId="77777777">
        <w:trPr>
          <w:trHeight w:val="330"/>
        </w:trPr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DF6351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F20041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Level 1 or 2 ED presentation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0091A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ICU admission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E1B8C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ICU admission rate (%)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A7A416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Level 1 or 2 ED presentation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2AB14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ICU admission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3DED8F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ICU admission rate (%)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373B9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Level 1 or 2 ED presentation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CF646C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ICU admission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0542B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ICU admission rate (%)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DD2FD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Level 1 or 2 ED presentation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80F7F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Number of ICU admission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B6772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ICU admission rate (%)</w:t>
            </w:r>
          </w:p>
        </w:tc>
      </w:tr>
      <w:tr w:rsidR="00EA66C0" w14:paraId="2CD51D19" w14:textId="77777777">
        <w:trPr>
          <w:trHeight w:val="330"/>
        </w:trPr>
        <w:tc>
          <w:tcPr>
            <w:tcW w:w="1210" w:type="dxa"/>
            <w:tcBorders>
              <w:top w:val="single" w:sz="4" w:space="0" w:color="auto"/>
            </w:tcBorders>
            <w:vAlign w:val="center"/>
            <w:hideMark/>
          </w:tcPr>
          <w:p w14:paraId="452A0AA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January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pct20" w:color="auto" w:fill="auto"/>
            <w:vAlign w:val="center"/>
            <w:hideMark/>
          </w:tcPr>
          <w:p w14:paraId="78E810DE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pct20" w:color="auto" w:fill="auto"/>
            <w:vAlign w:val="center"/>
            <w:hideMark/>
          </w:tcPr>
          <w:p w14:paraId="79DC112D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shd w:val="pct20" w:color="auto" w:fill="auto"/>
            <w:vAlign w:val="center"/>
            <w:hideMark/>
          </w:tcPr>
          <w:p w14:paraId="0A8BE75C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  <w:hideMark/>
          </w:tcPr>
          <w:p w14:paraId="3437593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367,344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  <w:hideMark/>
          </w:tcPr>
          <w:p w14:paraId="4A664D9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15,570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  <w:hideMark/>
          </w:tcPr>
          <w:p w14:paraId="51BADBE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4.24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  <w:hideMark/>
          </w:tcPr>
          <w:p w14:paraId="08928B5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464,627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  <w:hideMark/>
          </w:tcPr>
          <w:p w14:paraId="78F8C72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16,473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  <w:hideMark/>
          </w:tcPr>
          <w:p w14:paraId="7AFCD34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3.55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  <w:hideMark/>
          </w:tcPr>
          <w:p w14:paraId="5041EF9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295,218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  <w:hideMark/>
          </w:tcPr>
          <w:p w14:paraId="0C91082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14,566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vAlign w:val="center"/>
            <w:hideMark/>
          </w:tcPr>
          <w:p w14:paraId="32F2EF5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4.93</w:t>
            </w:r>
          </w:p>
        </w:tc>
      </w:tr>
      <w:tr w:rsidR="00EA66C0" w14:paraId="767AD95F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06CA13E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February</w:t>
            </w:r>
          </w:p>
        </w:tc>
        <w:tc>
          <w:tcPr>
            <w:tcW w:w="1210" w:type="dxa"/>
            <w:vAlign w:val="center"/>
            <w:hideMark/>
          </w:tcPr>
          <w:p w14:paraId="116AA498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343,649</w:t>
            </w:r>
          </w:p>
        </w:tc>
        <w:tc>
          <w:tcPr>
            <w:tcW w:w="1211" w:type="dxa"/>
            <w:vAlign w:val="center"/>
            <w:hideMark/>
          </w:tcPr>
          <w:p w14:paraId="4339119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13,506</w:t>
            </w:r>
          </w:p>
        </w:tc>
        <w:tc>
          <w:tcPr>
            <w:tcW w:w="1210" w:type="dxa"/>
            <w:vAlign w:val="center"/>
            <w:hideMark/>
          </w:tcPr>
          <w:p w14:paraId="7F65AF4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3.93</w:t>
            </w:r>
          </w:p>
        </w:tc>
        <w:tc>
          <w:tcPr>
            <w:tcW w:w="1210" w:type="dxa"/>
            <w:vAlign w:val="center"/>
            <w:hideMark/>
          </w:tcPr>
          <w:p w14:paraId="7B02A25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355,253</w:t>
            </w:r>
          </w:p>
        </w:tc>
        <w:tc>
          <w:tcPr>
            <w:tcW w:w="1211" w:type="dxa"/>
            <w:vAlign w:val="center"/>
            <w:hideMark/>
          </w:tcPr>
          <w:p w14:paraId="2F1BCCF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14,202</w:t>
            </w:r>
          </w:p>
        </w:tc>
        <w:tc>
          <w:tcPr>
            <w:tcW w:w="1210" w:type="dxa"/>
            <w:vAlign w:val="center"/>
            <w:hideMark/>
          </w:tcPr>
          <w:p w14:paraId="5893BB7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4.00</w:t>
            </w:r>
          </w:p>
        </w:tc>
        <w:tc>
          <w:tcPr>
            <w:tcW w:w="1211" w:type="dxa"/>
            <w:vAlign w:val="center"/>
            <w:hideMark/>
          </w:tcPr>
          <w:p w14:paraId="368C590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315,616</w:t>
            </w:r>
          </w:p>
        </w:tc>
        <w:tc>
          <w:tcPr>
            <w:tcW w:w="1210" w:type="dxa"/>
            <w:vAlign w:val="center"/>
            <w:hideMark/>
          </w:tcPr>
          <w:p w14:paraId="413FC78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14,204</w:t>
            </w:r>
          </w:p>
        </w:tc>
        <w:tc>
          <w:tcPr>
            <w:tcW w:w="1210" w:type="dxa"/>
            <w:vAlign w:val="center"/>
            <w:hideMark/>
          </w:tcPr>
          <w:p w14:paraId="46D6F83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4.50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FFD0BDB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69BC9B09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0394973E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26A6BE27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61F2060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March</w:t>
            </w:r>
          </w:p>
        </w:tc>
        <w:tc>
          <w:tcPr>
            <w:tcW w:w="1210" w:type="dxa"/>
            <w:vAlign w:val="center"/>
            <w:hideMark/>
          </w:tcPr>
          <w:p w14:paraId="1CDDFF68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332,351</w:t>
            </w:r>
          </w:p>
        </w:tc>
        <w:tc>
          <w:tcPr>
            <w:tcW w:w="1211" w:type="dxa"/>
            <w:vAlign w:val="center"/>
            <w:hideMark/>
          </w:tcPr>
          <w:p w14:paraId="0B9BE97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14,854</w:t>
            </w:r>
          </w:p>
        </w:tc>
        <w:tc>
          <w:tcPr>
            <w:tcW w:w="1210" w:type="dxa"/>
            <w:vAlign w:val="center"/>
            <w:hideMark/>
          </w:tcPr>
          <w:p w14:paraId="7759166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4.47</w:t>
            </w:r>
          </w:p>
        </w:tc>
        <w:tc>
          <w:tcPr>
            <w:tcW w:w="1210" w:type="dxa"/>
            <w:vAlign w:val="center"/>
            <w:hideMark/>
          </w:tcPr>
          <w:p w14:paraId="2FBE78B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360,846</w:t>
            </w:r>
          </w:p>
        </w:tc>
        <w:tc>
          <w:tcPr>
            <w:tcW w:w="1211" w:type="dxa"/>
            <w:vAlign w:val="center"/>
            <w:hideMark/>
          </w:tcPr>
          <w:p w14:paraId="392AD16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15,671</w:t>
            </w:r>
          </w:p>
        </w:tc>
        <w:tc>
          <w:tcPr>
            <w:tcW w:w="1210" w:type="dxa"/>
            <w:vAlign w:val="center"/>
            <w:hideMark/>
          </w:tcPr>
          <w:p w14:paraId="3AAF9DE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4.34</w:t>
            </w:r>
          </w:p>
        </w:tc>
        <w:tc>
          <w:tcPr>
            <w:tcW w:w="1211" w:type="dxa"/>
            <w:vAlign w:val="center"/>
            <w:hideMark/>
          </w:tcPr>
          <w:p w14:paraId="7E4A7A9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275,039</w:t>
            </w:r>
          </w:p>
        </w:tc>
        <w:tc>
          <w:tcPr>
            <w:tcW w:w="1210" w:type="dxa"/>
            <w:vAlign w:val="center"/>
            <w:hideMark/>
          </w:tcPr>
          <w:p w14:paraId="0A4CF4F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14,173</w:t>
            </w:r>
          </w:p>
        </w:tc>
        <w:tc>
          <w:tcPr>
            <w:tcW w:w="1210" w:type="dxa"/>
            <w:vAlign w:val="center"/>
            <w:hideMark/>
          </w:tcPr>
          <w:p w14:paraId="455EEEA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5.15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65F6D369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49195350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6B9DFAAD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2BE2C6DB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65D9A90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April</w:t>
            </w:r>
          </w:p>
        </w:tc>
        <w:tc>
          <w:tcPr>
            <w:tcW w:w="1210" w:type="dxa"/>
            <w:vAlign w:val="center"/>
            <w:hideMark/>
          </w:tcPr>
          <w:p w14:paraId="6A36104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335,653</w:t>
            </w:r>
          </w:p>
        </w:tc>
        <w:tc>
          <w:tcPr>
            <w:tcW w:w="1211" w:type="dxa"/>
            <w:vAlign w:val="center"/>
            <w:hideMark/>
          </w:tcPr>
          <w:p w14:paraId="371AC65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15,209</w:t>
            </w:r>
          </w:p>
        </w:tc>
        <w:tc>
          <w:tcPr>
            <w:tcW w:w="1210" w:type="dxa"/>
            <w:vAlign w:val="center"/>
            <w:hideMark/>
          </w:tcPr>
          <w:p w14:paraId="1936BB1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4.53</w:t>
            </w:r>
          </w:p>
        </w:tc>
        <w:tc>
          <w:tcPr>
            <w:tcW w:w="1210" w:type="dxa"/>
            <w:vAlign w:val="center"/>
            <w:hideMark/>
          </w:tcPr>
          <w:p w14:paraId="63B41488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360,419</w:t>
            </w:r>
          </w:p>
        </w:tc>
        <w:tc>
          <w:tcPr>
            <w:tcW w:w="1211" w:type="dxa"/>
            <w:vAlign w:val="center"/>
            <w:hideMark/>
          </w:tcPr>
          <w:p w14:paraId="0E84819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15,790</w:t>
            </w:r>
          </w:p>
        </w:tc>
        <w:tc>
          <w:tcPr>
            <w:tcW w:w="1210" w:type="dxa"/>
            <w:vAlign w:val="center"/>
            <w:hideMark/>
          </w:tcPr>
          <w:p w14:paraId="0C6B818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4.38</w:t>
            </w:r>
          </w:p>
        </w:tc>
        <w:tc>
          <w:tcPr>
            <w:tcW w:w="1211" w:type="dxa"/>
            <w:vAlign w:val="center"/>
            <w:hideMark/>
          </w:tcPr>
          <w:p w14:paraId="1355CAF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289,340</w:t>
            </w:r>
          </w:p>
        </w:tc>
        <w:tc>
          <w:tcPr>
            <w:tcW w:w="1210" w:type="dxa"/>
            <w:vAlign w:val="center"/>
            <w:hideMark/>
          </w:tcPr>
          <w:p w14:paraId="5D57A61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14,683</w:t>
            </w:r>
          </w:p>
        </w:tc>
        <w:tc>
          <w:tcPr>
            <w:tcW w:w="1210" w:type="dxa"/>
            <w:vAlign w:val="center"/>
            <w:hideMark/>
          </w:tcPr>
          <w:p w14:paraId="068C9E9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5.07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5BAC206D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7564EA2F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B78FF31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2641D061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35F3810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May</w:t>
            </w:r>
          </w:p>
        </w:tc>
        <w:tc>
          <w:tcPr>
            <w:tcW w:w="1210" w:type="dxa"/>
            <w:vAlign w:val="center"/>
            <w:hideMark/>
          </w:tcPr>
          <w:p w14:paraId="59AA79C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373,009</w:t>
            </w:r>
          </w:p>
        </w:tc>
        <w:tc>
          <w:tcPr>
            <w:tcW w:w="1211" w:type="dxa"/>
            <w:vAlign w:val="center"/>
            <w:hideMark/>
          </w:tcPr>
          <w:p w14:paraId="7C0DDD7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15,841</w:t>
            </w:r>
          </w:p>
        </w:tc>
        <w:tc>
          <w:tcPr>
            <w:tcW w:w="1210" w:type="dxa"/>
            <w:vAlign w:val="center"/>
            <w:hideMark/>
          </w:tcPr>
          <w:p w14:paraId="3AF718B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4.25</w:t>
            </w:r>
          </w:p>
        </w:tc>
        <w:tc>
          <w:tcPr>
            <w:tcW w:w="1210" w:type="dxa"/>
            <w:vAlign w:val="center"/>
            <w:hideMark/>
          </w:tcPr>
          <w:p w14:paraId="347B2A2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392,339</w:t>
            </w:r>
          </w:p>
        </w:tc>
        <w:tc>
          <w:tcPr>
            <w:tcW w:w="1211" w:type="dxa"/>
            <w:vAlign w:val="center"/>
            <w:hideMark/>
          </w:tcPr>
          <w:p w14:paraId="740BCFB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16,267</w:t>
            </w:r>
          </w:p>
        </w:tc>
        <w:tc>
          <w:tcPr>
            <w:tcW w:w="1210" w:type="dxa"/>
            <w:vAlign w:val="center"/>
            <w:hideMark/>
          </w:tcPr>
          <w:p w14:paraId="042C5AE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4.15</w:t>
            </w:r>
          </w:p>
        </w:tc>
        <w:tc>
          <w:tcPr>
            <w:tcW w:w="1211" w:type="dxa"/>
            <w:vAlign w:val="center"/>
            <w:hideMark/>
          </w:tcPr>
          <w:p w14:paraId="34A8050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352,111</w:t>
            </w:r>
          </w:p>
        </w:tc>
        <w:tc>
          <w:tcPr>
            <w:tcW w:w="1210" w:type="dxa"/>
            <w:vAlign w:val="center"/>
            <w:hideMark/>
          </w:tcPr>
          <w:p w14:paraId="2CD6488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15,803</w:t>
            </w:r>
          </w:p>
        </w:tc>
        <w:tc>
          <w:tcPr>
            <w:tcW w:w="1210" w:type="dxa"/>
            <w:vAlign w:val="center"/>
            <w:hideMark/>
          </w:tcPr>
          <w:p w14:paraId="33A8E1C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4.49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70EA1908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5FCF3945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2BD50587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1428D076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45E3E5E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June</w:t>
            </w:r>
          </w:p>
        </w:tc>
        <w:tc>
          <w:tcPr>
            <w:tcW w:w="1210" w:type="dxa"/>
            <w:vAlign w:val="center"/>
            <w:hideMark/>
          </w:tcPr>
          <w:p w14:paraId="52F72EB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363,595</w:t>
            </w:r>
          </w:p>
        </w:tc>
        <w:tc>
          <w:tcPr>
            <w:tcW w:w="1211" w:type="dxa"/>
            <w:vAlign w:val="center"/>
            <w:hideMark/>
          </w:tcPr>
          <w:p w14:paraId="6FC75ED1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14,958</w:t>
            </w:r>
          </w:p>
        </w:tc>
        <w:tc>
          <w:tcPr>
            <w:tcW w:w="1210" w:type="dxa"/>
            <w:vAlign w:val="center"/>
            <w:hideMark/>
          </w:tcPr>
          <w:p w14:paraId="4E8D774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4.11</w:t>
            </w:r>
          </w:p>
        </w:tc>
        <w:tc>
          <w:tcPr>
            <w:tcW w:w="1210" w:type="dxa"/>
            <w:vAlign w:val="center"/>
            <w:hideMark/>
          </w:tcPr>
          <w:p w14:paraId="2426BD1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383,429</w:t>
            </w:r>
          </w:p>
        </w:tc>
        <w:tc>
          <w:tcPr>
            <w:tcW w:w="1211" w:type="dxa"/>
            <w:vAlign w:val="center"/>
            <w:hideMark/>
          </w:tcPr>
          <w:p w14:paraId="7D30AEF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15,335</w:t>
            </w:r>
          </w:p>
        </w:tc>
        <w:tc>
          <w:tcPr>
            <w:tcW w:w="1210" w:type="dxa"/>
            <w:vAlign w:val="center"/>
            <w:hideMark/>
          </w:tcPr>
          <w:p w14:paraId="4FB5EA0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4.00</w:t>
            </w:r>
          </w:p>
        </w:tc>
        <w:tc>
          <w:tcPr>
            <w:tcW w:w="1211" w:type="dxa"/>
            <w:vAlign w:val="center"/>
            <w:hideMark/>
          </w:tcPr>
          <w:p w14:paraId="10DF67A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347,798</w:t>
            </w:r>
          </w:p>
        </w:tc>
        <w:tc>
          <w:tcPr>
            <w:tcW w:w="1210" w:type="dxa"/>
            <w:vAlign w:val="center"/>
            <w:hideMark/>
          </w:tcPr>
          <w:p w14:paraId="6598677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15,462</w:t>
            </w:r>
          </w:p>
        </w:tc>
        <w:tc>
          <w:tcPr>
            <w:tcW w:w="1210" w:type="dxa"/>
            <w:vAlign w:val="center"/>
            <w:hideMark/>
          </w:tcPr>
          <w:p w14:paraId="22C5BBA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4.45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16BD192A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6F7B20C5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61A50E77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4BE8BA51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7CD2018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July</w:t>
            </w:r>
          </w:p>
        </w:tc>
        <w:tc>
          <w:tcPr>
            <w:tcW w:w="1210" w:type="dxa"/>
            <w:vAlign w:val="center"/>
            <w:hideMark/>
          </w:tcPr>
          <w:p w14:paraId="1F92716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382,046</w:t>
            </w:r>
          </w:p>
        </w:tc>
        <w:tc>
          <w:tcPr>
            <w:tcW w:w="1211" w:type="dxa"/>
            <w:vAlign w:val="center"/>
            <w:hideMark/>
          </w:tcPr>
          <w:p w14:paraId="5014C3D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15,763</w:t>
            </w:r>
          </w:p>
        </w:tc>
        <w:tc>
          <w:tcPr>
            <w:tcW w:w="1210" w:type="dxa"/>
            <w:vAlign w:val="center"/>
            <w:hideMark/>
          </w:tcPr>
          <w:p w14:paraId="47AA305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4.13</w:t>
            </w:r>
          </w:p>
        </w:tc>
        <w:tc>
          <w:tcPr>
            <w:tcW w:w="1210" w:type="dxa"/>
            <w:vAlign w:val="center"/>
            <w:hideMark/>
          </w:tcPr>
          <w:p w14:paraId="670DC25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390,692</w:t>
            </w:r>
          </w:p>
        </w:tc>
        <w:tc>
          <w:tcPr>
            <w:tcW w:w="1211" w:type="dxa"/>
            <w:vAlign w:val="center"/>
            <w:hideMark/>
          </w:tcPr>
          <w:p w14:paraId="15E54EB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16,299</w:t>
            </w:r>
          </w:p>
        </w:tc>
        <w:tc>
          <w:tcPr>
            <w:tcW w:w="1210" w:type="dxa"/>
            <w:vAlign w:val="center"/>
            <w:hideMark/>
          </w:tcPr>
          <w:p w14:paraId="19086991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4.17</w:t>
            </w:r>
          </w:p>
        </w:tc>
        <w:tc>
          <w:tcPr>
            <w:tcW w:w="1211" w:type="dxa"/>
            <w:vAlign w:val="center"/>
            <w:hideMark/>
          </w:tcPr>
          <w:p w14:paraId="72C698E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360,696</w:t>
            </w:r>
          </w:p>
        </w:tc>
        <w:tc>
          <w:tcPr>
            <w:tcW w:w="1210" w:type="dxa"/>
            <w:vAlign w:val="center"/>
            <w:hideMark/>
          </w:tcPr>
          <w:p w14:paraId="47E566E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15,968</w:t>
            </w:r>
          </w:p>
        </w:tc>
        <w:tc>
          <w:tcPr>
            <w:tcW w:w="1210" w:type="dxa"/>
            <w:vAlign w:val="center"/>
            <w:hideMark/>
          </w:tcPr>
          <w:p w14:paraId="46A8BB2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4.43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522092D8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46AE53D7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28D3441C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67648FB5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3A408E9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August </w:t>
            </w:r>
          </w:p>
        </w:tc>
        <w:tc>
          <w:tcPr>
            <w:tcW w:w="1210" w:type="dxa"/>
            <w:vAlign w:val="center"/>
            <w:hideMark/>
          </w:tcPr>
          <w:p w14:paraId="59AB168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389,045</w:t>
            </w:r>
          </w:p>
        </w:tc>
        <w:tc>
          <w:tcPr>
            <w:tcW w:w="1211" w:type="dxa"/>
            <w:vAlign w:val="center"/>
            <w:hideMark/>
          </w:tcPr>
          <w:p w14:paraId="138C844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15,740</w:t>
            </w:r>
          </w:p>
        </w:tc>
        <w:tc>
          <w:tcPr>
            <w:tcW w:w="1210" w:type="dxa"/>
            <w:vAlign w:val="center"/>
            <w:hideMark/>
          </w:tcPr>
          <w:p w14:paraId="10BA561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4.05</w:t>
            </w:r>
          </w:p>
        </w:tc>
        <w:tc>
          <w:tcPr>
            <w:tcW w:w="1210" w:type="dxa"/>
            <w:vAlign w:val="center"/>
            <w:hideMark/>
          </w:tcPr>
          <w:p w14:paraId="57860EE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411,567</w:t>
            </w:r>
          </w:p>
        </w:tc>
        <w:tc>
          <w:tcPr>
            <w:tcW w:w="1211" w:type="dxa"/>
            <w:vAlign w:val="center"/>
            <w:hideMark/>
          </w:tcPr>
          <w:p w14:paraId="4CF62CC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16,118</w:t>
            </w:r>
          </w:p>
        </w:tc>
        <w:tc>
          <w:tcPr>
            <w:tcW w:w="1210" w:type="dxa"/>
            <w:vAlign w:val="center"/>
            <w:hideMark/>
          </w:tcPr>
          <w:p w14:paraId="1B21848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3.92</w:t>
            </w:r>
          </w:p>
        </w:tc>
        <w:tc>
          <w:tcPr>
            <w:tcW w:w="1211" w:type="dxa"/>
            <w:vAlign w:val="center"/>
            <w:hideMark/>
          </w:tcPr>
          <w:p w14:paraId="6FE4D5A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364,363</w:t>
            </w:r>
          </w:p>
        </w:tc>
        <w:tc>
          <w:tcPr>
            <w:tcW w:w="1210" w:type="dxa"/>
            <w:vAlign w:val="center"/>
            <w:hideMark/>
          </w:tcPr>
          <w:p w14:paraId="38E62A0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15,305</w:t>
            </w:r>
          </w:p>
        </w:tc>
        <w:tc>
          <w:tcPr>
            <w:tcW w:w="1210" w:type="dxa"/>
            <w:vAlign w:val="center"/>
            <w:hideMark/>
          </w:tcPr>
          <w:p w14:paraId="70E678B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4.20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54B3386A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7A880C40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504AF9F8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536549D6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17EA132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September</w:t>
            </w:r>
          </w:p>
        </w:tc>
        <w:tc>
          <w:tcPr>
            <w:tcW w:w="1210" w:type="dxa"/>
            <w:vAlign w:val="center"/>
            <w:hideMark/>
          </w:tcPr>
          <w:p w14:paraId="09EEB24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401,269</w:t>
            </w:r>
          </w:p>
        </w:tc>
        <w:tc>
          <w:tcPr>
            <w:tcW w:w="1211" w:type="dxa"/>
            <w:vAlign w:val="center"/>
            <w:hideMark/>
          </w:tcPr>
          <w:p w14:paraId="253A8DE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15,178</w:t>
            </w:r>
          </w:p>
        </w:tc>
        <w:tc>
          <w:tcPr>
            <w:tcW w:w="1210" w:type="dxa"/>
            <w:vAlign w:val="center"/>
            <w:hideMark/>
          </w:tcPr>
          <w:p w14:paraId="5262F2F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3.78</w:t>
            </w:r>
          </w:p>
        </w:tc>
        <w:tc>
          <w:tcPr>
            <w:tcW w:w="1210" w:type="dxa"/>
            <w:vAlign w:val="center"/>
            <w:hideMark/>
          </w:tcPr>
          <w:p w14:paraId="3910E1D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414,767</w:t>
            </w:r>
          </w:p>
        </w:tc>
        <w:tc>
          <w:tcPr>
            <w:tcW w:w="1211" w:type="dxa"/>
            <w:vAlign w:val="center"/>
            <w:hideMark/>
          </w:tcPr>
          <w:p w14:paraId="57B4368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15,446</w:t>
            </w:r>
          </w:p>
        </w:tc>
        <w:tc>
          <w:tcPr>
            <w:tcW w:w="1210" w:type="dxa"/>
            <w:vAlign w:val="center"/>
            <w:hideMark/>
          </w:tcPr>
          <w:p w14:paraId="379D32A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3.72</w:t>
            </w:r>
          </w:p>
        </w:tc>
        <w:tc>
          <w:tcPr>
            <w:tcW w:w="1211" w:type="dxa"/>
            <w:vAlign w:val="center"/>
            <w:hideMark/>
          </w:tcPr>
          <w:p w14:paraId="24AC5D4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311,443</w:t>
            </w:r>
          </w:p>
        </w:tc>
        <w:tc>
          <w:tcPr>
            <w:tcW w:w="1210" w:type="dxa"/>
            <w:vAlign w:val="center"/>
            <w:hideMark/>
          </w:tcPr>
          <w:p w14:paraId="038319E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15,201</w:t>
            </w:r>
          </w:p>
        </w:tc>
        <w:tc>
          <w:tcPr>
            <w:tcW w:w="1210" w:type="dxa"/>
            <w:vAlign w:val="center"/>
            <w:hideMark/>
          </w:tcPr>
          <w:p w14:paraId="578573B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4.88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5B5AB58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157B23B7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015E7AB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7D98A7F0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6FCE71D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October</w:t>
            </w:r>
          </w:p>
        </w:tc>
        <w:tc>
          <w:tcPr>
            <w:tcW w:w="1210" w:type="dxa"/>
            <w:vAlign w:val="center"/>
            <w:hideMark/>
          </w:tcPr>
          <w:p w14:paraId="5DF2B39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353,417</w:t>
            </w:r>
          </w:p>
        </w:tc>
        <w:tc>
          <w:tcPr>
            <w:tcW w:w="1211" w:type="dxa"/>
            <w:vAlign w:val="center"/>
            <w:hideMark/>
          </w:tcPr>
          <w:p w14:paraId="42E0FB1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15,798</w:t>
            </w:r>
          </w:p>
        </w:tc>
        <w:tc>
          <w:tcPr>
            <w:tcW w:w="1210" w:type="dxa"/>
            <w:vAlign w:val="center"/>
            <w:hideMark/>
          </w:tcPr>
          <w:p w14:paraId="4C0D09D4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4.47</w:t>
            </w:r>
          </w:p>
        </w:tc>
        <w:tc>
          <w:tcPr>
            <w:tcW w:w="1210" w:type="dxa"/>
            <w:vAlign w:val="center"/>
            <w:hideMark/>
          </w:tcPr>
          <w:p w14:paraId="2B3EE282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379,223</w:t>
            </w:r>
          </w:p>
        </w:tc>
        <w:tc>
          <w:tcPr>
            <w:tcW w:w="1211" w:type="dxa"/>
            <w:vAlign w:val="center"/>
            <w:hideMark/>
          </w:tcPr>
          <w:p w14:paraId="26845C8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16,547</w:t>
            </w:r>
          </w:p>
        </w:tc>
        <w:tc>
          <w:tcPr>
            <w:tcW w:w="1210" w:type="dxa"/>
            <w:vAlign w:val="center"/>
            <w:hideMark/>
          </w:tcPr>
          <w:p w14:paraId="3EDFB0C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4.36</w:t>
            </w:r>
          </w:p>
        </w:tc>
        <w:tc>
          <w:tcPr>
            <w:tcW w:w="1211" w:type="dxa"/>
            <w:vAlign w:val="center"/>
            <w:hideMark/>
          </w:tcPr>
          <w:p w14:paraId="268E233B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357,885</w:t>
            </w:r>
          </w:p>
        </w:tc>
        <w:tc>
          <w:tcPr>
            <w:tcW w:w="1210" w:type="dxa"/>
            <w:vAlign w:val="center"/>
            <w:hideMark/>
          </w:tcPr>
          <w:p w14:paraId="35EA4CD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15,792</w:t>
            </w:r>
          </w:p>
        </w:tc>
        <w:tc>
          <w:tcPr>
            <w:tcW w:w="1210" w:type="dxa"/>
            <w:vAlign w:val="center"/>
            <w:hideMark/>
          </w:tcPr>
          <w:p w14:paraId="7893066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4.41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B6AB5DA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07CF4AD5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67690AA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28C484DB" w14:textId="77777777">
        <w:trPr>
          <w:trHeight w:val="330"/>
        </w:trPr>
        <w:tc>
          <w:tcPr>
            <w:tcW w:w="1210" w:type="dxa"/>
            <w:vAlign w:val="center"/>
            <w:hideMark/>
          </w:tcPr>
          <w:p w14:paraId="646FAEC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November</w:t>
            </w:r>
          </w:p>
        </w:tc>
        <w:tc>
          <w:tcPr>
            <w:tcW w:w="1210" w:type="dxa"/>
            <w:vAlign w:val="center"/>
            <w:hideMark/>
          </w:tcPr>
          <w:p w14:paraId="2B8FF2AA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332,196</w:t>
            </w:r>
          </w:p>
        </w:tc>
        <w:tc>
          <w:tcPr>
            <w:tcW w:w="1211" w:type="dxa"/>
            <w:vAlign w:val="center"/>
            <w:hideMark/>
          </w:tcPr>
          <w:p w14:paraId="4C5D215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15,464</w:t>
            </w:r>
          </w:p>
        </w:tc>
        <w:tc>
          <w:tcPr>
            <w:tcW w:w="1210" w:type="dxa"/>
            <w:vAlign w:val="center"/>
            <w:hideMark/>
          </w:tcPr>
          <w:p w14:paraId="2BD5390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4.66</w:t>
            </w:r>
          </w:p>
        </w:tc>
        <w:tc>
          <w:tcPr>
            <w:tcW w:w="1210" w:type="dxa"/>
            <w:vAlign w:val="center"/>
            <w:hideMark/>
          </w:tcPr>
          <w:p w14:paraId="2DF8EE3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352,007</w:t>
            </w:r>
          </w:p>
        </w:tc>
        <w:tc>
          <w:tcPr>
            <w:tcW w:w="1211" w:type="dxa"/>
            <w:vAlign w:val="center"/>
            <w:hideMark/>
          </w:tcPr>
          <w:p w14:paraId="41D7DB2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16,337</w:t>
            </w:r>
          </w:p>
        </w:tc>
        <w:tc>
          <w:tcPr>
            <w:tcW w:w="1210" w:type="dxa"/>
            <w:vAlign w:val="center"/>
            <w:hideMark/>
          </w:tcPr>
          <w:p w14:paraId="10FEFD8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4.64</w:t>
            </w:r>
          </w:p>
        </w:tc>
        <w:tc>
          <w:tcPr>
            <w:tcW w:w="1211" w:type="dxa"/>
            <w:vAlign w:val="center"/>
            <w:hideMark/>
          </w:tcPr>
          <w:p w14:paraId="214FCFE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314,122</w:t>
            </w:r>
          </w:p>
        </w:tc>
        <w:tc>
          <w:tcPr>
            <w:tcW w:w="1210" w:type="dxa"/>
            <w:vAlign w:val="center"/>
            <w:hideMark/>
          </w:tcPr>
          <w:p w14:paraId="0DE861F6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15,300</w:t>
            </w:r>
          </w:p>
        </w:tc>
        <w:tc>
          <w:tcPr>
            <w:tcW w:w="1210" w:type="dxa"/>
            <w:vAlign w:val="center"/>
            <w:hideMark/>
          </w:tcPr>
          <w:p w14:paraId="2702C9F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4.87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10A2FDE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6EDB2127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6793B646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  <w:tr w:rsidR="00EA66C0" w14:paraId="40D4B51E" w14:textId="77777777">
        <w:trPr>
          <w:trHeight w:val="373"/>
        </w:trPr>
        <w:tc>
          <w:tcPr>
            <w:tcW w:w="1210" w:type="dxa"/>
            <w:vAlign w:val="center"/>
            <w:hideMark/>
          </w:tcPr>
          <w:p w14:paraId="16298ED7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December</w:t>
            </w:r>
          </w:p>
        </w:tc>
        <w:tc>
          <w:tcPr>
            <w:tcW w:w="1210" w:type="dxa"/>
            <w:vAlign w:val="center"/>
            <w:hideMark/>
          </w:tcPr>
          <w:p w14:paraId="53599A4F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394,071</w:t>
            </w:r>
          </w:p>
        </w:tc>
        <w:tc>
          <w:tcPr>
            <w:tcW w:w="1211" w:type="dxa"/>
            <w:vAlign w:val="center"/>
            <w:hideMark/>
          </w:tcPr>
          <w:p w14:paraId="2F819820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15,592</w:t>
            </w:r>
          </w:p>
        </w:tc>
        <w:tc>
          <w:tcPr>
            <w:tcW w:w="1210" w:type="dxa"/>
            <w:vAlign w:val="center"/>
            <w:hideMark/>
          </w:tcPr>
          <w:p w14:paraId="19B5CBC9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3.96</w:t>
            </w:r>
          </w:p>
        </w:tc>
        <w:tc>
          <w:tcPr>
            <w:tcW w:w="1210" w:type="dxa"/>
            <w:vAlign w:val="center"/>
            <w:hideMark/>
          </w:tcPr>
          <w:p w14:paraId="6E578E6C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395,272</w:t>
            </w:r>
          </w:p>
        </w:tc>
        <w:tc>
          <w:tcPr>
            <w:tcW w:w="1211" w:type="dxa"/>
            <w:vAlign w:val="center"/>
            <w:hideMark/>
          </w:tcPr>
          <w:p w14:paraId="2FFFAC1D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16,602</w:t>
            </w:r>
          </w:p>
        </w:tc>
        <w:tc>
          <w:tcPr>
            <w:tcW w:w="1210" w:type="dxa"/>
            <w:vAlign w:val="center"/>
            <w:hideMark/>
          </w:tcPr>
          <w:p w14:paraId="7E7A972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4.20</w:t>
            </w:r>
          </w:p>
        </w:tc>
        <w:tc>
          <w:tcPr>
            <w:tcW w:w="1211" w:type="dxa"/>
            <w:vAlign w:val="center"/>
            <w:hideMark/>
          </w:tcPr>
          <w:p w14:paraId="400552A3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290,527</w:t>
            </w:r>
          </w:p>
        </w:tc>
        <w:tc>
          <w:tcPr>
            <w:tcW w:w="1210" w:type="dxa"/>
            <w:vAlign w:val="center"/>
            <w:hideMark/>
          </w:tcPr>
          <w:p w14:paraId="27401C25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14776</w:t>
            </w:r>
          </w:p>
        </w:tc>
        <w:tc>
          <w:tcPr>
            <w:tcW w:w="1210" w:type="dxa"/>
            <w:vAlign w:val="center"/>
            <w:hideMark/>
          </w:tcPr>
          <w:p w14:paraId="6184849E" w14:textId="77777777" w:rsidR="00EA66C0" w:rsidRDefault="00000000">
            <w:pPr>
              <w:spacing w:line="48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5.09</w:t>
            </w: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33E07EAF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shd w:val="pct20" w:color="auto" w:fill="auto"/>
            <w:vAlign w:val="center"/>
            <w:hideMark/>
          </w:tcPr>
          <w:p w14:paraId="4668DEE2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11" w:type="dxa"/>
            <w:shd w:val="pct20" w:color="auto" w:fill="auto"/>
            <w:vAlign w:val="center"/>
            <w:hideMark/>
          </w:tcPr>
          <w:p w14:paraId="403B5FBD" w14:textId="77777777" w:rsidR="00EA66C0" w:rsidRDefault="00EA66C0">
            <w:pPr>
              <w:spacing w:line="48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3B352979" w14:textId="77777777" w:rsidR="00EA66C0" w:rsidRDefault="00000000">
      <w:pPr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Data are presented as number (%).</w:t>
      </w:r>
    </w:p>
    <w:p w14:paraId="0184DE2D" w14:textId="77777777" w:rsidR="00EA66C0" w:rsidRDefault="00000000">
      <w:pPr>
        <w:spacing w:line="480" w:lineRule="auto"/>
        <w:rPr>
          <w:rFonts w:eastAsiaTheme="minorEastAsia"/>
          <w:sz w:val="20"/>
          <w:szCs w:val="20"/>
          <w:lang w:val="en-US" w:eastAsia="ko-KR"/>
        </w:rPr>
        <w:sectPr w:rsidR="00EA66C0">
          <w:pgSz w:w="16840" w:h="11900" w:orient="landscape"/>
          <w:pgMar w:top="1417" w:right="703" w:bottom="1417" w:left="442" w:header="708" w:footer="708" w:gutter="0"/>
          <w:cols w:space="708"/>
          <w:docGrid w:linePitch="360"/>
        </w:sectPr>
      </w:pPr>
      <w:r>
        <w:rPr>
          <w:rFonts w:eastAsiaTheme="minorEastAsia"/>
          <w:sz w:val="20"/>
          <w:szCs w:val="20"/>
          <w:lang w:val="en-US" w:eastAsia="ko-KR"/>
        </w:rPr>
        <w:t xml:space="preserve">ED, emergency department; ICU, intensive care unit; COVID-19, coronavirus disease </w:t>
      </w:r>
    </w:p>
    <w:p w14:paraId="614C284E" w14:textId="751D6FA8" w:rsidR="00EA66C0" w:rsidRDefault="0002471F">
      <w:pPr>
        <w:snapToGrid w:val="0"/>
        <w:spacing w:line="480" w:lineRule="auto"/>
        <w:rPr>
          <w:rFonts w:eastAsia="바탕"/>
          <w:b/>
          <w:bCs/>
          <w:sz w:val="20"/>
          <w:lang w:val="en-US"/>
        </w:rPr>
      </w:pPr>
      <w:bookmarkStart w:id="4" w:name="_Hlk154816998"/>
      <w:r w:rsidRPr="0002471F">
        <w:rPr>
          <w:rFonts w:eastAsia="바탕"/>
          <w:b/>
          <w:bCs/>
          <w:sz w:val="20"/>
          <w:lang w:val="en-US"/>
        </w:rPr>
        <w:lastRenderedPageBreak/>
        <w:t>Supplementary</w:t>
      </w:r>
      <w:r>
        <w:rPr>
          <w:rFonts w:eastAsia="바탕"/>
          <w:b/>
          <w:bCs/>
          <w:sz w:val="20"/>
          <w:lang w:val="en-US"/>
        </w:rPr>
        <w:t xml:space="preserve"> Table 3. The ten most common primary diagnoses for ED-to-ICU admission before and during the COVID-19 pandemic </w:t>
      </w:r>
    </w:p>
    <w:bookmarkEnd w:id="4"/>
    <w:tbl>
      <w:tblPr>
        <w:tblStyle w:val="a3"/>
        <w:tblW w:w="10486" w:type="dxa"/>
        <w:tblLayout w:type="fixed"/>
        <w:tblLook w:val="04A0" w:firstRow="1" w:lastRow="0" w:firstColumn="1" w:lastColumn="0" w:noHBand="0" w:noVBand="1"/>
      </w:tblPr>
      <w:tblGrid>
        <w:gridCol w:w="737"/>
        <w:gridCol w:w="1888"/>
        <w:gridCol w:w="1888"/>
        <w:gridCol w:w="737"/>
        <w:gridCol w:w="1871"/>
        <w:gridCol w:w="1871"/>
        <w:gridCol w:w="1494"/>
      </w:tblGrid>
      <w:tr w:rsidR="00EA66C0" w14:paraId="473465C9" w14:textId="77777777">
        <w:tc>
          <w:tcPr>
            <w:tcW w:w="737" w:type="dxa"/>
            <w:vMerge w:val="restart"/>
            <w:tcBorders>
              <w:left w:val="nil"/>
              <w:right w:val="nil"/>
            </w:tcBorders>
          </w:tcPr>
          <w:p w14:paraId="41B32EE0" w14:textId="77777777" w:rsidR="00EA66C0" w:rsidRDefault="00EA66C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3776" w:type="dxa"/>
            <w:gridSpan w:val="2"/>
            <w:tcBorders>
              <w:left w:val="nil"/>
              <w:bottom w:val="single" w:sz="4" w:space="0" w:color="auto"/>
            </w:tcBorders>
          </w:tcPr>
          <w:p w14:paraId="121A13F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 xml:space="preserve">Before the COVID-19 pandemic </w:t>
            </w:r>
          </w:p>
        </w:tc>
        <w:tc>
          <w:tcPr>
            <w:tcW w:w="737" w:type="dxa"/>
            <w:vMerge w:val="restart"/>
            <w:tcBorders>
              <w:right w:val="nil"/>
            </w:tcBorders>
          </w:tcPr>
          <w:p w14:paraId="0D7C438C" w14:textId="77777777" w:rsidR="00EA66C0" w:rsidRDefault="00EA66C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5236" w:type="dxa"/>
            <w:gridSpan w:val="3"/>
            <w:tcBorders>
              <w:left w:val="nil"/>
              <w:bottom w:val="nil"/>
              <w:right w:val="nil"/>
            </w:tcBorders>
          </w:tcPr>
          <w:p w14:paraId="7338056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 xml:space="preserve">During the COVID-19 pandemic </w:t>
            </w:r>
          </w:p>
        </w:tc>
      </w:tr>
      <w:tr w:rsidR="00EA66C0" w14:paraId="7207E2F4" w14:textId="77777777">
        <w:tc>
          <w:tcPr>
            <w:tcW w:w="737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031A55D" w14:textId="77777777" w:rsidR="00EA66C0" w:rsidRDefault="00EA66C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A1B65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Primary diagnosis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5DD852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n (%)</w:t>
            </w:r>
          </w:p>
        </w:tc>
        <w:tc>
          <w:tcPr>
            <w:tcW w:w="737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AA0BB" w14:textId="77777777" w:rsidR="00EA66C0" w:rsidRDefault="00EA66C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05052B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Primary diagnosis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4175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n (%)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21355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P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value</w:t>
            </w:r>
            <w:r>
              <w:rPr>
                <w:rFonts w:ascii="맑은 고딕" w:eastAsia="맑은 고딕" w:hAnsi="맑은 고딕" w:hint="eastAsia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EA66C0" w14:paraId="5AE1CC8C" w14:textId="77777777"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AC1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FC9DB7B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Acute myocardial infarction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0DF5DCB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35,608 (9.5)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  <w:right w:val="nil"/>
            </w:tcBorders>
          </w:tcPr>
          <w:p w14:paraId="2C20586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FED3D8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Acute myocardial infarction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B5EBF3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17,315 (9.6)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CDA39A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 w:hint="eastAsia"/>
                <w:sz w:val="20"/>
                <w:lang w:val="en-US"/>
              </w:rPr>
              <w:t>0</w:t>
            </w:r>
            <w:r>
              <w:rPr>
                <w:rFonts w:eastAsia="바탕"/>
                <w:sz w:val="20"/>
                <w:lang w:val="en-US"/>
              </w:rPr>
              <w:t>.573</w:t>
            </w:r>
          </w:p>
        </w:tc>
      </w:tr>
      <w:tr w:rsidR="00EA66C0" w14:paraId="0AB2AA55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37108D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2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26C6B0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Intracranial injury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5453E13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27,563 (7.4)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30F3A86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0E8FBAA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 xml:space="preserve">Cerebral infarction 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3AF8669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14,143 (7.8)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684AB7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 w:hint="eastAsia"/>
                <w:sz w:val="20"/>
                <w:lang w:val="en-US"/>
              </w:rPr>
              <w:t>0</w:t>
            </w:r>
            <w:r>
              <w:rPr>
                <w:rFonts w:eastAsia="바탕"/>
                <w:sz w:val="20"/>
                <w:lang w:val="en-US"/>
              </w:rPr>
              <w:t>.005</w:t>
            </w:r>
          </w:p>
        </w:tc>
      </w:tr>
      <w:tr w:rsidR="00EA66C0" w14:paraId="6669A676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033D37E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3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E96552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Cerebral infarction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484DE13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27,064 (7.2)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6EC6956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35DC19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Intracranial injury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ED8BAC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12,955 (7.2)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B819CC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&lt;0.001</w:t>
            </w:r>
          </w:p>
        </w:tc>
      </w:tr>
      <w:tr w:rsidR="00EA66C0" w14:paraId="2F4CEAED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7E23E10B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4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17D5D9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Intracerebral hemorrhage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017BD6E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17,818 (4.8)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06F0111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2CD846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Intracerebral hemorrhage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15CC32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8,987 (5.0)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3EB7E15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 w:hint="eastAsia"/>
                <w:sz w:val="20"/>
                <w:lang w:val="en-US"/>
              </w:rPr>
              <w:t>0</w:t>
            </w:r>
            <w:r>
              <w:rPr>
                <w:rFonts w:eastAsia="바탕"/>
                <w:sz w:val="20"/>
                <w:lang w:val="en-US"/>
              </w:rPr>
              <w:t>.001</w:t>
            </w:r>
          </w:p>
        </w:tc>
      </w:tr>
      <w:tr w:rsidR="00EA66C0" w14:paraId="02F21F2A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34DD468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5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27E7D7B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Pneumonia, organism unspecified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044AD76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17,207 (4.6)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4635668D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09ABFF8D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Pneumonia, organism unspecified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26776CE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7,927 (4.4)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E99F25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&lt;0.001</w:t>
            </w:r>
          </w:p>
        </w:tc>
      </w:tr>
      <w:tr w:rsidR="00EA66C0" w14:paraId="5DEB4F04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1DA24CE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6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66CE7B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Subarachnoid hemorrhage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4B01AE3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11,108 (3.0)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1A848AD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9CFD37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Subarachnoid hemorrhage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4F06940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5,515 (3.0)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602A11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 w:hint="eastAsia"/>
                <w:sz w:val="20"/>
                <w:lang w:val="en-US"/>
              </w:rPr>
              <w:t>0</w:t>
            </w:r>
            <w:r>
              <w:rPr>
                <w:rFonts w:eastAsia="바탕"/>
                <w:sz w:val="20"/>
                <w:lang w:val="en-US"/>
              </w:rPr>
              <w:t>.1121</w:t>
            </w:r>
          </w:p>
        </w:tc>
      </w:tr>
      <w:tr w:rsidR="00EA66C0" w14:paraId="4A48C69B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27432DF0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7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7460FB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Heart failure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35D62D9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10,486 (2.8)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74A087B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D848E9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Heart failure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715E24F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4,914 (2.7)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43BD253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 w:hint="eastAsia"/>
                <w:sz w:val="20"/>
                <w:lang w:val="en-US"/>
              </w:rPr>
              <w:t>0</w:t>
            </w:r>
            <w:r>
              <w:rPr>
                <w:rFonts w:eastAsia="바탕"/>
                <w:sz w:val="20"/>
                <w:lang w:val="en-US"/>
              </w:rPr>
              <w:t>.061</w:t>
            </w:r>
          </w:p>
        </w:tc>
      </w:tr>
      <w:tr w:rsidR="00EA66C0" w14:paraId="75B9069D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64F8012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8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1DF2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Other sepsis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74EAEA2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8,099 (2.2)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7324E3B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069F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Other sepsis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672F545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4,375 (2.4)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1DC3A5B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&lt;0.001</w:t>
            </w:r>
          </w:p>
        </w:tc>
      </w:tr>
      <w:tr w:rsidR="00EA66C0" w14:paraId="0BD92648" w14:textId="77777777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563FAA8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9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DA95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Angina pectoris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</w:tcPr>
          <w:p w14:paraId="66D5BC6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6,507 (1.7)</w:t>
            </w:r>
          </w:p>
        </w:tc>
        <w:tc>
          <w:tcPr>
            <w:tcW w:w="737" w:type="dxa"/>
            <w:tcBorders>
              <w:top w:val="nil"/>
              <w:bottom w:val="nil"/>
              <w:right w:val="nil"/>
            </w:tcBorders>
          </w:tcPr>
          <w:p w14:paraId="30A9A0C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A82BB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 xml:space="preserve">Acute renal </w:t>
            </w:r>
            <w:proofErr w:type="spellStart"/>
            <w:r>
              <w:rPr>
                <w:rFonts w:eastAsia="바탕"/>
                <w:sz w:val="20"/>
                <w:lang w:val="en-US"/>
              </w:rPr>
              <w:t>failure</w:t>
            </w:r>
            <w:r>
              <w:rPr>
                <w:rFonts w:eastAsia="바탕"/>
                <w:sz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3AC62ADB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3,035 (1.7)</w:t>
            </w:r>
            <w:r>
              <w:rPr>
                <w:rFonts w:eastAsia="맑은 고딕"/>
                <w:color w:val="000000"/>
                <w:sz w:val="20"/>
                <w:vertAlign w:val="superscript"/>
                <w:lang w:val="en-US"/>
              </w:rPr>
              <w:t>b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</w:tcPr>
          <w:p w14:paraId="5F66F530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&lt;0.001</w:t>
            </w:r>
          </w:p>
        </w:tc>
      </w:tr>
      <w:tr w:rsidR="00EA66C0" w14:paraId="55C84AD0" w14:textId="77777777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E449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10</w:t>
            </w: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BA23A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Cardiac arrest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DF7A75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6,006 (1.6)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  <w:right w:val="nil"/>
            </w:tcBorders>
          </w:tcPr>
          <w:p w14:paraId="70DBD2B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10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2F274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Cardiac arrest</w:t>
            </w: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  <w:shd w:val="clear" w:color="000000" w:fill="auto"/>
            <w:vAlign w:val="center"/>
          </w:tcPr>
          <w:p w14:paraId="780260D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2,619 (1.5)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vAlign w:val="center"/>
          </w:tcPr>
          <w:p w14:paraId="0E4A5C6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&lt;0.001</w:t>
            </w:r>
          </w:p>
        </w:tc>
      </w:tr>
    </w:tbl>
    <w:p w14:paraId="7FEAF483" w14:textId="77777777" w:rsidR="00EA66C0" w:rsidRDefault="00000000">
      <w:pPr>
        <w:spacing w:line="480" w:lineRule="auto"/>
        <w:rPr>
          <w:rFonts w:eastAsia="바탕"/>
          <w:sz w:val="20"/>
          <w:lang w:val="en-US"/>
        </w:rPr>
      </w:pPr>
      <w:r>
        <w:rPr>
          <w:rFonts w:eastAsia="바탕"/>
          <w:sz w:val="20"/>
          <w:lang w:val="en-US"/>
        </w:rPr>
        <w:t xml:space="preserve">Data are presented as </w:t>
      </w:r>
      <w:r>
        <w:rPr>
          <w:rFonts w:eastAsia="바탕"/>
          <w:sz w:val="20"/>
          <w:szCs w:val="20"/>
          <w:lang w:val="en-US"/>
        </w:rPr>
        <w:t>numbers</w:t>
      </w:r>
      <w:r>
        <w:rPr>
          <w:rFonts w:eastAsia="바탕"/>
          <w:sz w:val="20"/>
          <w:lang w:val="en-US"/>
        </w:rPr>
        <w:t xml:space="preserve"> (%).</w:t>
      </w:r>
    </w:p>
    <w:p w14:paraId="73B33574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r>
        <w:rPr>
          <w:rFonts w:eastAsiaTheme="minorEastAsia"/>
          <w:sz w:val="20"/>
          <w:lang w:val="en-US"/>
        </w:rPr>
        <w:t>ED, emergency department; ICU, intensive care unit; COVID-19, coronavirus disease</w:t>
      </w:r>
    </w:p>
    <w:p w14:paraId="3D16AAB0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proofErr w:type="spellStart"/>
      <w:r>
        <w:rPr>
          <w:rFonts w:eastAsiaTheme="minorEastAsia"/>
          <w:sz w:val="20"/>
          <w:vertAlign w:val="superscript"/>
          <w:lang w:val="en-US"/>
        </w:rPr>
        <w:t>a</w:t>
      </w:r>
      <w:r>
        <w:rPr>
          <w:rFonts w:eastAsiaTheme="minorEastAsia"/>
          <w:i/>
          <w:sz w:val="20"/>
          <w:lang w:val="en-US"/>
        </w:rPr>
        <w:t>P</w:t>
      </w:r>
      <w:proofErr w:type="spellEnd"/>
      <w:r>
        <w:rPr>
          <w:rFonts w:eastAsiaTheme="minorEastAsia"/>
          <w:sz w:val="20"/>
          <w:lang w:val="en-US"/>
        </w:rPr>
        <w:t xml:space="preserve"> values for each diagnosis during the COVID-19 pandemic period were calculated relative to the same diagnosis before the COVID-19 pandemic period.</w:t>
      </w:r>
    </w:p>
    <w:p w14:paraId="299EEC0B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proofErr w:type="spellStart"/>
      <w:r>
        <w:rPr>
          <w:rFonts w:eastAsiaTheme="minorEastAsia"/>
          <w:sz w:val="20"/>
          <w:vertAlign w:val="superscript"/>
          <w:lang w:val="en-US"/>
        </w:rPr>
        <w:t>b</w:t>
      </w:r>
      <w:r>
        <w:rPr>
          <w:rFonts w:eastAsiaTheme="minorEastAsia"/>
          <w:sz w:val="20"/>
          <w:lang w:val="en-US"/>
        </w:rPr>
        <w:t>The</w:t>
      </w:r>
      <w:proofErr w:type="spellEnd"/>
      <w:r>
        <w:rPr>
          <w:rFonts w:eastAsiaTheme="minorEastAsia"/>
          <w:sz w:val="20"/>
          <w:lang w:val="en-US"/>
        </w:rPr>
        <w:t xml:space="preserve"> number and proportion of ED-to-ICU admissions for acute renal failure before the pandemic period were 5,339 and 1.4%, respectively.</w:t>
      </w:r>
    </w:p>
    <w:p w14:paraId="50D22E1F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r>
        <w:rPr>
          <w:rFonts w:eastAsiaTheme="minorEastAsia"/>
          <w:sz w:val="20"/>
          <w:lang w:val="en-US"/>
        </w:rPr>
        <w:br w:type="page"/>
      </w:r>
    </w:p>
    <w:p w14:paraId="2A404A15" w14:textId="5F72504C" w:rsidR="00EA66C0" w:rsidRDefault="0002471F">
      <w:pPr>
        <w:spacing w:line="480" w:lineRule="auto"/>
        <w:rPr>
          <w:rFonts w:eastAsiaTheme="minorEastAsia"/>
          <w:b/>
          <w:bCs/>
          <w:sz w:val="20"/>
          <w:lang w:val="en-US"/>
        </w:rPr>
      </w:pPr>
      <w:bookmarkStart w:id="5" w:name="_Hlk148692933"/>
      <w:r w:rsidRPr="0002471F">
        <w:rPr>
          <w:rFonts w:eastAsiaTheme="minorEastAsia"/>
          <w:b/>
          <w:bCs/>
          <w:sz w:val="20"/>
          <w:lang w:val="en-US"/>
        </w:rPr>
        <w:lastRenderedPageBreak/>
        <w:t>Supplementary</w:t>
      </w:r>
      <w:r>
        <w:rPr>
          <w:rFonts w:eastAsiaTheme="minorEastAsia"/>
          <w:b/>
          <w:bCs/>
          <w:sz w:val="20"/>
          <w:lang w:val="en-US"/>
        </w:rPr>
        <w:t xml:space="preserve"> Table 4. The top ten primary diagnoses with </w:t>
      </w:r>
      <w:r>
        <w:rPr>
          <w:rFonts w:eastAsiaTheme="minorEastAsia"/>
          <w:b/>
          <w:bCs/>
          <w:sz w:val="20"/>
          <w:szCs w:val="20"/>
          <w:lang w:val="en-US" w:eastAsia="ko-KR"/>
        </w:rPr>
        <w:t xml:space="preserve">the </w:t>
      </w:r>
      <w:r>
        <w:rPr>
          <w:rFonts w:eastAsiaTheme="minorEastAsia"/>
          <w:b/>
          <w:bCs/>
          <w:sz w:val="20"/>
          <w:lang w:val="en-US"/>
        </w:rPr>
        <w:t xml:space="preserve">highest number of deaths </w:t>
      </w:r>
      <w:r>
        <w:rPr>
          <w:rFonts w:eastAsiaTheme="minorEastAsia"/>
          <w:b/>
          <w:bCs/>
          <w:sz w:val="20"/>
          <w:szCs w:val="20"/>
          <w:lang w:val="en-US" w:eastAsia="ko-KR"/>
        </w:rPr>
        <w:t>among</w:t>
      </w:r>
      <w:r>
        <w:rPr>
          <w:rFonts w:eastAsiaTheme="minorEastAsia"/>
          <w:b/>
          <w:bCs/>
          <w:sz w:val="20"/>
          <w:lang w:val="en-US"/>
        </w:rPr>
        <w:t xml:space="preserve"> ED-to-ICU admission </w:t>
      </w:r>
      <w:r>
        <w:rPr>
          <w:rFonts w:eastAsiaTheme="minorEastAsia"/>
          <w:b/>
          <w:bCs/>
          <w:sz w:val="20"/>
          <w:szCs w:val="20"/>
          <w:lang w:val="en-US" w:eastAsia="ko-KR"/>
        </w:rPr>
        <w:t xml:space="preserve">cases </w:t>
      </w:r>
      <w:r>
        <w:rPr>
          <w:rFonts w:eastAsiaTheme="minorEastAsia"/>
          <w:b/>
          <w:bCs/>
          <w:sz w:val="20"/>
          <w:lang w:val="en-US"/>
        </w:rPr>
        <w:t>before and during the COVID-19 pandemic</w:t>
      </w:r>
    </w:p>
    <w:bookmarkEnd w:id="5"/>
    <w:tbl>
      <w:tblPr>
        <w:tblStyle w:val="a3"/>
        <w:tblW w:w="10486" w:type="dxa"/>
        <w:tblLayout w:type="fixed"/>
        <w:tblLook w:val="04A0" w:firstRow="1" w:lastRow="0" w:firstColumn="1" w:lastColumn="0" w:noHBand="0" w:noVBand="1"/>
      </w:tblPr>
      <w:tblGrid>
        <w:gridCol w:w="737"/>
        <w:gridCol w:w="1888"/>
        <w:gridCol w:w="1888"/>
        <w:gridCol w:w="737"/>
        <w:gridCol w:w="1871"/>
        <w:gridCol w:w="1951"/>
        <w:gridCol w:w="1414"/>
      </w:tblGrid>
      <w:tr w:rsidR="00924FE0" w14:paraId="7197CDC4" w14:textId="77777777" w:rsidTr="00924FE0">
        <w:tc>
          <w:tcPr>
            <w:tcW w:w="737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7F66D3E7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377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DC41AD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 xml:space="preserve">Before the COVID-19 pandemic </w:t>
            </w:r>
          </w:p>
        </w:tc>
        <w:tc>
          <w:tcPr>
            <w:tcW w:w="737" w:type="dxa"/>
            <w:vMerge w:val="restart"/>
            <w:tcBorders>
              <w:right w:val="single" w:sz="4" w:space="0" w:color="auto"/>
            </w:tcBorders>
            <w:vAlign w:val="center"/>
          </w:tcPr>
          <w:p w14:paraId="6AD04DF5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382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0F2F4" w14:textId="4A01791A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 xml:space="preserve">During the COVID-19 pandemic </w:t>
            </w:r>
          </w:p>
        </w:tc>
        <w:tc>
          <w:tcPr>
            <w:tcW w:w="1414" w:type="dxa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14:paraId="544B8E1D" w14:textId="0B6F8073" w:rsidR="00924FE0" w:rsidRDefault="00924FE0" w:rsidP="00E761F7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i/>
                <w:sz w:val="20"/>
                <w:lang w:val="en-US"/>
              </w:rPr>
              <w:t>P</w:t>
            </w:r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value</w:t>
            </w:r>
            <w:r>
              <w:rPr>
                <w:rFonts w:ascii="맑은 고딕" w:eastAsia="맑은 고딕" w:hAnsi="맑은 고딕" w:hint="eastAsia"/>
                <w:sz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924FE0" w14:paraId="167F792A" w14:textId="77777777" w:rsidTr="00924FE0">
        <w:tc>
          <w:tcPr>
            <w:tcW w:w="7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DD33C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5D8886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Primary diagnosis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73D1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n (in-hospital mortality %)</w:t>
            </w:r>
          </w:p>
        </w:tc>
        <w:tc>
          <w:tcPr>
            <w:tcW w:w="73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EB92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A8274A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Primary diagnosis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2743" w14:textId="7777777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n (in-hospital mortality %)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07060A" w14:textId="1F834EB7" w:rsidR="00924FE0" w:rsidRDefault="00924FE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</w:p>
        </w:tc>
      </w:tr>
      <w:tr w:rsidR="00EA66C0" w14:paraId="414E9C36" w14:textId="77777777" w:rsidTr="00924FE0"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57F75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0B83EC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Pneumonia, organism unspecified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74C923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5,171 (30.1%)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2E80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DB50E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Pneumonia, organism unspecified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BB358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2,491 (31.4)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029D0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0.028</w:t>
            </w:r>
          </w:p>
        </w:tc>
      </w:tr>
      <w:tr w:rsidR="00EA66C0" w14:paraId="5755E073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FCBA3D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2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58B82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Intracranial injury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9EB78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3,829 (13.9)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F337F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B7DA7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Intracranial injury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452D9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1,876 (14.5)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F21D2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0.112</w:t>
            </w:r>
          </w:p>
        </w:tc>
      </w:tr>
      <w:tr w:rsidR="00EA66C0" w14:paraId="03EB6613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906FD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3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1FAA0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Intracerebral hemorrhage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DCAB25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2,999 (16.8)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428D81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F61F4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Intracerebral hemorrhage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1AC0A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1,558 (17.3)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5CD88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0.299</w:t>
            </w:r>
          </w:p>
        </w:tc>
      </w:tr>
      <w:tr w:rsidR="00EA66C0" w14:paraId="6DEB607B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B78EC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4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ECC0F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Cardiac arrest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9B3430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2,953 (48.9)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2057E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DA62BD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 xml:space="preserve">Other sepsis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0AAA5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1,461 (33.4)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1351ECD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0.662</w:t>
            </w:r>
          </w:p>
        </w:tc>
      </w:tr>
      <w:tr w:rsidR="00EA66C0" w14:paraId="4FF155B8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E14FD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5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C195F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Other sepsis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420D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2,736 (33.8)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78CC3B3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3CA3F0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Cardiac arrest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69F5F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1,362 (52.0)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0E056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0.015</w:t>
            </w:r>
          </w:p>
        </w:tc>
      </w:tr>
      <w:tr w:rsidR="00EA66C0" w14:paraId="003C0057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725AD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6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14ED7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Acute myocardial infarction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E78B2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2,651 (7.4)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CD35B7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680871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Acute myocardial infarction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8C3C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1,330 (7.7)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1B4BE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0.334</w:t>
            </w:r>
          </w:p>
        </w:tc>
      </w:tr>
      <w:tr w:rsidR="00EA66C0" w14:paraId="2DD8B50E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E5C327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7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7C75D4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Cerebral infarction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C112D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2,113 (7.8)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FDE4A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39CD3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Cerebral infarction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683463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 xml:space="preserve"> 1,228 (8.7)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29C0D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0.002</w:t>
            </w:r>
          </w:p>
        </w:tc>
      </w:tr>
      <w:tr w:rsidR="00EA66C0" w14:paraId="1AF0C2D7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A69A9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8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85C87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Subarachnoid hemorrhage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68FBE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1,933 (17.4)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49502B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95337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Subarachnoid hemorrhage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43D0A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1,002 (18.2)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806762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0.222</w:t>
            </w:r>
          </w:p>
        </w:tc>
      </w:tr>
      <w:tr w:rsidR="00EA66C0" w14:paraId="04E7E3CB" w14:textId="77777777" w:rsidTr="00924FE0"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6F7CD0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9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D13EEB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Shock, not elsewhere classified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B989F9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1,652 (39.5)</w:t>
            </w:r>
          </w:p>
        </w:tc>
        <w:tc>
          <w:tcPr>
            <w:tcW w:w="73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EEBE5E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09FCBB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Shock, not elsewhere classified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3170F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973 (39.5)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C6B3AD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0.991</w:t>
            </w:r>
          </w:p>
        </w:tc>
      </w:tr>
      <w:tr w:rsidR="00EA66C0" w14:paraId="14BBC865" w14:textId="77777777" w:rsidTr="00924FE0"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AA49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10</w:t>
            </w:r>
          </w:p>
        </w:tc>
        <w:tc>
          <w:tcPr>
            <w:tcW w:w="1888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C29C18C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Heart failure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FFA2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color w:val="000000"/>
                <w:sz w:val="20"/>
                <w:lang w:val="en-US"/>
              </w:rPr>
              <w:t>1,443</w:t>
            </w:r>
            <w:r>
              <w:rPr>
                <w:rFonts w:eastAsia="맑은 고딕" w:hint="eastAsia"/>
                <w:color w:val="000000"/>
                <w:sz w:val="20"/>
                <w:lang w:val="en-US"/>
              </w:rPr>
              <w:t xml:space="preserve"> </w:t>
            </w:r>
            <w:r>
              <w:rPr>
                <w:rFonts w:eastAsia="맑은 고딕"/>
                <w:color w:val="000000"/>
                <w:sz w:val="20"/>
                <w:lang w:val="en-US"/>
              </w:rPr>
              <w:t>(13.8)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5D9A6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10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BBB6915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바탕"/>
                <w:sz w:val="20"/>
                <w:lang w:val="en-US"/>
              </w:rPr>
              <w:t>Heart failure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B11CF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667 (13.6)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72178" w14:textId="77777777" w:rsidR="00EA66C0" w:rsidRDefault="00000000">
            <w:pPr>
              <w:snapToGrid w:val="0"/>
              <w:spacing w:line="480" w:lineRule="auto"/>
              <w:jc w:val="center"/>
              <w:rPr>
                <w:rFonts w:eastAsia="바탕"/>
                <w:sz w:val="20"/>
                <w:lang w:val="en-US"/>
              </w:rPr>
            </w:pPr>
            <w:r>
              <w:rPr>
                <w:rFonts w:eastAsia="맑은 고딕"/>
                <w:sz w:val="20"/>
                <w:lang w:val="en-US"/>
              </w:rPr>
              <w:t>0.752</w:t>
            </w:r>
          </w:p>
        </w:tc>
      </w:tr>
    </w:tbl>
    <w:p w14:paraId="03038F54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r>
        <w:rPr>
          <w:rFonts w:eastAsiaTheme="minorEastAsia"/>
          <w:sz w:val="20"/>
          <w:lang w:val="en-US"/>
        </w:rPr>
        <w:t xml:space="preserve">Data are presented as </w:t>
      </w:r>
      <w:r>
        <w:rPr>
          <w:rFonts w:eastAsiaTheme="minorEastAsia"/>
          <w:sz w:val="20"/>
          <w:szCs w:val="20"/>
          <w:lang w:val="en-US" w:eastAsia="ko-KR"/>
        </w:rPr>
        <w:t>numbers</w:t>
      </w:r>
      <w:r>
        <w:rPr>
          <w:rFonts w:eastAsiaTheme="minorEastAsia"/>
          <w:sz w:val="20"/>
          <w:lang w:val="en-US"/>
        </w:rPr>
        <w:t xml:space="preserve"> (%).</w:t>
      </w:r>
    </w:p>
    <w:p w14:paraId="3A9E4BAE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r>
        <w:rPr>
          <w:rFonts w:eastAsiaTheme="minorEastAsia"/>
          <w:sz w:val="20"/>
          <w:lang w:val="en-US"/>
        </w:rPr>
        <w:t xml:space="preserve">ED, emergency department; ICU, intensive care unit; COVID-19, coronavirus disease </w:t>
      </w:r>
    </w:p>
    <w:p w14:paraId="65CA1499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proofErr w:type="spellStart"/>
      <w:r>
        <w:rPr>
          <w:rFonts w:eastAsiaTheme="minorEastAsia"/>
          <w:sz w:val="20"/>
          <w:vertAlign w:val="superscript"/>
          <w:lang w:val="en-US"/>
        </w:rPr>
        <w:t>a</w:t>
      </w:r>
      <w:r>
        <w:rPr>
          <w:rFonts w:eastAsiaTheme="minorEastAsia"/>
          <w:i/>
          <w:sz w:val="20"/>
          <w:lang w:val="en-US"/>
        </w:rPr>
        <w:t>P</w:t>
      </w:r>
      <w:proofErr w:type="spellEnd"/>
      <w:r>
        <w:rPr>
          <w:rFonts w:eastAsiaTheme="minorEastAsia"/>
          <w:sz w:val="20"/>
          <w:lang w:val="en-US"/>
        </w:rPr>
        <w:t xml:space="preserve"> values for each diagnosis during the COVID-19 pandemic were calculated relative to the same diagnosis before the COVID-19 pandemic.</w:t>
      </w:r>
    </w:p>
    <w:p w14:paraId="14851FE1" w14:textId="77777777" w:rsidR="00EA66C0" w:rsidRDefault="00EA66C0">
      <w:pPr>
        <w:spacing w:line="480" w:lineRule="auto"/>
        <w:rPr>
          <w:rFonts w:eastAsiaTheme="minorEastAsia"/>
          <w:sz w:val="20"/>
          <w:lang w:val="en-US"/>
        </w:rPr>
      </w:pPr>
    </w:p>
    <w:p w14:paraId="5224BC99" w14:textId="77777777" w:rsidR="00EA66C0" w:rsidRDefault="00000000">
      <w:pPr>
        <w:spacing w:line="480" w:lineRule="auto"/>
        <w:rPr>
          <w:rFonts w:eastAsiaTheme="minorEastAsia"/>
          <w:sz w:val="20"/>
          <w:lang w:val="en-US"/>
        </w:rPr>
      </w:pPr>
      <w:r>
        <w:rPr>
          <w:rFonts w:eastAsiaTheme="minorEastAsia"/>
          <w:sz w:val="20"/>
          <w:lang w:val="en-US"/>
        </w:rPr>
        <w:br w:type="page"/>
      </w:r>
    </w:p>
    <w:p w14:paraId="66642CD2" w14:textId="1CAB0EB7" w:rsidR="00EA66C0" w:rsidRDefault="0002471F">
      <w:pPr>
        <w:spacing w:line="480" w:lineRule="auto"/>
        <w:rPr>
          <w:rFonts w:eastAsiaTheme="minorEastAsia"/>
          <w:b/>
          <w:bCs/>
          <w:sz w:val="20"/>
          <w:lang w:val="en-US"/>
        </w:rPr>
      </w:pPr>
      <w:bookmarkStart w:id="6" w:name="_Hlk154817014"/>
      <w:r w:rsidRPr="0002471F">
        <w:rPr>
          <w:rFonts w:eastAsiaTheme="minorEastAsia"/>
          <w:b/>
          <w:bCs/>
          <w:sz w:val="20"/>
          <w:lang w:val="en-US"/>
        </w:rPr>
        <w:lastRenderedPageBreak/>
        <w:t>Supplementary</w:t>
      </w:r>
      <w:r>
        <w:rPr>
          <w:rFonts w:eastAsiaTheme="minorEastAsia"/>
          <w:b/>
          <w:bCs/>
          <w:sz w:val="20"/>
          <w:lang w:val="en-US"/>
        </w:rPr>
        <w:t xml:space="preserve"> Table 5.</w:t>
      </w:r>
      <w:r>
        <w:rPr>
          <w:b/>
          <w:bCs/>
          <w:lang w:val="en-US"/>
        </w:rPr>
        <w:t xml:space="preserve"> </w:t>
      </w:r>
      <w:r>
        <w:rPr>
          <w:rFonts w:eastAsiaTheme="minorEastAsia"/>
          <w:b/>
          <w:bCs/>
          <w:sz w:val="20"/>
          <w:lang w:val="en-US"/>
        </w:rPr>
        <w:t>Multivariate logistic regression analysis for in-hospital mortality before and during the COVID-19 pandemic</w:t>
      </w:r>
    </w:p>
    <w:bookmarkEnd w:id="6"/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2084"/>
        <w:gridCol w:w="2087"/>
        <w:gridCol w:w="2085"/>
        <w:gridCol w:w="2088"/>
      </w:tblGrid>
      <w:tr w:rsidR="00EA66C0" w14:paraId="0655CFF7" w14:textId="77777777">
        <w:tc>
          <w:tcPr>
            <w:tcW w:w="2112" w:type="dxa"/>
            <w:tcBorders>
              <w:bottom w:val="nil"/>
            </w:tcBorders>
          </w:tcPr>
          <w:p w14:paraId="2C185C11" w14:textId="77777777" w:rsidR="00EA66C0" w:rsidRDefault="00EA66C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90C19B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 xml:space="preserve">Before the COVID-19 pandemic 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3172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 xml:space="preserve">During the COVID-19 pandemic </w:t>
            </w:r>
          </w:p>
        </w:tc>
      </w:tr>
      <w:tr w:rsidR="00EA66C0" w14:paraId="100A2908" w14:textId="77777777">
        <w:tc>
          <w:tcPr>
            <w:tcW w:w="2112" w:type="dxa"/>
            <w:tcBorders>
              <w:top w:val="nil"/>
              <w:bottom w:val="single" w:sz="4" w:space="0" w:color="auto"/>
            </w:tcBorders>
          </w:tcPr>
          <w:p w14:paraId="2517D96D" w14:textId="77777777" w:rsidR="00EA66C0" w:rsidRDefault="00EA66C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14:paraId="1EFCE1E6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proofErr w:type="spellStart"/>
            <w:r>
              <w:rPr>
                <w:rFonts w:eastAsiaTheme="minorEastAsia"/>
                <w:sz w:val="20"/>
                <w:lang w:val="en-US"/>
              </w:rPr>
              <w:t>aOR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14:paraId="6672E9FA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95% CI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1870937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proofErr w:type="spellStart"/>
            <w:r>
              <w:rPr>
                <w:rFonts w:eastAsiaTheme="minorEastAsia"/>
                <w:sz w:val="20"/>
                <w:lang w:val="en-US"/>
              </w:rPr>
              <w:t>aOR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14796451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95% CI</w:t>
            </w:r>
          </w:p>
        </w:tc>
      </w:tr>
      <w:tr w:rsidR="00EA66C0" w14:paraId="228F3E11" w14:textId="77777777">
        <w:tc>
          <w:tcPr>
            <w:tcW w:w="2112" w:type="dxa"/>
            <w:tcBorders>
              <w:top w:val="single" w:sz="4" w:space="0" w:color="auto"/>
            </w:tcBorders>
          </w:tcPr>
          <w:p w14:paraId="70D4D4D2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Age group, y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</w:tcBorders>
          </w:tcPr>
          <w:p w14:paraId="2FF56FFB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4173" w:type="dxa"/>
            <w:gridSpan w:val="2"/>
            <w:tcBorders>
              <w:top w:val="single" w:sz="4" w:space="0" w:color="auto"/>
            </w:tcBorders>
          </w:tcPr>
          <w:p w14:paraId="75D5B50A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217D96E8" w14:textId="77777777">
        <w:tc>
          <w:tcPr>
            <w:tcW w:w="2112" w:type="dxa"/>
          </w:tcPr>
          <w:p w14:paraId="6C4CC859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18–44</w:t>
            </w:r>
          </w:p>
        </w:tc>
        <w:tc>
          <w:tcPr>
            <w:tcW w:w="4171" w:type="dxa"/>
            <w:gridSpan w:val="2"/>
          </w:tcPr>
          <w:p w14:paraId="58AEE4AF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4887EC35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1EB18413" w14:textId="77777777">
        <w:tc>
          <w:tcPr>
            <w:tcW w:w="2112" w:type="dxa"/>
          </w:tcPr>
          <w:p w14:paraId="6A12FA1A" w14:textId="77777777" w:rsidR="00EA66C0" w:rsidRDefault="00000000">
            <w:pPr>
              <w:spacing w:line="480" w:lineRule="auto"/>
              <w:ind w:firstLineChars="100" w:firstLine="20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45–64</w:t>
            </w:r>
          </w:p>
        </w:tc>
        <w:tc>
          <w:tcPr>
            <w:tcW w:w="2084" w:type="dxa"/>
          </w:tcPr>
          <w:p w14:paraId="75119DA5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1.50</w:t>
            </w:r>
          </w:p>
        </w:tc>
        <w:tc>
          <w:tcPr>
            <w:tcW w:w="2087" w:type="dxa"/>
          </w:tcPr>
          <w:p w14:paraId="3FD9B9D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1.43–1.57</w:t>
            </w:r>
          </w:p>
        </w:tc>
        <w:tc>
          <w:tcPr>
            <w:tcW w:w="2085" w:type="dxa"/>
          </w:tcPr>
          <w:p w14:paraId="1EBBC43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1.67</w:t>
            </w:r>
          </w:p>
        </w:tc>
        <w:tc>
          <w:tcPr>
            <w:tcW w:w="2088" w:type="dxa"/>
          </w:tcPr>
          <w:p w14:paraId="2463AB5B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1.56–1.78</w:t>
            </w:r>
          </w:p>
        </w:tc>
      </w:tr>
      <w:tr w:rsidR="00EA66C0" w14:paraId="5C8D7096" w14:textId="77777777">
        <w:tc>
          <w:tcPr>
            <w:tcW w:w="2112" w:type="dxa"/>
          </w:tcPr>
          <w:p w14:paraId="1B24815B" w14:textId="77777777" w:rsidR="00EA66C0" w:rsidRDefault="00000000">
            <w:pPr>
              <w:spacing w:line="480" w:lineRule="auto"/>
              <w:ind w:firstLineChars="100" w:firstLine="20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65–79</w:t>
            </w:r>
          </w:p>
        </w:tc>
        <w:tc>
          <w:tcPr>
            <w:tcW w:w="2084" w:type="dxa"/>
          </w:tcPr>
          <w:p w14:paraId="6283393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2.21</w:t>
            </w:r>
          </w:p>
        </w:tc>
        <w:tc>
          <w:tcPr>
            <w:tcW w:w="2087" w:type="dxa"/>
          </w:tcPr>
          <w:p w14:paraId="5F37569C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2.12–2.31</w:t>
            </w:r>
          </w:p>
        </w:tc>
        <w:tc>
          <w:tcPr>
            <w:tcW w:w="2085" w:type="dxa"/>
          </w:tcPr>
          <w:p w14:paraId="69029821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2.46</w:t>
            </w:r>
          </w:p>
        </w:tc>
        <w:tc>
          <w:tcPr>
            <w:tcW w:w="2088" w:type="dxa"/>
          </w:tcPr>
          <w:p w14:paraId="239314B0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2.30–2.62</w:t>
            </w:r>
          </w:p>
        </w:tc>
      </w:tr>
      <w:tr w:rsidR="00EA66C0" w14:paraId="79F4E57E" w14:textId="77777777">
        <w:tc>
          <w:tcPr>
            <w:tcW w:w="2112" w:type="dxa"/>
          </w:tcPr>
          <w:p w14:paraId="392523BA" w14:textId="77777777" w:rsidR="00EA66C0" w:rsidRDefault="00000000">
            <w:pPr>
              <w:spacing w:line="480" w:lineRule="auto"/>
              <w:ind w:firstLineChars="100" w:firstLine="20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 xml:space="preserve">80 or </w:t>
            </w:r>
            <w:r>
              <w:rPr>
                <w:rFonts w:eastAsiaTheme="minorEastAsia"/>
                <w:sz w:val="20"/>
                <w:lang w:val="en-US" w:eastAsia="ko-KR"/>
              </w:rPr>
              <w:t>older</w:t>
            </w:r>
          </w:p>
        </w:tc>
        <w:tc>
          <w:tcPr>
            <w:tcW w:w="2084" w:type="dxa"/>
          </w:tcPr>
          <w:p w14:paraId="60D86C5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3.15</w:t>
            </w:r>
          </w:p>
        </w:tc>
        <w:tc>
          <w:tcPr>
            <w:tcW w:w="2087" w:type="dxa"/>
          </w:tcPr>
          <w:p w14:paraId="69C204CC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3.01–3.29</w:t>
            </w:r>
          </w:p>
        </w:tc>
        <w:tc>
          <w:tcPr>
            <w:tcW w:w="2085" w:type="dxa"/>
          </w:tcPr>
          <w:p w14:paraId="533EFE3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3.52</w:t>
            </w:r>
          </w:p>
        </w:tc>
        <w:tc>
          <w:tcPr>
            <w:tcW w:w="2088" w:type="dxa"/>
          </w:tcPr>
          <w:p w14:paraId="32AB8AB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3.30–3.76</w:t>
            </w:r>
          </w:p>
        </w:tc>
      </w:tr>
      <w:tr w:rsidR="00EA66C0" w14:paraId="10A04A93" w14:textId="77777777">
        <w:tc>
          <w:tcPr>
            <w:tcW w:w="2112" w:type="dxa"/>
          </w:tcPr>
          <w:p w14:paraId="43150544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Sex</w:t>
            </w:r>
          </w:p>
        </w:tc>
        <w:tc>
          <w:tcPr>
            <w:tcW w:w="2084" w:type="dxa"/>
          </w:tcPr>
          <w:p w14:paraId="1877CA29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4693532C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1CEA9561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6E716E45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0A1DEDB2" w14:textId="77777777">
        <w:tc>
          <w:tcPr>
            <w:tcW w:w="2112" w:type="dxa"/>
          </w:tcPr>
          <w:p w14:paraId="7059A677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 xml:space="preserve">Male </w:t>
            </w:r>
          </w:p>
        </w:tc>
        <w:tc>
          <w:tcPr>
            <w:tcW w:w="4171" w:type="dxa"/>
            <w:gridSpan w:val="2"/>
          </w:tcPr>
          <w:p w14:paraId="3A5424DB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4916C8B0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42761D3D" w14:textId="77777777">
        <w:tc>
          <w:tcPr>
            <w:tcW w:w="2112" w:type="dxa"/>
          </w:tcPr>
          <w:p w14:paraId="39346C67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Female</w:t>
            </w:r>
          </w:p>
        </w:tc>
        <w:tc>
          <w:tcPr>
            <w:tcW w:w="2084" w:type="dxa"/>
          </w:tcPr>
          <w:p w14:paraId="2B2F81B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0.86</w:t>
            </w:r>
          </w:p>
        </w:tc>
        <w:tc>
          <w:tcPr>
            <w:tcW w:w="2087" w:type="dxa"/>
          </w:tcPr>
          <w:p w14:paraId="5890ECB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0.84–0.88</w:t>
            </w:r>
          </w:p>
        </w:tc>
        <w:tc>
          <w:tcPr>
            <w:tcW w:w="2085" w:type="dxa"/>
          </w:tcPr>
          <w:p w14:paraId="4AD676D5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0.87</w:t>
            </w:r>
          </w:p>
        </w:tc>
        <w:tc>
          <w:tcPr>
            <w:tcW w:w="2088" w:type="dxa"/>
          </w:tcPr>
          <w:p w14:paraId="2099AC5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0.84–0.89</w:t>
            </w:r>
          </w:p>
        </w:tc>
      </w:tr>
      <w:tr w:rsidR="00EA66C0" w14:paraId="4961419E" w14:textId="77777777">
        <w:tc>
          <w:tcPr>
            <w:tcW w:w="2112" w:type="dxa"/>
          </w:tcPr>
          <w:p w14:paraId="484C8281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Insurance type</w:t>
            </w:r>
          </w:p>
        </w:tc>
        <w:tc>
          <w:tcPr>
            <w:tcW w:w="2084" w:type="dxa"/>
          </w:tcPr>
          <w:p w14:paraId="3A37646F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7A14BA6E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08411270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436D0B8F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11205328" w14:textId="77777777">
        <w:tc>
          <w:tcPr>
            <w:tcW w:w="2112" w:type="dxa"/>
          </w:tcPr>
          <w:p w14:paraId="331F2DFB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NHI </w:t>
            </w:r>
          </w:p>
        </w:tc>
        <w:tc>
          <w:tcPr>
            <w:tcW w:w="4171" w:type="dxa"/>
            <w:gridSpan w:val="2"/>
          </w:tcPr>
          <w:p w14:paraId="4E33B905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314DCF8E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171A7E28" w14:textId="77777777">
        <w:tc>
          <w:tcPr>
            <w:tcW w:w="2112" w:type="dxa"/>
          </w:tcPr>
          <w:p w14:paraId="2022CD78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Medical Aid</w:t>
            </w:r>
          </w:p>
        </w:tc>
        <w:tc>
          <w:tcPr>
            <w:tcW w:w="2084" w:type="dxa"/>
          </w:tcPr>
          <w:p w14:paraId="72314750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1.06</w:t>
            </w:r>
          </w:p>
        </w:tc>
        <w:tc>
          <w:tcPr>
            <w:tcW w:w="2087" w:type="dxa"/>
          </w:tcPr>
          <w:p w14:paraId="6789B64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1.03–1.09</w:t>
            </w:r>
          </w:p>
        </w:tc>
        <w:tc>
          <w:tcPr>
            <w:tcW w:w="2085" w:type="dxa"/>
          </w:tcPr>
          <w:p w14:paraId="2922C97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1.03</w:t>
            </w:r>
          </w:p>
        </w:tc>
        <w:tc>
          <w:tcPr>
            <w:tcW w:w="2088" w:type="dxa"/>
          </w:tcPr>
          <w:p w14:paraId="36989860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0.99–1.08</w:t>
            </w:r>
          </w:p>
        </w:tc>
      </w:tr>
      <w:tr w:rsidR="00EA66C0" w14:paraId="69196BD2" w14:textId="77777777">
        <w:tc>
          <w:tcPr>
            <w:tcW w:w="2112" w:type="dxa"/>
          </w:tcPr>
          <w:p w14:paraId="6E6691DB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Uninsured or other</w:t>
            </w:r>
          </w:p>
        </w:tc>
        <w:tc>
          <w:tcPr>
            <w:tcW w:w="2084" w:type="dxa"/>
          </w:tcPr>
          <w:p w14:paraId="6FF669C7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1.15</w:t>
            </w:r>
          </w:p>
        </w:tc>
        <w:tc>
          <w:tcPr>
            <w:tcW w:w="2087" w:type="dxa"/>
          </w:tcPr>
          <w:p w14:paraId="5B44F4CC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1.08–1.23</w:t>
            </w:r>
          </w:p>
        </w:tc>
        <w:tc>
          <w:tcPr>
            <w:tcW w:w="2085" w:type="dxa"/>
          </w:tcPr>
          <w:p w14:paraId="7F701989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1.28</w:t>
            </w:r>
          </w:p>
        </w:tc>
        <w:tc>
          <w:tcPr>
            <w:tcW w:w="2088" w:type="dxa"/>
          </w:tcPr>
          <w:p w14:paraId="0A909E66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1.16–1.42</w:t>
            </w:r>
          </w:p>
        </w:tc>
      </w:tr>
      <w:tr w:rsidR="00EA66C0" w14:paraId="3E113AAE" w14:textId="77777777">
        <w:tc>
          <w:tcPr>
            <w:tcW w:w="2112" w:type="dxa"/>
          </w:tcPr>
          <w:p w14:paraId="0F4A3D0C" w14:textId="77777777" w:rsidR="00EA66C0" w:rsidRDefault="00000000">
            <w:pPr>
              <w:spacing w:line="480" w:lineRule="auto"/>
              <w:rPr>
                <w:rFonts w:eastAsiaTheme="minorEastAsia"/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>EMS presentation</w:t>
            </w:r>
          </w:p>
        </w:tc>
        <w:tc>
          <w:tcPr>
            <w:tcW w:w="2084" w:type="dxa"/>
          </w:tcPr>
          <w:p w14:paraId="2E149C19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67B54166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2F9AC97C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6030754F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4632E987" w14:textId="77777777">
        <w:tc>
          <w:tcPr>
            <w:tcW w:w="2112" w:type="dxa"/>
          </w:tcPr>
          <w:p w14:paraId="3604FD07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 xml:space="preserve">No </w:t>
            </w:r>
          </w:p>
        </w:tc>
        <w:tc>
          <w:tcPr>
            <w:tcW w:w="4171" w:type="dxa"/>
            <w:gridSpan w:val="2"/>
          </w:tcPr>
          <w:p w14:paraId="786BCAE2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5A533C08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5848857F" w14:textId="77777777">
        <w:tc>
          <w:tcPr>
            <w:tcW w:w="2112" w:type="dxa"/>
          </w:tcPr>
          <w:p w14:paraId="2A35CC17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>Yes</w:t>
            </w:r>
          </w:p>
        </w:tc>
        <w:tc>
          <w:tcPr>
            <w:tcW w:w="2084" w:type="dxa"/>
          </w:tcPr>
          <w:p w14:paraId="6CE3655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1.77</w:t>
            </w:r>
          </w:p>
        </w:tc>
        <w:tc>
          <w:tcPr>
            <w:tcW w:w="2087" w:type="dxa"/>
          </w:tcPr>
          <w:p w14:paraId="6AB3DCB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1.73–1.82</w:t>
            </w:r>
          </w:p>
        </w:tc>
        <w:tc>
          <w:tcPr>
            <w:tcW w:w="2085" w:type="dxa"/>
          </w:tcPr>
          <w:p w14:paraId="11288E4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1.83</w:t>
            </w:r>
          </w:p>
        </w:tc>
        <w:tc>
          <w:tcPr>
            <w:tcW w:w="2088" w:type="dxa"/>
          </w:tcPr>
          <w:p w14:paraId="5BE76CD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1.76–1.9</w:t>
            </w:r>
          </w:p>
        </w:tc>
      </w:tr>
      <w:tr w:rsidR="00EA66C0" w14:paraId="2F335722" w14:textId="77777777">
        <w:tc>
          <w:tcPr>
            <w:tcW w:w="2112" w:type="dxa"/>
          </w:tcPr>
          <w:p w14:paraId="713634D9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Transferred-in </w:t>
            </w:r>
          </w:p>
        </w:tc>
        <w:tc>
          <w:tcPr>
            <w:tcW w:w="2084" w:type="dxa"/>
          </w:tcPr>
          <w:p w14:paraId="47964F42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6C6B7C81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72943F6C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3C51F511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1D0BAABD" w14:textId="77777777">
        <w:tc>
          <w:tcPr>
            <w:tcW w:w="2112" w:type="dxa"/>
          </w:tcPr>
          <w:p w14:paraId="5FA2718A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>No</w:t>
            </w:r>
          </w:p>
        </w:tc>
        <w:tc>
          <w:tcPr>
            <w:tcW w:w="4171" w:type="dxa"/>
            <w:gridSpan w:val="2"/>
          </w:tcPr>
          <w:p w14:paraId="75EAB231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47C2F3B1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135BA22E" w14:textId="77777777">
        <w:tc>
          <w:tcPr>
            <w:tcW w:w="2112" w:type="dxa"/>
          </w:tcPr>
          <w:p w14:paraId="63A1DB8A" w14:textId="77777777" w:rsidR="00EA66C0" w:rsidRDefault="00000000">
            <w:pPr>
              <w:spacing w:line="480" w:lineRule="auto"/>
              <w:ind w:leftChars="100" w:left="240"/>
              <w:rPr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>Yes</w:t>
            </w:r>
          </w:p>
        </w:tc>
        <w:tc>
          <w:tcPr>
            <w:tcW w:w="2084" w:type="dxa"/>
          </w:tcPr>
          <w:p w14:paraId="537036E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1.17</w:t>
            </w:r>
          </w:p>
        </w:tc>
        <w:tc>
          <w:tcPr>
            <w:tcW w:w="2087" w:type="dxa"/>
          </w:tcPr>
          <w:p w14:paraId="12F6A90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1.14–1.19</w:t>
            </w:r>
          </w:p>
        </w:tc>
        <w:tc>
          <w:tcPr>
            <w:tcW w:w="2085" w:type="dxa"/>
          </w:tcPr>
          <w:p w14:paraId="1BBFA0CE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1.11</w:t>
            </w:r>
          </w:p>
        </w:tc>
        <w:tc>
          <w:tcPr>
            <w:tcW w:w="2088" w:type="dxa"/>
          </w:tcPr>
          <w:p w14:paraId="2188ACD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1.08–1.15</w:t>
            </w:r>
          </w:p>
        </w:tc>
      </w:tr>
      <w:tr w:rsidR="00EA66C0" w14:paraId="59B52E95" w14:textId="77777777">
        <w:tc>
          <w:tcPr>
            <w:tcW w:w="2112" w:type="dxa"/>
          </w:tcPr>
          <w:p w14:paraId="3D696BAB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Injury-related presentation </w:t>
            </w:r>
          </w:p>
        </w:tc>
        <w:tc>
          <w:tcPr>
            <w:tcW w:w="2084" w:type="dxa"/>
          </w:tcPr>
          <w:p w14:paraId="1054585D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0ECEA814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2912B4E6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4DB2A6C8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52C518C0" w14:textId="77777777">
        <w:tc>
          <w:tcPr>
            <w:tcW w:w="2112" w:type="dxa"/>
          </w:tcPr>
          <w:p w14:paraId="16C8E180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>No</w:t>
            </w:r>
          </w:p>
        </w:tc>
        <w:tc>
          <w:tcPr>
            <w:tcW w:w="4171" w:type="dxa"/>
            <w:gridSpan w:val="2"/>
          </w:tcPr>
          <w:p w14:paraId="337F9709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40D1FC33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772FD948" w14:textId="77777777">
        <w:tc>
          <w:tcPr>
            <w:tcW w:w="2112" w:type="dxa"/>
          </w:tcPr>
          <w:p w14:paraId="6E5370FD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Theme="minorEastAsia"/>
                <w:color w:val="000000"/>
                <w:sz w:val="20"/>
                <w:lang w:val="en-US"/>
              </w:rPr>
              <w:t>Yes</w:t>
            </w:r>
          </w:p>
        </w:tc>
        <w:tc>
          <w:tcPr>
            <w:tcW w:w="2084" w:type="dxa"/>
          </w:tcPr>
          <w:p w14:paraId="122281B0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0.69</w:t>
            </w:r>
          </w:p>
        </w:tc>
        <w:tc>
          <w:tcPr>
            <w:tcW w:w="2087" w:type="dxa"/>
          </w:tcPr>
          <w:p w14:paraId="50D60671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0.66–0.71</w:t>
            </w:r>
          </w:p>
        </w:tc>
        <w:tc>
          <w:tcPr>
            <w:tcW w:w="2085" w:type="dxa"/>
          </w:tcPr>
          <w:p w14:paraId="3DC1FE29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0.63</w:t>
            </w:r>
          </w:p>
        </w:tc>
        <w:tc>
          <w:tcPr>
            <w:tcW w:w="2088" w:type="dxa"/>
          </w:tcPr>
          <w:p w14:paraId="56402DF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0.60–0.66</w:t>
            </w:r>
          </w:p>
        </w:tc>
      </w:tr>
      <w:tr w:rsidR="00EA66C0" w14:paraId="5EE05001" w14:textId="77777777">
        <w:tc>
          <w:tcPr>
            <w:tcW w:w="2112" w:type="dxa"/>
          </w:tcPr>
          <w:p w14:paraId="01AF91BA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KTAS score </w:t>
            </w:r>
          </w:p>
        </w:tc>
        <w:tc>
          <w:tcPr>
            <w:tcW w:w="2084" w:type="dxa"/>
          </w:tcPr>
          <w:p w14:paraId="477635B5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1CF72FE2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51F4B463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33B91827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556DBB4A" w14:textId="77777777">
        <w:tc>
          <w:tcPr>
            <w:tcW w:w="2112" w:type="dxa"/>
          </w:tcPr>
          <w:p w14:paraId="5E6A2D46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1 </w:t>
            </w:r>
          </w:p>
        </w:tc>
        <w:tc>
          <w:tcPr>
            <w:tcW w:w="4171" w:type="dxa"/>
            <w:gridSpan w:val="2"/>
          </w:tcPr>
          <w:p w14:paraId="2A57BA63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02962749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7E139D02" w14:textId="77777777">
        <w:tc>
          <w:tcPr>
            <w:tcW w:w="2112" w:type="dxa"/>
          </w:tcPr>
          <w:p w14:paraId="6DB6E052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2 </w:t>
            </w:r>
          </w:p>
        </w:tc>
        <w:tc>
          <w:tcPr>
            <w:tcW w:w="2084" w:type="dxa"/>
          </w:tcPr>
          <w:p w14:paraId="1BC8A3DA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0.40</w:t>
            </w:r>
          </w:p>
        </w:tc>
        <w:tc>
          <w:tcPr>
            <w:tcW w:w="2087" w:type="dxa"/>
          </w:tcPr>
          <w:p w14:paraId="7B42919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0.39–0.41</w:t>
            </w:r>
          </w:p>
        </w:tc>
        <w:tc>
          <w:tcPr>
            <w:tcW w:w="2085" w:type="dxa"/>
          </w:tcPr>
          <w:p w14:paraId="43D9802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0.41</w:t>
            </w:r>
          </w:p>
        </w:tc>
        <w:tc>
          <w:tcPr>
            <w:tcW w:w="2088" w:type="dxa"/>
          </w:tcPr>
          <w:p w14:paraId="0A15B6D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0.40–0.43</w:t>
            </w:r>
          </w:p>
        </w:tc>
      </w:tr>
      <w:tr w:rsidR="00EA66C0" w14:paraId="59E07B8B" w14:textId="77777777">
        <w:tc>
          <w:tcPr>
            <w:tcW w:w="2112" w:type="dxa"/>
          </w:tcPr>
          <w:p w14:paraId="517B4631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3 </w:t>
            </w:r>
          </w:p>
        </w:tc>
        <w:tc>
          <w:tcPr>
            <w:tcW w:w="2084" w:type="dxa"/>
          </w:tcPr>
          <w:p w14:paraId="0140B85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0.32</w:t>
            </w:r>
          </w:p>
        </w:tc>
        <w:tc>
          <w:tcPr>
            <w:tcW w:w="2087" w:type="dxa"/>
          </w:tcPr>
          <w:p w14:paraId="2AEDBD93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0.31–0.33</w:t>
            </w:r>
          </w:p>
        </w:tc>
        <w:tc>
          <w:tcPr>
            <w:tcW w:w="2085" w:type="dxa"/>
          </w:tcPr>
          <w:p w14:paraId="7D8E788E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0.31</w:t>
            </w:r>
          </w:p>
        </w:tc>
        <w:tc>
          <w:tcPr>
            <w:tcW w:w="2088" w:type="dxa"/>
          </w:tcPr>
          <w:p w14:paraId="5DB3E837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0.30–0.33</w:t>
            </w:r>
          </w:p>
        </w:tc>
      </w:tr>
      <w:tr w:rsidR="00EA66C0" w14:paraId="44B19CD9" w14:textId="77777777">
        <w:tc>
          <w:tcPr>
            <w:tcW w:w="2112" w:type="dxa"/>
          </w:tcPr>
          <w:p w14:paraId="13F05D1D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 xml:space="preserve">4 </w:t>
            </w:r>
          </w:p>
        </w:tc>
        <w:tc>
          <w:tcPr>
            <w:tcW w:w="2084" w:type="dxa"/>
          </w:tcPr>
          <w:p w14:paraId="0730DE4E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0.25</w:t>
            </w:r>
          </w:p>
        </w:tc>
        <w:tc>
          <w:tcPr>
            <w:tcW w:w="2087" w:type="dxa"/>
          </w:tcPr>
          <w:p w14:paraId="78CD15B9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0.24–0.27</w:t>
            </w:r>
          </w:p>
        </w:tc>
        <w:tc>
          <w:tcPr>
            <w:tcW w:w="2085" w:type="dxa"/>
          </w:tcPr>
          <w:p w14:paraId="6EC74DAB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0.25</w:t>
            </w:r>
          </w:p>
        </w:tc>
        <w:tc>
          <w:tcPr>
            <w:tcW w:w="2088" w:type="dxa"/>
          </w:tcPr>
          <w:p w14:paraId="6EFB95E0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0.23–0.27</w:t>
            </w:r>
          </w:p>
        </w:tc>
      </w:tr>
      <w:tr w:rsidR="00EA66C0" w14:paraId="540E4ED0" w14:textId="77777777">
        <w:tc>
          <w:tcPr>
            <w:tcW w:w="2112" w:type="dxa"/>
          </w:tcPr>
          <w:p w14:paraId="6CDB0F04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lastRenderedPageBreak/>
              <w:t xml:space="preserve">5 </w:t>
            </w:r>
          </w:p>
        </w:tc>
        <w:tc>
          <w:tcPr>
            <w:tcW w:w="2084" w:type="dxa"/>
          </w:tcPr>
          <w:p w14:paraId="2ADBF2A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0.32</w:t>
            </w:r>
          </w:p>
        </w:tc>
        <w:tc>
          <w:tcPr>
            <w:tcW w:w="2087" w:type="dxa"/>
          </w:tcPr>
          <w:p w14:paraId="52F8E79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0.29–0.37</w:t>
            </w:r>
          </w:p>
        </w:tc>
        <w:tc>
          <w:tcPr>
            <w:tcW w:w="2085" w:type="dxa"/>
          </w:tcPr>
          <w:p w14:paraId="31D8FCB9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0.32</w:t>
            </w:r>
          </w:p>
        </w:tc>
        <w:tc>
          <w:tcPr>
            <w:tcW w:w="2088" w:type="dxa"/>
          </w:tcPr>
          <w:p w14:paraId="6C640485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0.26–0.39</w:t>
            </w:r>
          </w:p>
        </w:tc>
      </w:tr>
      <w:tr w:rsidR="00EA66C0" w14:paraId="4A0E4E9D" w14:textId="77777777">
        <w:tc>
          <w:tcPr>
            <w:tcW w:w="2112" w:type="dxa"/>
          </w:tcPr>
          <w:p w14:paraId="43F25C00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Unidentified</w:t>
            </w:r>
          </w:p>
        </w:tc>
        <w:tc>
          <w:tcPr>
            <w:tcW w:w="2084" w:type="dxa"/>
          </w:tcPr>
          <w:p w14:paraId="43C04F0E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0.62</w:t>
            </w:r>
          </w:p>
        </w:tc>
        <w:tc>
          <w:tcPr>
            <w:tcW w:w="2087" w:type="dxa"/>
          </w:tcPr>
          <w:p w14:paraId="43A5AAD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0.29–1.32</w:t>
            </w:r>
          </w:p>
        </w:tc>
        <w:tc>
          <w:tcPr>
            <w:tcW w:w="2085" w:type="dxa"/>
          </w:tcPr>
          <w:p w14:paraId="4598FE3C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1.51</w:t>
            </w:r>
          </w:p>
        </w:tc>
        <w:tc>
          <w:tcPr>
            <w:tcW w:w="2088" w:type="dxa"/>
          </w:tcPr>
          <w:p w14:paraId="195E19BE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0.22–10.17</w:t>
            </w:r>
          </w:p>
        </w:tc>
      </w:tr>
      <w:tr w:rsidR="00EA66C0" w14:paraId="271EC8C7" w14:textId="77777777">
        <w:tc>
          <w:tcPr>
            <w:tcW w:w="2112" w:type="dxa"/>
          </w:tcPr>
          <w:p w14:paraId="21EAA68B" w14:textId="77777777" w:rsidR="00EA66C0" w:rsidRDefault="00000000">
            <w:pPr>
              <w:spacing w:line="480" w:lineRule="auto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NEWS</w:t>
            </w:r>
          </w:p>
        </w:tc>
        <w:tc>
          <w:tcPr>
            <w:tcW w:w="2084" w:type="dxa"/>
          </w:tcPr>
          <w:p w14:paraId="4203DD3D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294B5696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4A4581C6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67905521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74C2807C" w14:textId="77777777">
        <w:tc>
          <w:tcPr>
            <w:tcW w:w="2112" w:type="dxa"/>
          </w:tcPr>
          <w:p w14:paraId="63094272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0–4</w:t>
            </w:r>
          </w:p>
        </w:tc>
        <w:tc>
          <w:tcPr>
            <w:tcW w:w="4171" w:type="dxa"/>
            <w:gridSpan w:val="2"/>
          </w:tcPr>
          <w:p w14:paraId="75470C8B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41B9175F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490AD93C" w14:textId="77777777">
        <w:tc>
          <w:tcPr>
            <w:tcW w:w="2112" w:type="dxa"/>
          </w:tcPr>
          <w:p w14:paraId="64C8013E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5–6</w:t>
            </w:r>
          </w:p>
        </w:tc>
        <w:tc>
          <w:tcPr>
            <w:tcW w:w="2084" w:type="dxa"/>
          </w:tcPr>
          <w:p w14:paraId="67E48C73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2.00</w:t>
            </w:r>
          </w:p>
        </w:tc>
        <w:tc>
          <w:tcPr>
            <w:tcW w:w="2087" w:type="dxa"/>
          </w:tcPr>
          <w:p w14:paraId="45ED0B51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1.94–2.06</w:t>
            </w:r>
          </w:p>
        </w:tc>
        <w:tc>
          <w:tcPr>
            <w:tcW w:w="2085" w:type="dxa"/>
          </w:tcPr>
          <w:p w14:paraId="31D7FFB6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2.01</w:t>
            </w:r>
          </w:p>
        </w:tc>
        <w:tc>
          <w:tcPr>
            <w:tcW w:w="2088" w:type="dxa"/>
          </w:tcPr>
          <w:p w14:paraId="4679C86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1.93–2.10</w:t>
            </w:r>
          </w:p>
        </w:tc>
      </w:tr>
      <w:tr w:rsidR="00EA66C0" w14:paraId="540F15E4" w14:textId="77777777">
        <w:tc>
          <w:tcPr>
            <w:tcW w:w="2112" w:type="dxa"/>
          </w:tcPr>
          <w:p w14:paraId="403CB241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7 or more</w:t>
            </w:r>
          </w:p>
        </w:tc>
        <w:tc>
          <w:tcPr>
            <w:tcW w:w="2084" w:type="dxa"/>
          </w:tcPr>
          <w:p w14:paraId="738F512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2.78</w:t>
            </w:r>
          </w:p>
        </w:tc>
        <w:tc>
          <w:tcPr>
            <w:tcW w:w="2087" w:type="dxa"/>
          </w:tcPr>
          <w:p w14:paraId="5C2A75A7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2.71–2.86</w:t>
            </w:r>
          </w:p>
        </w:tc>
        <w:tc>
          <w:tcPr>
            <w:tcW w:w="2085" w:type="dxa"/>
          </w:tcPr>
          <w:p w14:paraId="63F071F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2.73</w:t>
            </w:r>
          </w:p>
        </w:tc>
        <w:tc>
          <w:tcPr>
            <w:tcW w:w="2088" w:type="dxa"/>
          </w:tcPr>
          <w:p w14:paraId="1A51ED73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2.63–2.83</w:t>
            </w:r>
          </w:p>
        </w:tc>
      </w:tr>
      <w:tr w:rsidR="00EA66C0" w14:paraId="2E8542B5" w14:textId="77777777">
        <w:tc>
          <w:tcPr>
            <w:tcW w:w="2112" w:type="dxa"/>
          </w:tcPr>
          <w:p w14:paraId="61C79FBF" w14:textId="77777777" w:rsidR="00EA66C0" w:rsidRDefault="00000000">
            <w:pPr>
              <w:spacing w:line="480" w:lineRule="auto"/>
              <w:ind w:leftChars="100" w:left="240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Unidentified</w:t>
            </w:r>
          </w:p>
        </w:tc>
        <w:tc>
          <w:tcPr>
            <w:tcW w:w="2084" w:type="dxa"/>
          </w:tcPr>
          <w:p w14:paraId="42484D03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2.39</w:t>
            </w:r>
          </w:p>
        </w:tc>
        <w:tc>
          <w:tcPr>
            <w:tcW w:w="2087" w:type="dxa"/>
          </w:tcPr>
          <w:p w14:paraId="6ABF31C5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2.33–2.46</w:t>
            </w:r>
          </w:p>
        </w:tc>
        <w:tc>
          <w:tcPr>
            <w:tcW w:w="2085" w:type="dxa"/>
          </w:tcPr>
          <w:p w14:paraId="43E54FEC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2.43</w:t>
            </w:r>
          </w:p>
        </w:tc>
        <w:tc>
          <w:tcPr>
            <w:tcW w:w="2088" w:type="dxa"/>
          </w:tcPr>
          <w:p w14:paraId="4F37E627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2.34–2.52</w:t>
            </w:r>
          </w:p>
        </w:tc>
      </w:tr>
      <w:tr w:rsidR="00EA66C0" w14:paraId="22CCEE01" w14:textId="77777777">
        <w:tc>
          <w:tcPr>
            <w:tcW w:w="2112" w:type="dxa"/>
          </w:tcPr>
          <w:p w14:paraId="495CD9BE" w14:textId="77777777" w:rsidR="00EA66C0" w:rsidRDefault="00000000">
            <w:pPr>
              <w:spacing w:line="480" w:lineRule="auto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ED Length of stay</w:t>
            </w:r>
          </w:p>
        </w:tc>
        <w:tc>
          <w:tcPr>
            <w:tcW w:w="2084" w:type="dxa"/>
          </w:tcPr>
          <w:p w14:paraId="0A1A2C83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292A52F1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57BCA79D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7B77177C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</w:p>
        </w:tc>
      </w:tr>
      <w:tr w:rsidR="00EA66C0" w14:paraId="62C14614" w14:textId="77777777">
        <w:tc>
          <w:tcPr>
            <w:tcW w:w="2112" w:type="dxa"/>
          </w:tcPr>
          <w:p w14:paraId="2AD35CE1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&lt; 6h</w:t>
            </w:r>
          </w:p>
        </w:tc>
        <w:tc>
          <w:tcPr>
            <w:tcW w:w="4171" w:type="dxa"/>
            <w:gridSpan w:val="2"/>
          </w:tcPr>
          <w:p w14:paraId="099EE647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2FF4F0A9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1C960A62" w14:textId="77777777">
        <w:tc>
          <w:tcPr>
            <w:tcW w:w="2112" w:type="dxa"/>
          </w:tcPr>
          <w:p w14:paraId="2BAA606F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≥ 6h</w:t>
            </w:r>
          </w:p>
        </w:tc>
        <w:tc>
          <w:tcPr>
            <w:tcW w:w="2084" w:type="dxa"/>
          </w:tcPr>
          <w:p w14:paraId="42423CC5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1.09</w:t>
            </w:r>
          </w:p>
        </w:tc>
        <w:tc>
          <w:tcPr>
            <w:tcW w:w="2087" w:type="dxa"/>
          </w:tcPr>
          <w:p w14:paraId="02221F1F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1.07–1.12</w:t>
            </w:r>
          </w:p>
        </w:tc>
        <w:tc>
          <w:tcPr>
            <w:tcW w:w="2085" w:type="dxa"/>
          </w:tcPr>
          <w:p w14:paraId="72109BA9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1.11</w:t>
            </w:r>
          </w:p>
        </w:tc>
        <w:tc>
          <w:tcPr>
            <w:tcW w:w="2088" w:type="dxa"/>
          </w:tcPr>
          <w:p w14:paraId="0230937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1.08–1.14</w:t>
            </w:r>
          </w:p>
        </w:tc>
      </w:tr>
      <w:tr w:rsidR="00EA66C0" w14:paraId="2A00FE31" w14:textId="77777777">
        <w:tc>
          <w:tcPr>
            <w:tcW w:w="2112" w:type="dxa"/>
          </w:tcPr>
          <w:p w14:paraId="43191663" w14:textId="77777777" w:rsidR="00EA66C0" w:rsidRDefault="00000000">
            <w:pPr>
              <w:spacing w:line="480" w:lineRule="auto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CCI score</w:t>
            </w:r>
          </w:p>
        </w:tc>
        <w:tc>
          <w:tcPr>
            <w:tcW w:w="2084" w:type="dxa"/>
          </w:tcPr>
          <w:p w14:paraId="347CBB11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lang w:val="en-US"/>
              </w:rPr>
            </w:pPr>
          </w:p>
        </w:tc>
        <w:tc>
          <w:tcPr>
            <w:tcW w:w="2087" w:type="dxa"/>
          </w:tcPr>
          <w:p w14:paraId="3021529E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lang w:val="en-US"/>
              </w:rPr>
            </w:pPr>
          </w:p>
        </w:tc>
        <w:tc>
          <w:tcPr>
            <w:tcW w:w="2085" w:type="dxa"/>
          </w:tcPr>
          <w:p w14:paraId="096B5044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lang w:val="en-US"/>
              </w:rPr>
            </w:pPr>
          </w:p>
        </w:tc>
        <w:tc>
          <w:tcPr>
            <w:tcW w:w="2088" w:type="dxa"/>
          </w:tcPr>
          <w:p w14:paraId="74F30483" w14:textId="77777777" w:rsidR="00EA66C0" w:rsidRDefault="00EA66C0">
            <w:pPr>
              <w:spacing w:line="480" w:lineRule="auto"/>
              <w:jc w:val="center"/>
              <w:rPr>
                <w:rFonts w:eastAsiaTheme="minorEastAsia"/>
                <w:color w:val="000000"/>
                <w:sz w:val="20"/>
                <w:lang w:val="en-US"/>
              </w:rPr>
            </w:pPr>
          </w:p>
        </w:tc>
      </w:tr>
      <w:tr w:rsidR="00EA66C0" w14:paraId="59F2DC32" w14:textId="77777777">
        <w:tc>
          <w:tcPr>
            <w:tcW w:w="2112" w:type="dxa"/>
          </w:tcPr>
          <w:p w14:paraId="03246729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</w:t>
            </w:r>
          </w:p>
        </w:tc>
        <w:tc>
          <w:tcPr>
            <w:tcW w:w="4171" w:type="dxa"/>
            <w:gridSpan w:val="2"/>
          </w:tcPr>
          <w:p w14:paraId="26963CB4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  <w:tc>
          <w:tcPr>
            <w:tcW w:w="4173" w:type="dxa"/>
            <w:gridSpan w:val="2"/>
          </w:tcPr>
          <w:p w14:paraId="6CA390B2" w14:textId="77777777" w:rsidR="00EA66C0" w:rsidRDefault="00000000">
            <w:pPr>
              <w:spacing w:line="480" w:lineRule="auto"/>
              <w:jc w:val="center"/>
              <w:rPr>
                <w:rFonts w:eastAsiaTheme="minorEastAsia"/>
                <w:sz w:val="20"/>
                <w:lang w:val="en-US"/>
              </w:rPr>
            </w:pPr>
            <w:r>
              <w:rPr>
                <w:rFonts w:eastAsiaTheme="minorEastAsia"/>
                <w:sz w:val="20"/>
                <w:lang w:val="en-US"/>
              </w:rPr>
              <w:t>Reference</w:t>
            </w:r>
          </w:p>
        </w:tc>
      </w:tr>
      <w:tr w:rsidR="00EA66C0" w14:paraId="5267197D" w14:textId="77777777">
        <w:tc>
          <w:tcPr>
            <w:tcW w:w="2112" w:type="dxa"/>
          </w:tcPr>
          <w:p w14:paraId="54F65AC8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</w:t>
            </w:r>
          </w:p>
        </w:tc>
        <w:tc>
          <w:tcPr>
            <w:tcW w:w="2084" w:type="dxa"/>
          </w:tcPr>
          <w:p w14:paraId="0A0584B9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0.83</w:t>
            </w:r>
          </w:p>
        </w:tc>
        <w:tc>
          <w:tcPr>
            <w:tcW w:w="2087" w:type="dxa"/>
          </w:tcPr>
          <w:p w14:paraId="10C16D6C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0.81–0.85</w:t>
            </w:r>
          </w:p>
        </w:tc>
        <w:tc>
          <w:tcPr>
            <w:tcW w:w="2085" w:type="dxa"/>
          </w:tcPr>
          <w:p w14:paraId="678F9542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0.81</w:t>
            </w:r>
          </w:p>
        </w:tc>
        <w:tc>
          <w:tcPr>
            <w:tcW w:w="2088" w:type="dxa"/>
          </w:tcPr>
          <w:p w14:paraId="0A5DFAB1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0.78–0.84</w:t>
            </w:r>
          </w:p>
        </w:tc>
      </w:tr>
      <w:tr w:rsidR="00EA66C0" w14:paraId="1FAD3AF2" w14:textId="77777777">
        <w:tc>
          <w:tcPr>
            <w:tcW w:w="2112" w:type="dxa"/>
          </w:tcPr>
          <w:p w14:paraId="5849AB4C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2</w:t>
            </w:r>
          </w:p>
        </w:tc>
        <w:tc>
          <w:tcPr>
            <w:tcW w:w="2084" w:type="dxa"/>
          </w:tcPr>
          <w:p w14:paraId="1D3D691D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0.81</w:t>
            </w:r>
          </w:p>
        </w:tc>
        <w:tc>
          <w:tcPr>
            <w:tcW w:w="2087" w:type="dxa"/>
          </w:tcPr>
          <w:p w14:paraId="57F6439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0.78–0.83</w:t>
            </w:r>
          </w:p>
        </w:tc>
        <w:tc>
          <w:tcPr>
            <w:tcW w:w="2085" w:type="dxa"/>
          </w:tcPr>
          <w:p w14:paraId="1D8BF1B1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0.73</w:t>
            </w:r>
          </w:p>
        </w:tc>
        <w:tc>
          <w:tcPr>
            <w:tcW w:w="2088" w:type="dxa"/>
          </w:tcPr>
          <w:p w14:paraId="1CC3D41E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0.70–0.77</w:t>
            </w:r>
          </w:p>
        </w:tc>
      </w:tr>
      <w:tr w:rsidR="00EA66C0" w14:paraId="13BD210C" w14:textId="77777777">
        <w:tc>
          <w:tcPr>
            <w:tcW w:w="2112" w:type="dxa"/>
          </w:tcPr>
          <w:p w14:paraId="53BB2AA8" w14:textId="77777777" w:rsidR="00EA66C0" w:rsidRDefault="00000000">
            <w:pPr>
              <w:spacing w:line="480" w:lineRule="auto"/>
              <w:ind w:leftChars="100" w:left="240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3 or more</w:t>
            </w:r>
          </w:p>
        </w:tc>
        <w:tc>
          <w:tcPr>
            <w:tcW w:w="2084" w:type="dxa"/>
          </w:tcPr>
          <w:p w14:paraId="4E605994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1.02</w:t>
            </w:r>
          </w:p>
        </w:tc>
        <w:tc>
          <w:tcPr>
            <w:tcW w:w="2087" w:type="dxa"/>
          </w:tcPr>
          <w:p w14:paraId="615967D8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0.98–1.05</w:t>
            </w:r>
          </w:p>
        </w:tc>
        <w:tc>
          <w:tcPr>
            <w:tcW w:w="2085" w:type="dxa"/>
          </w:tcPr>
          <w:p w14:paraId="3DF1A495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0.94</w:t>
            </w:r>
          </w:p>
        </w:tc>
        <w:tc>
          <w:tcPr>
            <w:tcW w:w="2088" w:type="dxa"/>
          </w:tcPr>
          <w:p w14:paraId="7A43BD2B" w14:textId="77777777" w:rsidR="00EA66C0" w:rsidRDefault="00000000">
            <w:pPr>
              <w:spacing w:line="480" w:lineRule="auto"/>
              <w:jc w:val="center"/>
              <w:rPr>
                <w:rFonts w:eastAsia="바탕"/>
                <w:color w:val="000000"/>
                <w:sz w:val="20"/>
                <w:lang w:val="en-US"/>
              </w:rPr>
            </w:pPr>
            <w:r>
              <w:rPr>
                <w:rFonts w:eastAsia="바탕"/>
                <w:color w:val="000000"/>
                <w:sz w:val="20"/>
                <w:lang w:val="en-US"/>
              </w:rPr>
              <w:t>0.90–0.99</w:t>
            </w:r>
          </w:p>
        </w:tc>
      </w:tr>
    </w:tbl>
    <w:p w14:paraId="59A977BD" w14:textId="77777777" w:rsidR="00EA66C0" w:rsidRDefault="00000000">
      <w:pPr>
        <w:spacing w:line="480" w:lineRule="auto"/>
        <w:rPr>
          <w:rFonts w:eastAsiaTheme="minorEastAsia"/>
          <w:sz w:val="20"/>
          <w:szCs w:val="20"/>
          <w:lang w:val="en-US" w:eastAsia="ko-KR"/>
        </w:rPr>
      </w:pPr>
      <w:proofErr w:type="spellStart"/>
      <w:r>
        <w:rPr>
          <w:rFonts w:eastAsiaTheme="minorEastAsia"/>
          <w:sz w:val="20"/>
          <w:szCs w:val="20"/>
          <w:lang w:val="en-US" w:eastAsia="ko-KR"/>
        </w:rPr>
        <w:t>aOR</w:t>
      </w:r>
      <w:proofErr w:type="spellEnd"/>
      <w:r>
        <w:rPr>
          <w:rFonts w:eastAsiaTheme="minorEastAsia"/>
          <w:sz w:val="20"/>
          <w:szCs w:val="20"/>
          <w:lang w:val="en-US" w:eastAsia="ko-KR"/>
        </w:rPr>
        <w:t>, adjusted odds ratio; CI, confidence interval; NHI, national health insurance; EMS, emergency medical service; KTAS, Korean Triage and Acuity Scale; NEWS, National Early Warning Score; ED, emergency department; LOS, length of stay; CCI, Charlson Comorbidity Index</w:t>
      </w:r>
    </w:p>
    <w:p w14:paraId="55637835" w14:textId="77777777" w:rsidR="00EA66C0" w:rsidRDefault="00EA66C0">
      <w:pPr>
        <w:spacing w:line="480" w:lineRule="auto"/>
        <w:rPr>
          <w:rFonts w:eastAsiaTheme="minorEastAsia"/>
          <w:sz w:val="20"/>
          <w:lang w:val="en-US"/>
        </w:rPr>
      </w:pPr>
    </w:p>
    <w:p w14:paraId="64076E55" w14:textId="77777777" w:rsidR="00EA66C0" w:rsidRDefault="00EA66C0">
      <w:pPr>
        <w:spacing w:line="480" w:lineRule="auto"/>
        <w:rPr>
          <w:rFonts w:eastAsiaTheme="minorEastAsia"/>
          <w:sz w:val="20"/>
          <w:lang w:val="en-US"/>
        </w:rPr>
      </w:pPr>
    </w:p>
    <w:p w14:paraId="0C208DFF" w14:textId="77777777" w:rsidR="00EA66C0" w:rsidRDefault="00EA66C0">
      <w:pPr>
        <w:spacing w:line="480" w:lineRule="auto"/>
        <w:rPr>
          <w:rFonts w:eastAsiaTheme="minorEastAsia"/>
          <w:sz w:val="20"/>
          <w:lang w:val="en-US"/>
        </w:rPr>
      </w:pPr>
    </w:p>
    <w:sectPr w:rsidR="00EA66C0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1DBC4" w14:textId="77777777" w:rsidR="001D5C9C" w:rsidRDefault="001D5C9C">
      <w:r>
        <w:separator/>
      </w:r>
    </w:p>
  </w:endnote>
  <w:endnote w:type="continuationSeparator" w:id="0">
    <w:p w14:paraId="335374AD" w14:textId="77777777" w:rsidR="001D5C9C" w:rsidRDefault="001D5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2DC0" w14:textId="77777777" w:rsidR="00EA66C0" w:rsidRDefault="00EA66C0">
    <w:pPr>
      <w:pStyle w:val="aa"/>
    </w:pPr>
  </w:p>
  <w:p w14:paraId="086AED6E" w14:textId="77777777" w:rsidR="00EA66C0" w:rsidRDefault="00EA66C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88F7" w14:textId="77777777" w:rsidR="001D5C9C" w:rsidRDefault="001D5C9C">
      <w:r>
        <w:separator/>
      </w:r>
    </w:p>
  </w:footnote>
  <w:footnote w:type="continuationSeparator" w:id="0">
    <w:p w14:paraId="029E73D3" w14:textId="77777777" w:rsidR="001D5C9C" w:rsidRDefault="001D5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6C0"/>
    <w:rsid w:val="0002471F"/>
    <w:rsid w:val="001D5C9C"/>
    <w:rsid w:val="002922D1"/>
    <w:rsid w:val="00924FE0"/>
    <w:rsid w:val="00EA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fr-FR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70A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5">
    <w:name w:val="annotation text"/>
    <w:aliases w:val=" 字元,Char11,Comment Text (US_Eng),字元"/>
    <w:basedOn w:val="a"/>
    <w:link w:val="Char"/>
    <w:unhideWhenUsed/>
    <w:qFormat/>
    <w:rPr>
      <w:rFonts w:asciiTheme="minorHAnsi" w:eastAsiaTheme="minorHAnsi" w:hAnsiTheme="minorHAnsi" w:cstheme="minorBidi"/>
      <w:lang w:eastAsia="en-US"/>
    </w:rPr>
  </w:style>
  <w:style w:type="character" w:customStyle="1" w:styleId="Char">
    <w:name w:val="메모 텍스트 Char"/>
    <w:aliases w:val=" 字元 Char,Char11 Char,Comment Text (US_Eng) Char,字元 Char"/>
    <w:basedOn w:val="a0"/>
    <w:link w:val="a5"/>
    <w:qFormat/>
  </w:style>
  <w:style w:type="paragraph" w:styleId="a6">
    <w:name w:val="annotation subject"/>
    <w:basedOn w:val="a5"/>
    <w:next w:val="a5"/>
    <w:link w:val="Char0"/>
    <w:uiPriority w:val="99"/>
    <w:semiHidden/>
    <w:unhideWhenUsed/>
    <w:rPr>
      <w:b/>
      <w:bCs/>
      <w:sz w:val="20"/>
      <w:szCs w:val="20"/>
    </w:rPr>
  </w:style>
  <w:style w:type="character" w:customStyle="1" w:styleId="Char0">
    <w:name w:val="메모 주제 Char"/>
    <w:basedOn w:val="Char"/>
    <w:link w:val="a6"/>
    <w:uiPriority w:val="99"/>
    <w:semiHidden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Pr>
      <w:rFonts w:eastAsiaTheme="minorHAnsi"/>
      <w:sz w:val="18"/>
      <w:szCs w:val="18"/>
      <w:lang w:eastAsia="en-US"/>
    </w:rPr>
  </w:style>
  <w:style w:type="character" w:customStyle="1" w:styleId="Char1">
    <w:name w:val="풍선 도움말 텍스트 Char"/>
    <w:basedOn w:val="a0"/>
    <w:link w:val="a7"/>
    <w:uiPriority w:val="99"/>
    <w:semiHidden/>
    <w:rPr>
      <w:rFonts w:ascii="Times New Roman" w:hAnsi="Times New Roman" w:cs="Times New Roman"/>
      <w:sz w:val="18"/>
      <w:szCs w:val="18"/>
    </w:rPr>
  </w:style>
  <w:style w:type="paragraph" w:customStyle="1" w:styleId="ICM">
    <w:name w:val="ICM"/>
    <w:qFormat/>
    <w:pPr>
      <w:spacing w:line="360" w:lineRule="auto"/>
      <w:jc w:val="both"/>
    </w:pPr>
    <w:rPr>
      <w:rFonts w:ascii="Times New Roman" w:eastAsiaTheme="majorEastAsia" w:hAnsi="Times New Roman" w:cstheme="minorHAnsi"/>
      <w:spacing w:val="-10"/>
      <w:kern w:val="28"/>
      <w:sz w:val="20"/>
      <w:szCs w:val="32"/>
      <w:lang w:val="en"/>
    </w:rPr>
  </w:style>
  <w:style w:type="character" w:styleId="a8">
    <w:name w:val="Hyperlink"/>
    <w:basedOn w:val="a0"/>
    <w:uiPriority w:val="99"/>
    <w:unhideWhenUsed/>
    <w:rPr>
      <w:color w:val="0563C1"/>
      <w:u w:val="single"/>
    </w:rPr>
  </w:style>
  <w:style w:type="paragraph" w:customStyle="1" w:styleId="1">
    <w:name w:val="수정1"/>
    <w:hidden/>
    <w:uiPriority w:val="99"/>
    <w:semiHidden/>
  </w:style>
  <w:style w:type="paragraph" w:styleId="a9">
    <w:name w:val="header"/>
    <w:basedOn w:val="a"/>
    <w:link w:val="Char2"/>
    <w:uiPriority w:val="99"/>
    <w:unhideWhenUsed/>
    <w:pPr>
      <w:tabs>
        <w:tab w:val="center" w:pos="4536"/>
        <w:tab w:val="right" w:pos="9072"/>
      </w:tabs>
    </w:pPr>
  </w:style>
  <w:style w:type="character" w:customStyle="1" w:styleId="Char2">
    <w:name w:val="머리글 Char"/>
    <w:basedOn w:val="a0"/>
    <w:link w:val="a9"/>
    <w:uiPriority w:val="99"/>
    <w:rPr>
      <w:rFonts w:ascii="Times New Roman" w:eastAsia="Times New Roman" w:hAnsi="Times New Roman" w:cs="Times New Roman"/>
      <w:lang w:eastAsia="fr-FR"/>
    </w:rPr>
  </w:style>
  <w:style w:type="paragraph" w:styleId="aa">
    <w:name w:val="footer"/>
    <w:basedOn w:val="a"/>
    <w:link w:val="Char3"/>
    <w:uiPriority w:val="99"/>
    <w:unhideWhenUsed/>
    <w:pPr>
      <w:tabs>
        <w:tab w:val="center" w:pos="4536"/>
        <w:tab w:val="right" w:pos="9072"/>
      </w:tabs>
    </w:pPr>
  </w:style>
  <w:style w:type="character" w:customStyle="1" w:styleId="Char3">
    <w:name w:val="바닥글 Char"/>
    <w:basedOn w:val="a0"/>
    <w:link w:val="aa"/>
    <w:uiPriority w:val="99"/>
    <w:rPr>
      <w:rFonts w:ascii="Times New Roman" w:eastAsia="Times New Roman" w:hAnsi="Times New Roman" w:cs="Times New Roman"/>
      <w:lang w:eastAsia="fr-FR"/>
    </w:rPr>
  </w:style>
  <w:style w:type="paragraph" w:customStyle="1" w:styleId="Bibliographie1">
    <w:name w:val="Bibliographie1"/>
    <w:basedOn w:val="a"/>
    <w:link w:val="BibliographyCar"/>
    <w:pPr>
      <w:tabs>
        <w:tab w:val="left" w:pos="380"/>
      </w:tabs>
      <w:spacing w:after="240"/>
      <w:ind w:left="384" w:hanging="384"/>
    </w:pPr>
    <w:rPr>
      <w:b/>
      <w:sz w:val="20"/>
      <w:szCs w:val="20"/>
      <w:lang w:val="en"/>
    </w:rPr>
  </w:style>
  <w:style w:type="character" w:customStyle="1" w:styleId="BibliographyCar">
    <w:name w:val="Bibliography Car"/>
    <w:basedOn w:val="a0"/>
    <w:link w:val="Bibliographie1"/>
    <w:rPr>
      <w:rFonts w:ascii="Times New Roman" w:eastAsia="Times New Roman" w:hAnsi="Times New Roman" w:cs="Times New Roman"/>
      <w:b/>
      <w:sz w:val="20"/>
      <w:szCs w:val="20"/>
      <w:lang w:val="en" w:eastAsia="fr-FR"/>
    </w:rPr>
  </w:style>
  <w:style w:type="paragraph" w:styleId="ab">
    <w:name w:val="List Paragraph"/>
    <w:basedOn w:val="a"/>
    <w:uiPriority w:val="34"/>
    <w:qFormat/>
    <w:pPr>
      <w:ind w:leftChars="400" w:left="800"/>
    </w:pPr>
  </w:style>
  <w:style w:type="paragraph" w:styleId="ac">
    <w:name w:val="Normal (Web)"/>
    <w:basedOn w:val="a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1193</Words>
  <Characters>6802</Characters>
  <Application>Microsoft Office Word</Application>
  <DocSecurity>0</DocSecurity>
  <Lines>56</Lines>
  <Paragraphs>15</Paragraphs>
  <ScaleCrop>false</ScaleCrop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2023-11-06T15:27:00Z</dcterms:created>
  <dcterms:modified xsi:type="dcterms:W3CDTF">2024-01-07T12:21:00Z</dcterms:modified>
  <cp:version>1200.0100.01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id="XJootI9R"/&gt;&lt;style id="http://www.zotero.org/styles/intensive-care-medicine" hasBibliography="1" bibliographyStyleHasBeenSet="1"/&gt;&lt;prefs&gt;&lt;pref name="fieldType" value="Field"/&gt;&lt;pref name="automatic</vt:lpwstr>
  </property>
  <property fmtid="{D5CDD505-2E9C-101B-9397-08002B2CF9AE}" pid="3" name="ZOTERO_PREF_2">
    <vt:lpwstr>JournalAbbreviations" value="true"/&gt;&lt;/prefs&gt;&lt;/data&gt;</vt:lpwstr>
  </property>
</Properties>
</file>