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FD25A" w14:textId="77777777" w:rsidR="00211E70" w:rsidRPr="00982F51" w:rsidRDefault="00211E70" w:rsidP="00211E70">
      <w:pPr>
        <w:spacing w:line="360" w:lineRule="auto"/>
        <w:ind w:left="360"/>
        <w:jc w:val="center"/>
        <w:rPr>
          <w:rFonts w:ascii="Times New Roman" w:eastAsiaTheme="minorEastAsia" w:hAnsi="Times New Roman" w:cs="Times New Roman"/>
          <w:b/>
          <w:bCs/>
          <w:sz w:val="24"/>
          <w:szCs w:val="24"/>
          <w:lang w:val="en-US"/>
        </w:rPr>
      </w:pPr>
      <w:r w:rsidRPr="00982F51">
        <w:rPr>
          <w:rFonts w:ascii="Times New Roman" w:eastAsiaTheme="minorEastAsia" w:hAnsi="Times New Roman" w:cs="Times New Roman"/>
          <w:b/>
          <w:bCs/>
          <w:sz w:val="24"/>
          <w:szCs w:val="24"/>
          <w:lang w:val="en-US"/>
        </w:rPr>
        <w:t>Appendix A</w:t>
      </w:r>
    </w:p>
    <w:p w14:paraId="2CF5CB52" w14:textId="77777777" w:rsidR="00211E70" w:rsidRPr="00982F51" w:rsidRDefault="00211E70" w:rsidP="00211E70">
      <w:pPr>
        <w:spacing w:line="360" w:lineRule="auto"/>
        <w:ind w:left="360"/>
        <w:jc w:val="center"/>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Examples of the three main types of exercise used in the SSDP.</w:t>
      </w:r>
    </w:p>
    <w:p w14:paraId="6C85CFBE" w14:textId="77777777" w:rsidR="00211E70" w:rsidRPr="00982F51" w:rsidRDefault="00211E70" w:rsidP="00211E70">
      <w:pPr>
        <w:spacing w:line="360" w:lineRule="auto"/>
        <w:ind w:left="360"/>
        <w:jc w:val="center"/>
        <w:rPr>
          <w:rFonts w:ascii="Times New Roman" w:eastAsiaTheme="minorEastAsia" w:hAnsi="Times New Roman" w:cs="Times New Roman"/>
          <w:sz w:val="24"/>
          <w:szCs w:val="24"/>
          <w:lang w:val="en-US"/>
        </w:rPr>
      </w:pPr>
    </w:p>
    <w:p w14:paraId="647FACC0" w14:textId="77777777" w:rsidR="00211E70" w:rsidRPr="00982F51" w:rsidRDefault="00211E70" w:rsidP="00211E70">
      <w:pPr>
        <w:pStyle w:val="ListParagraph"/>
        <w:numPr>
          <w:ilvl w:val="0"/>
          <w:numId w:val="1"/>
        </w:numPr>
        <w:spacing w:line="360" w:lineRule="auto"/>
        <w:rPr>
          <w:rFonts w:ascii="Times New Roman" w:eastAsiaTheme="minorEastAsia" w:hAnsi="Times New Roman" w:cs="Times New Roman"/>
          <w:b/>
          <w:bCs/>
          <w:i/>
          <w:iCs/>
          <w:sz w:val="24"/>
          <w:szCs w:val="24"/>
          <w:lang w:val="en-US"/>
        </w:rPr>
      </w:pPr>
      <w:r w:rsidRPr="00982F51">
        <w:rPr>
          <w:rFonts w:ascii="Times New Roman" w:eastAsiaTheme="minorEastAsia" w:hAnsi="Times New Roman" w:cs="Times New Roman"/>
          <w:b/>
          <w:bCs/>
          <w:i/>
          <w:iCs/>
          <w:sz w:val="24"/>
          <w:szCs w:val="24"/>
          <w:lang w:val="en-US"/>
        </w:rPr>
        <w:t>Exercises for inhibiting primitive reflexes (example)</w:t>
      </w:r>
    </w:p>
    <w:p w14:paraId="11131DFD"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Starting position: Kneel on all fours, with arms extended and palms on the floor, shoulder-width apart. Keep the thighs in a vertical position.</w:t>
      </w:r>
    </w:p>
    <w:p w14:paraId="25723D64"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1. Turn the head to the left so the left ear is aligned with the spine. Important: Keep the arms extended and the palms on the ground.</w:t>
      </w:r>
    </w:p>
    <w:p w14:paraId="2AA9EDEF"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2. Bend both elbows simultaneously, lower both shoulders and place the right ear on the ground.</w:t>
      </w:r>
    </w:p>
    <w:p w14:paraId="5419C409"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3. Extend both arms to return to the starting position.</w:t>
      </w:r>
    </w:p>
    <w:p w14:paraId="7B8281C8"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bookmarkStart w:id="0" w:name="_Hlk135749584"/>
      <w:r w:rsidRPr="00982F51">
        <w:rPr>
          <w:rFonts w:ascii="Times New Roman" w:eastAsiaTheme="minorEastAsia" w:hAnsi="Times New Roman" w:cs="Times New Roman"/>
          <w:sz w:val="24"/>
          <w:szCs w:val="24"/>
          <w:lang w:val="en-US"/>
        </w:rPr>
        <w:t>The exercises must also be performed for the number of repetitions on the opposite side.</w:t>
      </w:r>
    </w:p>
    <w:bookmarkEnd w:id="0"/>
    <w:p w14:paraId="58B9C0CD" w14:textId="77777777" w:rsidR="00211E70" w:rsidRPr="00982F51" w:rsidRDefault="00211E70" w:rsidP="00211E70">
      <w:pPr>
        <w:pStyle w:val="ListParagraph"/>
        <w:numPr>
          <w:ilvl w:val="0"/>
          <w:numId w:val="1"/>
        </w:numPr>
        <w:spacing w:line="360" w:lineRule="auto"/>
        <w:rPr>
          <w:rFonts w:ascii="Times New Roman" w:eastAsiaTheme="minorEastAsia" w:hAnsi="Times New Roman" w:cs="Times New Roman"/>
          <w:b/>
          <w:bCs/>
          <w:i/>
          <w:iCs/>
          <w:sz w:val="24"/>
          <w:szCs w:val="24"/>
          <w:lang w:val="en-US"/>
        </w:rPr>
      </w:pPr>
      <w:r w:rsidRPr="00982F51">
        <w:rPr>
          <w:rFonts w:ascii="Times New Roman" w:eastAsiaTheme="minorEastAsia" w:hAnsi="Times New Roman" w:cs="Times New Roman"/>
          <w:b/>
          <w:bCs/>
          <w:i/>
          <w:iCs/>
          <w:sz w:val="24"/>
          <w:szCs w:val="24"/>
          <w:lang w:val="en-US"/>
        </w:rPr>
        <w:t>Sensorimotor exercises (example)</w:t>
      </w:r>
    </w:p>
    <w:p w14:paraId="69266F15"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 xml:space="preserve">In each “round,” first tumble forward head over heels and then return to the starting position in one of four ways. In the first round, Bunny Hop back to the start. In the second round, Spider Walk. In the third, Crab Crawl. And in the fourth, Bear Crawl. </w:t>
      </w:r>
    </w:p>
    <w:p w14:paraId="02806714" w14:textId="77777777" w:rsidR="00211E70" w:rsidRPr="00982F51" w:rsidRDefault="00211E70" w:rsidP="00211E70">
      <w:pPr>
        <w:pStyle w:val="ListParagraph"/>
        <w:numPr>
          <w:ilvl w:val="0"/>
          <w:numId w:val="1"/>
        </w:numPr>
        <w:spacing w:line="360" w:lineRule="auto"/>
        <w:rPr>
          <w:rFonts w:ascii="Times New Roman" w:eastAsiaTheme="minorEastAsia" w:hAnsi="Times New Roman" w:cs="Times New Roman"/>
          <w:b/>
          <w:bCs/>
          <w:i/>
          <w:iCs/>
          <w:sz w:val="24"/>
          <w:szCs w:val="24"/>
          <w:lang w:val="en-US"/>
        </w:rPr>
      </w:pPr>
      <w:r w:rsidRPr="00982F51">
        <w:rPr>
          <w:rFonts w:ascii="Times New Roman" w:eastAsiaTheme="minorEastAsia" w:hAnsi="Times New Roman" w:cs="Times New Roman"/>
          <w:b/>
          <w:bCs/>
          <w:i/>
          <w:iCs/>
          <w:sz w:val="24"/>
          <w:szCs w:val="24"/>
          <w:lang w:val="en-US"/>
        </w:rPr>
        <w:t>Vestibular stimulation (example)</w:t>
      </w:r>
    </w:p>
    <w:p w14:paraId="12FF13B4"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Starting position:</w:t>
      </w:r>
      <w:r w:rsidRPr="00982F51">
        <w:rPr>
          <w:rFonts w:ascii="Times New Roman" w:eastAsiaTheme="minorEastAsia" w:hAnsi="Times New Roman" w:cs="Times New Roman"/>
          <w:b/>
          <w:bCs/>
          <w:sz w:val="24"/>
          <w:szCs w:val="24"/>
          <w:lang w:val="en-US"/>
        </w:rPr>
        <w:t xml:space="preserve"> </w:t>
      </w:r>
      <w:r w:rsidRPr="00982F51">
        <w:rPr>
          <w:rFonts w:ascii="Times New Roman" w:eastAsiaTheme="minorEastAsia" w:hAnsi="Times New Roman" w:cs="Times New Roman"/>
          <w:sz w:val="24"/>
          <w:szCs w:val="24"/>
          <w:lang w:val="en-US"/>
        </w:rPr>
        <w:t>Lie on the back (supine position), with arms on the floor, extended above the head as far as possible, elbows outstretched, and interlocked hands.</w:t>
      </w:r>
    </w:p>
    <w:p w14:paraId="5EA3A507"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1. Roll on the floor, with the caveat that the rolling movement should be initiated by crossing the legs, and the torso and arms follow. So, if lying on the back and rolling to the left, first cross the right leg over the left and then roll. Do the opposite if rolling to the right.</w:t>
      </w:r>
    </w:p>
    <w:p w14:paraId="46FED6B5" w14:textId="77777777" w:rsidR="00211E70" w:rsidRPr="00982F51" w:rsidRDefault="00211E70" w:rsidP="00211E70">
      <w:pPr>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br w:type="page"/>
      </w:r>
    </w:p>
    <w:p w14:paraId="397FBD70" w14:textId="77777777" w:rsidR="00211E70" w:rsidRPr="00982F51" w:rsidRDefault="00211E70" w:rsidP="00211E70">
      <w:pPr>
        <w:spacing w:line="360" w:lineRule="auto"/>
        <w:ind w:left="360"/>
        <w:jc w:val="center"/>
        <w:rPr>
          <w:rFonts w:ascii="Times New Roman" w:eastAsiaTheme="minorEastAsia" w:hAnsi="Times New Roman" w:cs="Times New Roman"/>
          <w:b/>
          <w:bCs/>
          <w:sz w:val="24"/>
          <w:szCs w:val="24"/>
          <w:lang w:val="en-US"/>
        </w:rPr>
      </w:pPr>
      <w:r w:rsidRPr="00982F51">
        <w:rPr>
          <w:rFonts w:ascii="Times New Roman" w:eastAsiaTheme="minorEastAsia" w:hAnsi="Times New Roman" w:cs="Times New Roman"/>
          <w:b/>
          <w:bCs/>
          <w:sz w:val="24"/>
          <w:szCs w:val="24"/>
          <w:lang w:val="en-US"/>
        </w:rPr>
        <w:lastRenderedPageBreak/>
        <w:t>Appendix B</w:t>
      </w:r>
    </w:p>
    <w:p w14:paraId="749349CD" w14:textId="77777777" w:rsidR="00211E70" w:rsidRPr="00982F51" w:rsidRDefault="00211E70" w:rsidP="00211E70">
      <w:pPr>
        <w:spacing w:line="360" w:lineRule="auto"/>
        <w:ind w:left="360"/>
        <w:jc w:val="center"/>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The main stages in the development of the SSDP in chronological order.</w:t>
      </w:r>
    </w:p>
    <w:p w14:paraId="51832EB0" w14:textId="77777777" w:rsidR="00211E70" w:rsidRPr="00982F51" w:rsidRDefault="00211E70" w:rsidP="00211E70">
      <w:pPr>
        <w:spacing w:line="360" w:lineRule="auto"/>
        <w:ind w:left="360"/>
        <w:rPr>
          <w:rFonts w:ascii="Times New Roman" w:eastAsiaTheme="minorEastAsia" w:hAnsi="Times New Roman" w:cs="Times New Roman"/>
          <w:sz w:val="24"/>
          <w:szCs w:val="24"/>
          <w:lang w:val="en-US"/>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6"/>
        <w:gridCol w:w="5602"/>
        <w:gridCol w:w="2949"/>
      </w:tblGrid>
      <w:tr w:rsidR="00211E70" w:rsidRPr="00982F51" w14:paraId="140E526B" w14:textId="77777777" w:rsidTr="00A20CA0">
        <w:tc>
          <w:tcPr>
            <w:tcW w:w="516" w:type="dxa"/>
            <w:tcBorders>
              <w:top w:val="single" w:sz="4" w:space="0" w:color="auto"/>
            </w:tcBorders>
          </w:tcPr>
          <w:p w14:paraId="30A30176"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w:t>
            </w:r>
          </w:p>
        </w:tc>
        <w:tc>
          <w:tcPr>
            <w:tcW w:w="5602" w:type="dxa"/>
            <w:tcBorders>
              <w:top w:val="single" w:sz="4" w:space="0" w:color="auto"/>
            </w:tcBorders>
          </w:tcPr>
          <w:p w14:paraId="787BD871"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Testing the elements of the training used in the research, and the groups of exercises, in practice</w:t>
            </w:r>
          </w:p>
        </w:tc>
        <w:tc>
          <w:tcPr>
            <w:tcW w:w="2949" w:type="dxa"/>
            <w:tcBorders>
              <w:top w:val="single" w:sz="4" w:space="0" w:color="auto"/>
            </w:tcBorders>
          </w:tcPr>
          <w:p w14:paraId="422B5951"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2010–2016</w:t>
            </w:r>
          </w:p>
        </w:tc>
      </w:tr>
      <w:tr w:rsidR="00211E70" w:rsidRPr="00982F51" w14:paraId="320C93D9" w14:textId="77777777" w:rsidTr="00A20CA0">
        <w:tc>
          <w:tcPr>
            <w:tcW w:w="516" w:type="dxa"/>
          </w:tcPr>
          <w:p w14:paraId="047C8C1F"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2.</w:t>
            </w:r>
          </w:p>
        </w:tc>
        <w:tc>
          <w:tcPr>
            <w:tcW w:w="5602" w:type="dxa"/>
          </w:tcPr>
          <w:p w14:paraId="39182C0C"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Study the theoretical background of the sensorimotor development training exercises</w:t>
            </w:r>
          </w:p>
        </w:tc>
        <w:tc>
          <w:tcPr>
            <w:tcW w:w="2949" w:type="dxa"/>
          </w:tcPr>
          <w:p w14:paraId="6F5E9755"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2015–2017</w:t>
            </w:r>
          </w:p>
          <w:p w14:paraId="1AE082F4" w14:textId="77777777" w:rsidR="00211E70" w:rsidRPr="00982F51" w:rsidRDefault="00211E70" w:rsidP="00A20CA0">
            <w:pPr>
              <w:spacing w:line="360" w:lineRule="auto"/>
              <w:jc w:val="both"/>
              <w:rPr>
                <w:rFonts w:ascii="Times New Roman" w:hAnsi="Times New Roman" w:cs="Times New Roman"/>
                <w:sz w:val="24"/>
                <w:szCs w:val="24"/>
                <w:lang w:val="en-US"/>
              </w:rPr>
            </w:pPr>
          </w:p>
        </w:tc>
      </w:tr>
      <w:tr w:rsidR="00211E70" w:rsidRPr="00982F51" w14:paraId="39CC4963" w14:textId="77777777" w:rsidTr="00A20CA0">
        <w:tc>
          <w:tcPr>
            <w:tcW w:w="516" w:type="dxa"/>
          </w:tcPr>
          <w:p w14:paraId="2790B111"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3.</w:t>
            </w:r>
          </w:p>
        </w:tc>
        <w:tc>
          <w:tcPr>
            <w:tcW w:w="5602" w:type="dxa"/>
          </w:tcPr>
          <w:p w14:paraId="74E5ACB8"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 xml:space="preserve">Selection and design of the measurement materials </w:t>
            </w:r>
          </w:p>
          <w:p w14:paraId="2A1FFCFD" w14:textId="77777777" w:rsidR="00211E70" w:rsidRPr="00982F51" w:rsidRDefault="00211E70" w:rsidP="00A20CA0">
            <w:pPr>
              <w:spacing w:line="276" w:lineRule="auto"/>
              <w:rPr>
                <w:rFonts w:ascii="Times New Roman" w:hAnsi="Times New Roman" w:cs="Times New Roman"/>
                <w:sz w:val="24"/>
                <w:szCs w:val="24"/>
                <w:lang w:val="en-US"/>
              </w:rPr>
            </w:pPr>
          </w:p>
        </w:tc>
        <w:tc>
          <w:tcPr>
            <w:tcW w:w="2949" w:type="dxa"/>
          </w:tcPr>
          <w:p w14:paraId="2839505A"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October–November 2016</w:t>
            </w:r>
          </w:p>
        </w:tc>
      </w:tr>
      <w:tr w:rsidR="00211E70" w:rsidRPr="00982F51" w14:paraId="68ADE101" w14:textId="77777777" w:rsidTr="00A20CA0">
        <w:tc>
          <w:tcPr>
            <w:tcW w:w="516" w:type="dxa"/>
          </w:tcPr>
          <w:p w14:paraId="6D2839BF"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4.</w:t>
            </w:r>
          </w:p>
        </w:tc>
        <w:tc>
          <w:tcPr>
            <w:tcW w:w="5602" w:type="dxa"/>
          </w:tcPr>
          <w:p w14:paraId="3B3C4BF9"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Testing of measurement materials</w:t>
            </w:r>
          </w:p>
        </w:tc>
        <w:tc>
          <w:tcPr>
            <w:tcW w:w="2949" w:type="dxa"/>
          </w:tcPr>
          <w:p w14:paraId="133B6567"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2016–2017</w:t>
            </w:r>
          </w:p>
        </w:tc>
      </w:tr>
      <w:tr w:rsidR="00211E70" w:rsidRPr="00982F51" w14:paraId="7592A93A" w14:textId="77777777" w:rsidTr="00A20CA0">
        <w:tc>
          <w:tcPr>
            <w:tcW w:w="516" w:type="dxa"/>
          </w:tcPr>
          <w:p w14:paraId="719DD33B"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5.</w:t>
            </w:r>
          </w:p>
        </w:tc>
        <w:tc>
          <w:tcPr>
            <w:tcW w:w="5602" w:type="dxa"/>
          </w:tcPr>
          <w:p w14:paraId="4EBD5F8A"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Correction of the set of measurement materials</w:t>
            </w:r>
          </w:p>
        </w:tc>
        <w:tc>
          <w:tcPr>
            <w:tcW w:w="2949" w:type="dxa"/>
          </w:tcPr>
          <w:p w14:paraId="52071A8E"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March 2017</w:t>
            </w:r>
          </w:p>
        </w:tc>
      </w:tr>
      <w:tr w:rsidR="00211E70" w:rsidRPr="00982F51" w14:paraId="698ABFF4" w14:textId="77777777" w:rsidTr="00A20CA0">
        <w:tc>
          <w:tcPr>
            <w:tcW w:w="516" w:type="dxa"/>
          </w:tcPr>
          <w:p w14:paraId="167308A3"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6.</w:t>
            </w:r>
          </w:p>
        </w:tc>
        <w:tc>
          <w:tcPr>
            <w:tcW w:w="5602" w:type="dxa"/>
          </w:tcPr>
          <w:p w14:paraId="561F24B6"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Sampling; pilot and control group</w:t>
            </w:r>
          </w:p>
        </w:tc>
        <w:tc>
          <w:tcPr>
            <w:tcW w:w="2949" w:type="dxa"/>
          </w:tcPr>
          <w:p w14:paraId="03D04F9C"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March–April 2017</w:t>
            </w:r>
          </w:p>
        </w:tc>
      </w:tr>
      <w:tr w:rsidR="00211E70" w:rsidRPr="00982F51" w14:paraId="2C306B4D" w14:textId="77777777" w:rsidTr="00A20CA0">
        <w:tc>
          <w:tcPr>
            <w:tcW w:w="516" w:type="dxa"/>
          </w:tcPr>
          <w:p w14:paraId="0AF2DAE5"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7.</w:t>
            </w:r>
          </w:p>
        </w:tc>
        <w:tc>
          <w:tcPr>
            <w:tcW w:w="5602" w:type="dxa"/>
          </w:tcPr>
          <w:p w14:paraId="21C44235"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Informing teachers at the participating institutions about the purpose of the research</w:t>
            </w:r>
          </w:p>
        </w:tc>
        <w:tc>
          <w:tcPr>
            <w:tcW w:w="2949" w:type="dxa"/>
          </w:tcPr>
          <w:p w14:paraId="012CBBE2"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April–May 2017</w:t>
            </w:r>
          </w:p>
        </w:tc>
      </w:tr>
      <w:tr w:rsidR="00211E70" w:rsidRPr="00982F51" w14:paraId="38F3D4E2" w14:textId="77777777" w:rsidTr="00A20CA0">
        <w:tc>
          <w:tcPr>
            <w:tcW w:w="516" w:type="dxa"/>
          </w:tcPr>
          <w:p w14:paraId="5891242A"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8.</w:t>
            </w:r>
          </w:p>
        </w:tc>
        <w:tc>
          <w:tcPr>
            <w:tcW w:w="5602" w:type="dxa"/>
          </w:tcPr>
          <w:p w14:paraId="532557A1"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Informing parents of children participating in the research about the purpose of the research and ethical approvals</w:t>
            </w:r>
          </w:p>
        </w:tc>
        <w:tc>
          <w:tcPr>
            <w:tcW w:w="2949" w:type="dxa"/>
          </w:tcPr>
          <w:p w14:paraId="5A9FA117"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April–May 2017</w:t>
            </w:r>
          </w:p>
        </w:tc>
      </w:tr>
      <w:tr w:rsidR="00211E70" w:rsidRPr="00982F51" w14:paraId="2E94CBF4" w14:textId="77777777" w:rsidTr="00A20CA0">
        <w:tc>
          <w:tcPr>
            <w:tcW w:w="516" w:type="dxa"/>
          </w:tcPr>
          <w:p w14:paraId="7D3AC0A8"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9.</w:t>
            </w:r>
          </w:p>
        </w:tc>
        <w:tc>
          <w:tcPr>
            <w:tcW w:w="5602" w:type="dxa"/>
          </w:tcPr>
          <w:p w14:paraId="51FDF613"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Teacher training for measurement</w:t>
            </w:r>
          </w:p>
        </w:tc>
        <w:tc>
          <w:tcPr>
            <w:tcW w:w="2949" w:type="dxa"/>
          </w:tcPr>
          <w:p w14:paraId="16D61949"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May–August 2017</w:t>
            </w:r>
          </w:p>
        </w:tc>
      </w:tr>
      <w:tr w:rsidR="00211E70" w:rsidRPr="00982F51" w14:paraId="1282C83E" w14:textId="77777777" w:rsidTr="00A20CA0">
        <w:tc>
          <w:tcPr>
            <w:tcW w:w="516" w:type="dxa"/>
          </w:tcPr>
          <w:p w14:paraId="1D611F97"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10.</w:t>
            </w:r>
          </w:p>
        </w:tc>
        <w:tc>
          <w:tcPr>
            <w:tcW w:w="5602" w:type="dxa"/>
          </w:tcPr>
          <w:p w14:paraId="3205B66D"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Preparing teachers for the training program</w:t>
            </w:r>
          </w:p>
        </w:tc>
        <w:tc>
          <w:tcPr>
            <w:tcW w:w="2949" w:type="dxa"/>
          </w:tcPr>
          <w:p w14:paraId="203453E2"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May–August 2017</w:t>
            </w:r>
          </w:p>
        </w:tc>
      </w:tr>
      <w:tr w:rsidR="00211E70" w:rsidRPr="00982F51" w14:paraId="7B205FA5" w14:textId="77777777" w:rsidTr="00A20CA0">
        <w:tc>
          <w:tcPr>
            <w:tcW w:w="516" w:type="dxa"/>
          </w:tcPr>
          <w:p w14:paraId="3E489C69"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11.</w:t>
            </w:r>
          </w:p>
        </w:tc>
        <w:tc>
          <w:tcPr>
            <w:tcW w:w="5602" w:type="dxa"/>
          </w:tcPr>
          <w:p w14:paraId="02A5303B"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Input measurements</w:t>
            </w:r>
          </w:p>
        </w:tc>
        <w:tc>
          <w:tcPr>
            <w:tcW w:w="2949" w:type="dxa"/>
          </w:tcPr>
          <w:p w14:paraId="1637F0DF"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September–October 2017</w:t>
            </w:r>
          </w:p>
        </w:tc>
      </w:tr>
      <w:tr w:rsidR="00211E70" w:rsidRPr="00982F51" w14:paraId="2A5A5748" w14:textId="77777777" w:rsidTr="00A20CA0">
        <w:tc>
          <w:tcPr>
            <w:tcW w:w="516" w:type="dxa"/>
          </w:tcPr>
          <w:p w14:paraId="24023C79"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12.</w:t>
            </w:r>
          </w:p>
        </w:tc>
        <w:tc>
          <w:tcPr>
            <w:tcW w:w="5602" w:type="dxa"/>
          </w:tcPr>
          <w:p w14:paraId="04D6A76E"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Training program launch</w:t>
            </w:r>
          </w:p>
        </w:tc>
        <w:tc>
          <w:tcPr>
            <w:tcW w:w="2949" w:type="dxa"/>
          </w:tcPr>
          <w:p w14:paraId="39E1E6A7"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October–November 2017</w:t>
            </w:r>
          </w:p>
        </w:tc>
      </w:tr>
      <w:tr w:rsidR="00211E70" w:rsidRPr="00982F51" w14:paraId="511A0871" w14:textId="77777777" w:rsidTr="00A20CA0">
        <w:tc>
          <w:tcPr>
            <w:tcW w:w="516" w:type="dxa"/>
          </w:tcPr>
          <w:p w14:paraId="66D32AFD"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13.</w:t>
            </w:r>
          </w:p>
        </w:tc>
        <w:tc>
          <w:tcPr>
            <w:tcW w:w="5602" w:type="dxa"/>
          </w:tcPr>
          <w:p w14:paraId="4E2510D7"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Ongoing liaison with teachers leading the training program</w:t>
            </w:r>
          </w:p>
        </w:tc>
        <w:tc>
          <w:tcPr>
            <w:tcW w:w="2949" w:type="dxa"/>
          </w:tcPr>
          <w:p w14:paraId="7F03D547"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October 2017 – July 2018</w:t>
            </w:r>
          </w:p>
        </w:tc>
      </w:tr>
      <w:tr w:rsidR="00211E70" w:rsidRPr="00982F51" w14:paraId="0A27FF10" w14:textId="77777777" w:rsidTr="00A20CA0">
        <w:tc>
          <w:tcPr>
            <w:tcW w:w="516" w:type="dxa"/>
          </w:tcPr>
          <w:p w14:paraId="6EC2B66F"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14.</w:t>
            </w:r>
          </w:p>
        </w:tc>
        <w:tc>
          <w:tcPr>
            <w:tcW w:w="5602" w:type="dxa"/>
          </w:tcPr>
          <w:p w14:paraId="3EDDA2EE"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Closing of the training program</w:t>
            </w:r>
          </w:p>
        </w:tc>
        <w:tc>
          <w:tcPr>
            <w:tcW w:w="2949" w:type="dxa"/>
          </w:tcPr>
          <w:p w14:paraId="57C05FCC"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May–July 2018</w:t>
            </w:r>
          </w:p>
        </w:tc>
      </w:tr>
      <w:tr w:rsidR="00211E70" w:rsidRPr="00982F51" w14:paraId="2D07087F" w14:textId="77777777" w:rsidTr="00A20CA0">
        <w:tc>
          <w:tcPr>
            <w:tcW w:w="516" w:type="dxa"/>
          </w:tcPr>
          <w:p w14:paraId="3B70B625"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15.</w:t>
            </w:r>
          </w:p>
        </w:tc>
        <w:tc>
          <w:tcPr>
            <w:tcW w:w="5602" w:type="dxa"/>
          </w:tcPr>
          <w:p w14:paraId="6E087F28"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Output measurements</w:t>
            </w:r>
          </w:p>
        </w:tc>
        <w:tc>
          <w:tcPr>
            <w:tcW w:w="2949" w:type="dxa"/>
          </w:tcPr>
          <w:p w14:paraId="570319F1"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May–July 2018</w:t>
            </w:r>
          </w:p>
        </w:tc>
      </w:tr>
      <w:tr w:rsidR="00211E70" w:rsidRPr="00982F51" w14:paraId="7EE60026" w14:textId="77777777" w:rsidTr="00A20CA0">
        <w:tc>
          <w:tcPr>
            <w:tcW w:w="516" w:type="dxa"/>
          </w:tcPr>
          <w:p w14:paraId="01DDB0BB"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16.</w:t>
            </w:r>
          </w:p>
        </w:tc>
        <w:tc>
          <w:tcPr>
            <w:tcW w:w="5602" w:type="dxa"/>
          </w:tcPr>
          <w:p w14:paraId="30D19914"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Data processing</w:t>
            </w:r>
          </w:p>
        </w:tc>
        <w:tc>
          <w:tcPr>
            <w:tcW w:w="2949" w:type="dxa"/>
          </w:tcPr>
          <w:p w14:paraId="73EA4F02"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July–September 2018</w:t>
            </w:r>
          </w:p>
        </w:tc>
      </w:tr>
      <w:tr w:rsidR="00211E70" w:rsidRPr="00982F51" w14:paraId="11949269" w14:textId="77777777" w:rsidTr="00A20CA0">
        <w:tc>
          <w:tcPr>
            <w:tcW w:w="516" w:type="dxa"/>
            <w:tcBorders>
              <w:bottom w:val="single" w:sz="4" w:space="0" w:color="auto"/>
            </w:tcBorders>
          </w:tcPr>
          <w:p w14:paraId="58A0BEE5"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17.</w:t>
            </w:r>
          </w:p>
        </w:tc>
        <w:tc>
          <w:tcPr>
            <w:tcW w:w="5602" w:type="dxa"/>
            <w:tcBorders>
              <w:bottom w:val="single" w:sz="4" w:space="0" w:color="auto"/>
            </w:tcBorders>
          </w:tcPr>
          <w:p w14:paraId="29C8323B" w14:textId="77777777" w:rsidR="00211E70" w:rsidRPr="00982F51" w:rsidRDefault="00211E70" w:rsidP="00A20CA0">
            <w:pPr>
              <w:spacing w:line="276"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Presentation and evaluation of results</w:t>
            </w:r>
          </w:p>
        </w:tc>
        <w:tc>
          <w:tcPr>
            <w:tcW w:w="2949" w:type="dxa"/>
            <w:tcBorders>
              <w:bottom w:val="single" w:sz="4" w:space="0" w:color="auto"/>
            </w:tcBorders>
          </w:tcPr>
          <w:p w14:paraId="003BCF83" w14:textId="77777777" w:rsidR="00211E70" w:rsidRPr="00982F51" w:rsidRDefault="00211E70" w:rsidP="00A20CA0">
            <w:pPr>
              <w:spacing w:line="360"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November 2018</w:t>
            </w:r>
          </w:p>
        </w:tc>
      </w:tr>
    </w:tbl>
    <w:p w14:paraId="0BC17401" w14:textId="77777777" w:rsidR="00211E70" w:rsidRPr="00982F51" w:rsidRDefault="00211E70" w:rsidP="00211E70">
      <w:pPr>
        <w:rPr>
          <w:rFonts w:ascii="Times New Roman" w:eastAsiaTheme="minorEastAsia" w:hAnsi="Times New Roman" w:cs="Times New Roman"/>
          <w:i/>
          <w:iCs/>
          <w:sz w:val="24"/>
          <w:szCs w:val="24"/>
          <w:lang w:val="en-US"/>
        </w:rPr>
      </w:pPr>
    </w:p>
    <w:p w14:paraId="178C1281" w14:textId="77777777" w:rsidR="00211E70" w:rsidRPr="00982F51" w:rsidRDefault="00211E70" w:rsidP="00211E70">
      <w:pPr>
        <w:ind w:left="-567"/>
        <w:rPr>
          <w:rFonts w:ascii="Times New Roman" w:hAnsi="Times New Roman" w:cs="Times New Roman"/>
          <w:b/>
          <w:bCs/>
          <w:sz w:val="24"/>
          <w:szCs w:val="24"/>
          <w:lang w:val="en-US"/>
        </w:rPr>
      </w:pPr>
    </w:p>
    <w:p w14:paraId="73AE971D" w14:textId="77777777" w:rsidR="00211E70" w:rsidRPr="00982F51" w:rsidRDefault="00211E70" w:rsidP="00211E70">
      <w:pPr>
        <w:spacing w:line="360" w:lineRule="auto"/>
        <w:jc w:val="center"/>
        <w:rPr>
          <w:rFonts w:ascii="Times New Roman" w:hAnsi="Times New Roman" w:cs="Times New Roman"/>
          <w:b/>
          <w:bCs/>
          <w:sz w:val="24"/>
          <w:szCs w:val="24"/>
          <w:lang w:val="en-US"/>
        </w:rPr>
      </w:pPr>
    </w:p>
    <w:p w14:paraId="0BE82509" w14:textId="77777777" w:rsidR="00211E70" w:rsidRPr="00982F51" w:rsidRDefault="00211E70" w:rsidP="00211E70">
      <w:pPr>
        <w:rPr>
          <w:rFonts w:ascii="Times New Roman" w:eastAsiaTheme="minorEastAsia" w:hAnsi="Times New Roman" w:cs="Times New Roman"/>
          <w:b/>
          <w:bCs/>
          <w:sz w:val="24"/>
          <w:szCs w:val="24"/>
          <w:lang w:val="en-US"/>
        </w:rPr>
      </w:pPr>
      <w:r w:rsidRPr="00982F51">
        <w:rPr>
          <w:rFonts w:ascii="Times New Roman" w:eastAsiaTheme="minorEastAsia" w:hAnsi="Times New Roman" w:cs="Times New Roman"/>
          <w:b/>
          <w:bCs/>
          <w:sz w:val="24"/>
          <w:szCs w:val="24"/>
          <w:lang w:val="en-US"/>
        </w:rPr>
        <w:br w:type="page"/>
      </w:r>
    </w:p>
    <w:p w14:paraId="63E18CBB" w14:textId="77777777" w:rsidR="00211E70" w:rsidRPr="00982F51" w:rsidRDefault="00211E70" w:rsidP="00211E70">
      <w:pPr>
        <w:spacing w:line="360" w:lineRule="auto"/>
        <w:ind w:left="360"/>
        <w:jc w:val="center"/>
        <w:rPr>
          <w:rFonts w:ascii="Times New Roman" w:eastAsiaTheme="minorEastAsia" w:hAnsi="Times New Roman" w:cs="Times New Roman"/>
          <w:b/>
          <w:bCs/>
          <w:sz w:val="24"/>
          <w:szCs w:val="24"/>
          <w:lang w:val="en-US"/>
        </w:rPr>
      </w:pPr>
      <w:r w:rsidRPr="00982F51">
        <w:rPr>
          <w:rFonts w:ascii="Times New Roman" w:eastAsiaTheme="minorEastAsia" w:hAnsi="Times New Roman" w:cs="Times New Roman"/>
          <w:b/>
          <w:bCs/>
          <w:sz w:val="24"/>
          <w:szCs w:val="24"/>
          <w:lang w:val="en-US"/>
        </w:rPr>
        <w:lastRenderedPageBreak/>
        <w:t>Appendix C</w:t>
      </w:r>
    </w:p>
    <w:p w14:paraId="5EE0C031" w14:textId="77777777" w:rsidR="00211E70" w:rsidRPr="00982F51" w:rsidRDefault="00211E70" w:rsidP="00211E70">
      <w:pPr>
        <w:spacing w:line="360" w:lineRule="auto"/>
        <w:ind w:left="360"/>
        <w:jc w:val="center"/>
        <w:rPr>
          <w:rFonts w:ascii="Times New Roman" w:eastAsiaTheme="minorEastAsia" w:hAnsi="Times New Roman" w:cs="Times New Roman"/>
          <w:sz w:val="24"/>
          <w:szCs w:val="24"/>
          <w:lang w:val="en-US"/>
        </w:rPr>
      </w:pPr>
      <w:r w:rsidRPr="00982F51">
        <w:rPr>
          <w:rFonts w:ascii="Times New Roman" w:eastAsiaTheme="minorEastAsia" w:hAnsi="Times New Roman" w:cs="Times New Roman"/>
          <w:sz w:val="24"/>
          <w:szCs w:val="24"/>
          <w:lang w:val="en-US"/>
        </w:rPr>
        <w:t>Detail of Measurement Scales used in Table 7.</w:t>
      </w:r>
    </w:p>
    <w:p w14:paraId="6F3A04F8" w14:textId="77777777" w:rsidR="00211E70" w:rsidRPr="00982F51" w:rsidRDefault="00211E70" w:rsidP="00211E70">
      <w:pPr>
        <w:spacing w:before="120" w:after="0" w:line="360" w:lineRule="auto"/>
        <w:rPr>
          <w:rFonts w:ascii="Times New Roman" w:eastAsia="Times New Roman" w:hAnsi="Times New Roman" w:cs="Times New Roman"/>
          <w:sz w:val="24"/>
          <w:szCs w:val="24"/>
          <w:lang w:val="en-US"/>
        </w:rPr>
      </w:pPr>
    </w:p>
    <w:tbl>
      <w:tblPr>
        <w:tblStyle w:val="TableGrid"/>
        <w:tblW w:w="680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41"/>
        <w:gridCol w:w="2268"/>
      </w:tblGrid>
      <w:tr w:rsidR="00211E70" w:rsidRPr="00982F51" w14:paraId="742BE81D" w14:textId="77777777" w:rsidTr="00A20CA0">
        <w:trPr>
          <w:cantSplit/>
        </w:trPr>
        <w:tc>
          <w:tcPr>
            <w:tcW w:w="4541" w:type="dxa"/>
            <w:tcBorders>
              <w:top w:val="single" w:sz="4" w:space="0" w:color="auto"/>
              <w:bottom w:val="single" w:sz="4" w:space="0" w:color="auto"/>
            </w:tcBorders>
          </w:tcPr>
          <w:p w14:paraId="1FDD90E3" w14:textId="77777777" w:rsidR="00211E70" w:rsidRPr="00982F51" w:rsidRDefault="00211E70" w:rsidP="00A20CA0">
            <w:pPr>
              <w:spacing w:line="360" w:lineRule="auto"/>
              <w:rPr>
                <w:rFonts w:ascii="Times New Roman" w:hAnsi="Times New Roman" w:cs="Times New Roman"/>
                <w:b/>
                <w:bCs/>
                <w:sz w:val="24"/>
                <w:szCs w:val="24"/>
                <w:lang w:val="en-US"/>
              </w:rPr>
            </w:pPr>
            <w:r w:rsidRPr="00982F51">
              <w:rPr>
                <w:sz w:val="24"/>
                <w:szCs w:val="24"/>
                <w:lang w:val="en-US"/>
              </w:rPr>
              <w:br w:type="page"/>
            </w:r>
            <w:r w:rsidRPr="00982F51">
              <w:rPr>
                <w:rFonts w:ascii="Times New Roman" w:hAnsi="Times New Roman" w:cs="Times New Roman"/>
                <w:b/>
                <w:bCs/>
                <w:sz w:val="24"/>
                <w:szCs w:val="24"/>
                <w:lang w:val="en-US"/>
              </w:rPr>
              <w:t>Variables (Elementary and Aggregate)</w:t>
            </w:r>
          </w:p>
        </w:tc>
        <w:tc>
          <w:tcPr>
            <w:tcW w:w="2268" w:type="dxa"/>
            <w:tcBorders>
              <w:top w:val="single" w:sz="4" w:space="0" w:color="auto"/>
              <w:bottom w:val="single" w:sz="4" w:space="0" w:color="auto"/>
            </w:tcBorders>
          </w:tcPr>
          <w:p w14:paraId="120C126F" w14:textId="77777777" w:rsidR="00211E70" w:rsidRPr="00982F51" w:rsidRDefault="00211E70" w:rsidP="00A20CA0">
            <w:pPr>
              <w:spacing w:line="276" w:lineRule="auto"/>
              <w:jc w:val="center"/>
              <w:rPr>
                <w:rFonts w:ascii="Times New Roman" w:hAnsi="Times New Roman" w:cs="Times New Roman"/>
                <w:b/>
                <w:bCs/>
                <w:sz w:val="24"/>
                <w:szCs w:val="24"/>
                <w:lang w:val="en-US"/>
              </w:rPr>
            </w:pPr>
            <w:r w:rsidRPr="00982F51">
              <w:rPr>
                <w:rFonts w:ascii="Times New Roman" w:hAnsi="Times New Roman" w:cs="Times New Roman"/>
                <w:b/>
                <w:bCs/>
                <w:sz w:val="24"/>
                <w:szCs w:val="24"/>
                <w:lang w:val="en-US"/>
              </w:rPr>
              <w:t>Scale (Linear)</w:t>
            </w:r>
          </w:p>
        </w:tc>
      </w:tr>
      <w:tr w:rsidR="00211E70" w:rsidRPr="00982F51" w14:paraId="61F168FB" w14:textId="77777777" w:rsidTr="00A20CA0">
        <w:tc>
          <w:tcPr>
            <w:tcW w:w="4541" w:type="dxa"/>
            <w:tcBorders>
              <w:top w:val="single" w:sz="4" w:space="0" w:color="auto"/>
            </w:tcBorders>
          </w:tcPr>
          <w:p w14:paraId="53749ECA"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Body schema</w:t>
            </w:r>
          </w:p>
        </w:tc>
        <w:tc>
          <w:tcPr>
            <w:tcW w:w="2268" w:type="dxa"/>
            <w:tcBorders>
              <w:top w:val="single" w:sz="4" w:space="0" w:color="auto"/>
            </w:tcBorders>
          </w:tcPr>
          <w:p w14:paraId="3BFC87C5"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6 points</w:t>
            </w:r>
          </w:p>
        </w:tc>
      </w:tr>
      <w:tr w:rsidR="00211E70" w:rsidRPr="00982F51" w14:paraId="30139BC8" w14:textId="77777777" w:rsidTr="00A20CA0">
        <w:tc>
          <w:tcPr>
            <w:tcW w:w="4541" w:type="dxa"/>
            <w:tcBorders>
              <w:top w:val="single" w:sz="4" w:space="0" w:color="auto"/>
            </w:tcBorders>
          </w:tcPr>
          <w:p w14:paraId="05554BEA"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Shape-to-background distinction</w:t>
            </w:r>
          </w:p>
        </w:tc>
        <w:tc>
          <w:tcPr>
            <w:tcW w:w="2268" w:type="dxa"/>
            <w:tcBorders>
              <w:top w:val="single" w:sz="4" w:space="0" w:color="auto"/>
            </w:tcBorders>
          </w:tcPr>
          <w:p w14:paraId="344E049C"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5 points</w:t>
            </w:r>
          </w:p>
        </w:tc>
      </w:tr>
      <w:tr w:rsidR="00211E70" w:rsidRPr="00982F51" w14:paraId="6858A98A" w14:textId="77777777" w:rsidTr="00A20CA0">
        <w:tc>
          <w:tcPr>
            <w:tcW w:w="4541" w:type="dxa"/>
            <w:tcBorders>
              <w:top w:val="single" w:sz="4" w:space="0" w:color="auto"/>
            </w:tcBorders>
          </w:tcPr>
          <w:p w14:paraId="7B4C0997"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Form detection</w:t>
            </w:r>
          </w:p>
        </w:tc>
        <w:tc>
          <w:tcPr>
            <w:tcW w:w="2268" w:type="dxa"/>
            <w:tcBorders>
              <w:top w:val="single" w:sz="4" w:space="0" w:color="auto"/>
            </w:tcBorders>
          </w:tcPr>
          <w:p w14:paraId="2F18E011"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7 points</w:t>
            </w:r>
          </w:p>
        </w:tc>
      </w:tr>
      <w:tr w:rsidR="00211E70" w:rsidRPr="00982F51" w14:paraId="3AA12CA1" w14:textId="77777777" w:rsidTr="00A20CA0">
        <w:tc>
          <w:tcPr>
            <w:tcW w:w="4541" w:type="dxa"/>
            <w:tcBorders>
              <w:top w:val="single" w:sz="4" w:space="0" w:color="auto"/>
            </w:tcBorders>
          </w:tcPr>
          <w:p w14:paraId="2C6D0A45"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Differentiation of directions</w:t>
            </w:r>
          </w:p>
        </w:tc>
        <w:tc>
          <w:tcPr>
            <w:tcW w:w="2268" w:type="dxa"/>
            <w:tcBorders>
              <w:top w:val="single" w:sz="4" w:space="0" w:color="auto"/>
            </w:tcBorders>
          </w:tcPr>
          <w:p w14:paraId="6E2FCB8F"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12 points</w:t>
            </w:r>
          </w:p>
        </w:tc>
      </w:tr>
      <w:tr w:rsidR="00211E70" w:rsidRPr="00982F51" w14:paraId="5AA863F1" w14:textId="77777777" w:rsidTr="00A20CA0">
        <w:tc>
          <w:tcPr>
            <w:tcW w:w="4541" w:type="dxa"/>
            <w:tcBorders>
              <w:top w:val="single" w:sz="4" w:space="0" w:color="auto"/>
            </w:tcBorders>
          </w:tcPr>
          <w:p w14:paraId="5439E3BF"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Relativity of spatial situation</w:t>
            </w:r>
          </w:p>
        </w:tc>
        <w:tc>
          <w:tcPr>
            <w:tcW w:w="2268" w:type="dxa"/>
            <w:tcBorders>
              <w:top w:val="single" w:sz="4" w:space="0" w:color="auto"/>
            </w:tcBorders>
          </w:tcPr>
          <w:p w14:paraId="4BE2E643"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5 points</w:t>
            </w:r>
          </w:p>
        </w:tc>
      </w:tr>
      <w:tr w:rsidR="00211E70" w:rsidRPr="00982F51" w14:paraId="05F1DFFA" w14:textId="77777777" w:rsidTr="00A20CA0">
        <w:tc>
          <w:tcPr>
            <w:tcW w:w="4541" w:type="dxa"/>
            <w:tcBorders>
              <w:top w:val="single" w:sz="4" w:space="0" w:color="auto"/>
            </w:tcBorders>
          </w:tcPr>
          <w:p w14:paraId="090EF8F5"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Visuomotor coordination</w:t>
            </w:r>
          </w:p>
        </w:tc>
        <w:tc>
          <w:tcPr>
            <w:tcW w:w="2268" w:type="dxa"/>
            <w:tcBorders>
              <w:top w:val="single" w:sz="4" w:space="0" w:color="auto"/>
            </w:tcBorders>
          </w:tcPr>
          <w:p w14:paraId="1E7191C4"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3 points</w:t>
            </w:r>
          </w:p>
        </w:tc>
      </w:tr>
      <w:tr w:rsidR="00211E70" w:rsidRPr="00982F51" w14:paraId="038AF165" w14:textId="77777777" w:rsidTr="00A20CA0">
        <w:tc>
          <w:tcPr>
            <w:tcW w:w="4541" w:type="dxa"/>
            <w:tcBorders>
              <w:top w:val="single" w:sz="4" w:space="0" w:color="auto"/>
            </w:tcBorders>
          </w:tcPr>
          <w:p w14:paraId="2B2A3025"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Visual memory</w:t>
            </w:r>
          </w:p>
        </w:tc>
        <w:tc>
          <w:tcPr>
            <w:tcW w:w="2268" w:type="dxa"/>
            <w:tcBorders>
              <w:top w:val="single" w:sz="4" w:space="0" w:color="auto"/>
            </w:tcBorders>
          </w:tcPr>
          <w:p w14:paraId="0C85C95F"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5 points</w:t>
            </w:r>
          </w:p>
        </w:tc>
      </w:tr>
      <w:tr w:rsidR="00211E70" w:rsidRPr="00982F51" w14:paraId="2181A2D0" w14:textId="77777777" w:rsidTr="00A20CA0">
        <w:tc>
          <w:tcPr>
            <w:tcW w:w="4541" w:type="dxa"/>
            <w:tcBorders>
              <w:top w:val="single" w:sz="4" w:space="0" w:color="auto"/>
            </w:tcBorders>
          </w:tcPr>
          <w:p w14:paraId="045B65CB"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b/>
                <w:bCs/>
                <w:sz w:val="24"/>
                <w:szCs w:val="24"/>
                <w:lang w:val="en-US"/>
              </w:rPr>
              <w:t>Visual abilities (aggregate)</w:t>
            </w:r>
          </w:p>
        </w:tc>
        <w:tc>
          <w:tcPr>
            <w:tcW w:w="2268" w:type="dxa"/>
            <w:tcBorders>
              <w:top w:val="single" w:sz="4" w:space="0" w:color="auto"/>
            </w:tcBorders>
          </w:tcPr>
          <w:p w14:paraId="415CD5C4"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b/>
                <w:bCs/>
                <w:sz w:val="24"/>
                <w:szCs w:val="24"/>
                <w:lang w:val="en-US"/>
              </w:rPr>
              <w:t>0 to 43 points</w:t>
            </w:r>
          </w:p>
        </w:tc>
      </w:tr>
      <w:tr w:rsidR="00211E70" w:rsidRPr="00982F51" w14:paraId="3AFF7D8A" w14:textId="77777777" w:rsidTr="00A20CA0">
        <w:tc>
          <w:tcPr>
            <w:tcW w:w="4541" w:type="dxa"/>
            <w:tcBorders>
              <w:top w:val="single" w:sz="4" w:space="0" w:color="auto"/>
            </w:tcBorders>
          </w:tcPr>
          <w:p w14:paraId="054FBA8A" w14:textId="77777777" w:rsidR="00211E70" w:rsidRPr="00982F51" w:rsidRDefault="00211E70" w:rsidP="00A20CA0">
            <w:pPr>
              <w:spacing w:line="360" w:lineRule="auto"/>
              <w:rPr>
                <w:rFonts w:ascii="Times New Roman" w:hAnsi="Times New Roman" w:cs="Times New Roman"/>
                <w:b/>
                <w:bCs/>
                <w:sz w:val="24"/>
                <w:szCs w:val="24"/>
                <w:lang w:val="en-US"/>
              </w:rPr>
            </w:pPr>
          </w:p>
        </w:tc>
        <w:tc>
          <w:tcPr>
            <w:tcW w:w="2268" w:type="dxa"/>
            <w:tcBorders>
              <w:top w:val="single" w:sz="4" w:space="0" w:color="auto"/>
            </w:tcBorders>
          </w:tcPr>
          <w:p w14:paraId="5EB403B7" w14:textId="77777777" w:rsidR="00211E70" w:rsidRPr="00982F51" w:rsidRDefault="00211E70" w:rsidP="00A20CA0">
            <w:pPr>
              <w:spacing w:line="276" w:lineRule="auto"/>
              <w:jc w:val="both"/>
              <w:rPr>
                <w:rFonts w:ascii="Times New Roman" w:hAnsi="Times New Roman" w:cs="Times New Roman"/>
                <w:b/>
                <w:bCs/>
                <w:sz w:val="24"/>
                <w:szCs w:val="24"/>
                <w:lang w:val="en-US"/>
              </w:rPr>
            </w:pPr>
          </w:p>
        </w:tc>
      </w:tr>
      <w:tr w:rsidR="00211E70" w:rsidRPr="00982F51" w14:paraId="4AD6D577" w14:textId="77777777" w:rsidTr="00A20CA0">
        <w:tc>
          <w:tcPr>
            <w:tcW w:w="4541" w:type="dxa"/>
            <w:tcBorders>
              <w:top w:val="single" w:sz="4" w:space="0" w:color="auto"/>
            </w:tcBorders>
          </w:tcPr>
          <w:p w14:paraId="767FECD9" w14:textId="77777777" w:rsidR="00211E70" w:rsidRPr="00982F51" w:rsidRDefault="00211E70" w:rsidP="00A20CA0">
            <w:pPr>
              <w:spacing w:line="360" w:lineRule="auto"/>
              <w:rPr>
                <w:rFonts w:ascii="Times New Roman" w:hAnsi="Times New Roman" w:cs="Times New Roman"/>
                <w:b/>
                <w:bCs/>
                <w:sz w:val="24"/>
                <w:szCs w:val="24"/>
                <w:lang w:val="en-US"/>
              </w:rPr>
            </w:pPr>
            <w:r w:rsidRPr="00982F51">
              <w:rPr>
                <w:rFonts w:ascii="Times New Roman" w:hAnsi="Times New Roman" w:cs="Times New Roman"/>
                <w:sz w:val="24"/>
                <w:szCs w:val="24"/>
                <w:lang w:val="en-US"/>
              </w:rPr>
              <w:t>Delayed verbal memory</w:t>
            </w:r>
          </w:p>
        </w:tc>
        <w:tc>
          <w:tcPr>
            <w:tcW w:w="2268" w:type="dxa"/>
            <w:tcBorders>
              <w:top w:val="single" w:sz="4" w:space="0" w:color="auto"/>
            </w:tcBorders>
          </w:tcPr>
          <w:p w14:paraId="24AE393E" w14:textId="77777777" w:rsidR="00211E70" w:rsidRPr="00982F51" w:rsidRDefault="00211E70" w:rsidP="00A20CA0">
            <w:pPr>
              <w:spacing w:line="276" w:lineRule="auto"/>
              <w:jc w:val="both"/>
              <w:rPr>
                <w:rFonts w:ascii="Times New Roman" w:hAnsi="Times New Roman" w:cs="Times New Roman"/>
                <w:b/>
                <w:bCs/>
                <w:sz w:val="24"/>
                <w:szCs w:val="24"/>
                <w:lang w:val="en-US"/>
              </w:rPr>
            </w:pPr>
            <w:r w:rsidRPr="00982F51">
              <w:rPr>
                <w:rFonts w:ascii="Times New Roman" w:hAnsi="Times New Roman" w:cs="Times New Roman"/>
                <w:sz w:val="24"/>
                <w:szCs w:val="24"/>
                <w:lang w:val="en-US"/>
              </w:rPr>
              <w:t>0 to 9 points</w:t>
            </w:r>
          </w:p>
        </w:tc>
      </w:tr>
      <w:tr w:rsidR="00211E70" w:rsidRPr="00982F51" w14:paraId="7E56D7DF" w14:textId="77777777" w:rsidTr="00A20CA0">
        <w:tc>
          <w:tcPr>
            <w:tcW w:w="4541" w:type="dxa"/>
            <w:tcBorders>
              <w:top w:val="single" w:sz="4" w:space="0" w:color="auto"/>
            </w:tcBorders>
          </w:tcPr>
          <w:p w14:paraId="2EC81D2F"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Relational vocabulary—spatial orientation</w:t>
            </w:r>
          </w:p>
        </w:tc>
        <w:tc>
          <w:tcPr>
            <w:tcW w:w="2268" w:type="dxa"/>
            <w:tcBorders>
              <w:top w:val="single" w:sz="4" w:space="0" w:color="auto"/>
            </w:tcBorders>
          </w:tcPr>
          <w:p w14:paraId="4E145D94"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6 points</w:t>
            </w:r>
          </w:p>
        </w:tc>
      </w:tr>
      <w:tr w:rsidR="00211E70" w:rsidRPr="00982F51" w14:paraId="1486AA2B" w14:textId="77777777" w:rsidTr="00A20CA0">
        <w:tc>
          <w:tcPr>
            <w:tcW w:w="4541" w:type="dxa"/>
            <w:tcBorders>
              <w:top w:val="single" w:sz="4" w:space="0" w:color="auto"/>
            </w:tcBorders>
          </w:tcPr>
          <w:p w14:paraId="64A46F6F"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Serial memory</w:t>
            </w:r>
          </w:p>
        </w:tc>
        <w:tc>
          <w:tcPr>
            <w:tcW w:w="2268" w:type="dxa"/>
            <w:tcBorders>
              <w:top w:val="single" w:sz="4" w:space="0" w:color="auto"/>
            </w:tcBorders>
          </w:tcPr>
          <w:p w14:paraId="1353E50C"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3 points</w:t>
            </w:r>
          </w:p>
        </w:tc>
      </w:tr>
      <w:tr w:rsidR="00211E70" w:rsidRPr="00982F51" w14:paraId="19CFFDBC" w14:textId="77777777" w:rsidTr="00A20CA0">
        <w:tc>
          <w:tcPr>
            <w:tcW w:w="4541" w:type="dxa"/>
            <w:tcBorders>
              <w:top w:val="single" w:sz="4" w:space="0" w:color="auto"/>
            </w:tcBorders>
          </w:tcPr>
          <w:p w14:paraId="0D3AFEED"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Auditory serial detection</w:t>
            </w:r>
          </w:p>
        </w:tc>
        <w:tc>
          <w:tcPr>
            <w:tcW w:w="2268" w:type="dxa"/>
            <w:tcBorders>
              <w:top w:val="single" w:sz="4" w:space="0" w:color="auto"/>
            </w:tcBorders>
          </w:tcPr>
          <w:p w14:paraId="2B5292A1"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3 points</w:t>
            </w:r>
          </w:p>
        </w:tc>
      </w:tr>
      <w:tr w:rsidR="00211E70" w:rsidRPr="00982F51" w14:paraId="399F5F66" w14:textId="77777777" w:rsidTr="00A20CA0">
        <w:tc>
          <w:tcPr>
            <w:tcW w:w="4541" w:type="dxa"/>
            <w:tcBorders>
              <w:top w:val="single" w:sz="4" w:space="0" w:color="auto"/>
            </w:tcBorders>
          </w:tcPr>
          <w:p w14:paraId="5B45E791"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Grammar</w:t>
            </w:r>
          </w:p>
        </w:tc>
        <w:tc>
          <w:tcPr>
            <w:tcW w:w="2268" w:type="dxa"/>
            <w:tcBorders>
              <w:top w:val="single" w:sz="4" w:space="0" w:color="auto"/>
            </w:tcBorders>
          </w:tcPr>
          <w:p w14:paraId="23D19073"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6 points</w:t>
            </w:r>
          </w:p>
        </w:tc>
      </w:tr>
      <w:tr w:rsidR="00211E70" w:rsidRPr="00982F51" w14:paraId="1529A6DC" w14:textId="77777777" w:rsidTr="00A20CA0">
        <w:tc>
          <w:tcPr>
            <w:tcW w:w="4541" w:type="dxa"/>
            <w:tcBorders>
              <w:top w:val="single" w:sz="4" w:space="0" w:color="auto"/>
            </w:tcBorders>
          </w:tcPr>
          <w:p w14:paraId="321B9ACE"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Conceptualization</w:t>
            </w:r>
          </w:p>
        </w:tc>
        <w:tc>
          <w:tcPr>
            <w:tcW w:w="2268" w:type="dxa"/>
            <w:tcBorders>
              <w:top w:val="single" w:sz="4" w:space="0" w:color="auto"/>
            </w:tcBorders>
          </w:tcPr>
          <w:p w14:paraId="680EA700"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sz w:val="24"/>
                <w:szCs w:val="24"/>
                <w:lang w:val="en-US"/>
              </w:rPr>
              <w:t>0 to 6 points</w:t>
            </w:r>
          </w:p>
        </w:tc>
      </w:tr>
      <w:tr w:rsidR="00211E70" w:rsidRPr="00982F51" w14:paraId="1A5007EF" w14:textId="77777777" w:rsidTr="00A20CA0">
        <w:tc>
          <w:tcPr>
            <w:tcW w:w="4541" w:type="dxa"/>
            <w:tcBorders>
              <w:top w:val="single" w:sz="4" w:space="0" w:color="auto"/>
            </w:tcBorders>
          </w:tcPr>
          <w:p w14:paraId="79F3030F"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Opposites</w:t>
            </w:r>
          </w:p>
        </w:tc>
        <w:tc>
          <w:tcPr>
            <w:tcW w:w="2268" w:type="dxa"/>
            <w:tcBorders>
              <w:top w:val="single" w:sz="4" w:space="0" w:color="auto"/>
            </w:tcBorders>
          </w:tcPr>
          <w:p w14:paraId="7AC95F0A"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sz w:val="24"/>
                <w:szCs w:val="24"/>
                <w:lang w:val="en-US"/>
              </w:rPr>
              <w:t>0 to 6 points</w:t>
            </w:r>
          </w:p>
        </w:tc>
      </w:tr>
      <w:tr w:rsidR="00211E70" w:rsidRPr="00982F51" w14:paraId="08E23176" w14:textId="77777777" w:rsidTr="00A20CA0">
        <w:tc>
          <w:tcPr>
            <w:tcW w:w="4541" w:type="dxa"/>
            <w:tcBorders>
              <w:top w:val="single" w:sz="4" w:space="0" w:color="auto"/>
              <w:bottom w:val="single" w:sz="4" w:space="0" w:color="auto"/>
            </w:tcBorders>
          </w:tcPr>
          <w:p w14:paraId="0B4D14B3" w14:textId="77777777" w:rsidR="00211E70" w:rsidRPr="00982F51" w:rsidRDefault="00211E70" w:rsidP="00A20CA0">
            <w:pPr>
              <w:spacing w:line="360" w:lineRule="auto"/>
              <w:rPr>
                <w:rFonts w:ascii="Times New Roman" w:hAnsi="Times New Roman" w:cs="Times New Roman"/>
                <w:sz w:val="24"/>
                <w:szCs w:val="24"/>
                <w:lang w:val="en-US"/>
              </w:rPr>
            </w:pPr>
            <w:r w:rsidRPr="00982F51">
              <w:rPr>
                <w:rFonts w:ascii="Times New Roman" w:hAnsi="Times New Roman" w:cs="Times New Roman"/>
                <w:b/>
                <w:bCs/>
                <w:sz w:val="24"/>
                <w:szCs w:val="24"/>
                <w:lang w:val="en-US"/>
              </w:rPr>
              <w:t>Auditory capabilities (aggregate)</w:t>
            </w:r>
          </w:p>
        </w:tc>
        <w:tc>
          <w:tcPr>
            <w:tcW w:w="2268" w:type="dxa"/>
            <w:tcBorders>
              <w:top w:val="single" w:sz="4" w:space="0" w:color="auto"/>
              <w:bottom w:val="single" w:sz="4" w:space="0" w:color="auto"/>
            </w:tcBorders>
          </w:tcPr>
          <w:p w14:paraId="271FC556" w14:textId="77777777" w:rsidR="00211E70" w:rsidRPr="00982F51" w:rsidRDefault="00211E70" w:rsidP="00A20CA0">
            <w:pPr>
              <w:spacing w:line="276" w:lineRule="auto"/>
              <w:jc w:val="both"/>
              <w:rPr>
                <w:rFonts w:ascii="Times New Roman" w:hAnsi="Times New Roman" w:cs="Times New Roman"/>
                <w:sz w:val="24"/>
                <w:szCs w:val="24"/>
                <w:lang w:val="en-US"/>
              </w:rPr>
            </w:pPr>
            <w:r w:rsidRPr="00982F51">
              <w:rPr>
                <w:rFonts w:ascii="Times New Roman" w:hAnsi="Times New Roman" w:cs="Times New Roman"/>
                <w:b/>
                <w:bCs/>
                <w:sz w:val="24"/>
                <w:szCs w:val="24"/>
                <w:lang w:val="en-US"/>
              </w:rPr>
              <w:t>0 to 41 points</w:t>
            </w:r>
          </w:p>
        </w:tc>
      </w:tr>
      <w:tr w:rsidR="00211E70" w:rsidRPr="00982F51" w14:paraId="3B087C8E" w14:textId="77777777" w:rsidTr="00A20CA0">
        <w:tc>
          <w:tcPr>
            <w:tcW w:w="4541" w:type="dxa"/>
            <w:tcBorders>
              <w:top w:val="single" w:sz="4" w:space="0" w:color="auto"/>
            </w:tcBorders>
          </w:tcPr>
          <w:p w14:paraId="68903EB3" w14:textId="77777777" w:rsidR="00211E70" w:rsidRPr="00982F51" w:rsidRDefault="00211E70" w:rsidP="00A20CA0">
            <w:pPr>
              <w:spacing w:line="360" w:lineRule="auto"/>
              <w:rPr>
                <w:rFonts w:ascii="Times New Roman" w:hAnsi="Times New Roman" w:cs="Times New Roman"/>
                <w:lang w:val="en-US"/>
              </w:rPr>
            </w:pPr>
          </w:p>
        </w:tc>
        <w:tc>
          <w:tcPr>
            <w:tcW w:w="2268" w:type="dxa"/>
            <w:tcBorders>
              <w:top w:val="single" w:sz="4" w:space="0" w:color="auto"/>
            </w:tcBorders>
          </w:tcPr>
          <w:p w14:paraId="00C25A22" w14:textId="77777777" w:rsidR="00211E70" w:rsidRPr="00982F51" w:rsidRDefault="00211E70" w:rsidP="00A20CA0">
            <w:pPr>
              <w:spacing w:line="360" w:lineRule="auto"/>
              <w:rPr>
                <w:rFonts w:ascii="Times New Roman" w:hAnsi="Times New Roman" w:cs="Times New Roman"/>
                <w:lang w:val="en-US"/>
              </w:rPr>
            </w:pPr>
          </w:p>
        </w:tc>
      </w:tr>
    </w:tbl>
    <w:p w14:paraId="4F9F21E3" w14:textId="77777777" w:rsidR="00211E70" w:rsidRPr="00982F51" w:rsidRDefault="00211E70" w:rsidP="00211E70">
      <w:pPr>
        <w:rPr>
          <w:rFonts w:ascii="Times New Roman" w:eastAsia="Calibri" w:hAnsi="Times New Roman" w:cs="Times New Roman"/>
          <w:sz w:val="24"/>
          <w:szCs w:val="24"/>
          <w:lang w:val="en-US"/>
        </w:rPr>
      </w:pPr>
    </w:p>
    <w:p w14:paraId="6EB60C81" w14:textId="77777777" w:rsidR="00831A5D" w:rsidRDefault="00831A5D"/>
    <w:sectPr w:rsidR="00831A5D">
      <w:headerReference w:type="default" r:id="rI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3DFA7" w14:textId="77777777" w:rsidR="00000000" w:rsidRPr="000F1335" w:rsidRDefault="00000000" w:rsidP="0056008C">
    <w:pPr>
      <w:pStyle w:val="Footer"/>
      <w:tabs>
        <w:tab w:val="clear" w:pos="4680"/>
        <w:tab w:val="clear" w:pos="9360"/>
        <w:tab w:val="right" w:pos="9072"/>
      </w:tabs>
      <w:rPr>
        <w:rFonts w:ascii="Times New Roman" w:hAnsi="Times New Roman" w:cs="Times New Roman"/>
      </w:rPr>
    </w:pPr>
    <w:r w:rsidRPr="000F1335">
      <w:rPr>
        <w:rFonts w:ascii="Times New Roman" w:hAnsi="Times New Roman" w:cs="Times New Roman"/>
        <w:lang w:val="en-IE"/>
      </w:rPr>
      <w:t>SENSORIMOTOR DEVELOPMENT IN CHILDREN AGED 5</w:t>
    </w:r>
    <w:r>
      <w:rPr>
        <w:rFonts w:ascii="Times New Roman" w:hAnsi="Times New Roman" w:cs="Times New Roman"/>
        <w:lang w:val="en-IE"/>
      </w:rPr>
      <w:t>–</w:t>
    </w:r>
    <w:r w:rsidRPr="000F1335">
      <w:rPr>
        <w:rFonts w:ascii="Times New Roman" w:hAnsi="Times New Roman" w:cs="Times New Roman"/>
        <w:lang w:val="en-IE"/>
      </w:rPr>
      <w:t>8</w:t>
    </w:r>
    <w:r w:rsidRPr="000F1335">
      <w:rPr>
        <w:rFonts w:ascii="Times New Roman" w:hAnsi="Times New Roman" w:cs="Times New Roman"/>
        <w:lang w:val="en-IE"/>
      </w:rPr>
      <w:tab/>
    </w:r>
    <w:sdt>
      <w:sdtPr>
        <w:rPr>
          <w:rFonts w:ascii="Times New Roman" w:hAnsi="Times New Roman" w:cs="Times New Roman"/>
        </w:rPr>
        <w:id w:val="-124008955"/>
        <w:docPartObj>
          <w:docPartGallery w:val="Page Numbers (Bottom of Page)"/>
          <w:docPartUnique/>
        </w:docPartObj>
      </w:sdtPr>
      <w:sdtEndPr>
        <w:rPr>
          <w:noProof/>
        </w:rPr>
      </w:sdtEndPr>
      <w:sdtContent>
        <w:r w:rsidRPr="000F1335">
          <w:rPr>
            <w:rFonts w:ascii="Times New Roman" w:hAnsi="Times New Roman" w:cs="Times New Roman"/>
          </w:rPr>
          <w:fldChar w:fldCharType="begin"/>
        </w:r>
        <w:r w:rsidRPr="000F1335">
          <w:rPr>
            <w:rFonts w:ascii="Times New Roman" w:hAnsi="Times New Roman" w:cs="Times New Roman"/>
          </w:rPr>
          <w:instrText xml:space="preserve"> PAGE   \* MERGEFORMAT </w:instrText>
        </w:r>
        <w:r w:rsidRPr="000F1335">
          <w:rPr>
            <w:rFonts w:ascii="Times New Roman" w:hAnsi="Times New Roman" w:cs="Times New Roman"/>
          </w:rPr>
          <w:fldChar w:fldCharType="separate"/>
        </w:r>
        <w:r w:rsidRPr="000F1335">
          <w:rPr>
            <w:rFonts w:ascii="Times New Roman" w:hAnsi="Times New Roman" w:cs="Times New Roman"/>
          </w:rPr>
          <w:t>1</w:t>
        </w:r>
        <w:r w:rsidRPr="000F1335">
          <w:rPr>
            <w:rFonts w:ascii="Times New Roman" w:hAnsi="Times New Roman" w:cs="Times New Roman"/>
            <w:noProof/>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B9752C"/>
    <w:multiLevelType w:val="hybridMultilevel"/>
    <w:tmpl w:val="D2BC2B0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95183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E70"/>
    <w:rsid w:val="00211E70"/>
    <w:rsid w:val="00831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572F4"/>
  <w15:chartTrackingRefBased/>
  <w15:docId w15:val="{350141F9-BAA3-4954-9FA9-662F03BB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E70"/>
    <w:rPr>
      <w:kern w:val="0"/>
      <w:lang w:val="hu-H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E70"/>
    <w:pPr>
      <w:spacing w:after="0" w:line="240" w:lineRule="auto"/>
    </w:pPr>
    <w:rPr>
      <w:kern w:val="0"/>
      <w:lang w:val="hu-H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1E70"/>
    <w:pPr>
      <w:ind w:left="720"/>
      <w:contextualSpacing/>
    </w:pPr>
  </w:style>
  <w:style w:type="paragraph" w:styleId="Footer">
    <w:name w:val="footer"/>
    <w:basedOn w:val="Normal"/>
    <w:link w:val="FooterChar"/>
    <w:uiPriority w:val="99"/>
    <w:unhideWhenUsed/>
    <w:rsid w:val="00211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E70"/>
    <w:rPr>
      <w:kern w:val="0"/>
      <w:lang w:val="hu-H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511</Words>
  <Characters>2915</Characters>
  <Application>Microsoft Office Word</Application>
  <DocSecurity>0</DocSecurity>
  <Lines>24</Lines>
  <Paragraphs>6</Paragraphs>
  <ScaleCrop>false</ScaleCrop>
  <Company>SpringerNature</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2024-01-09T08:07:00Z</dcterms:created>
  <dcterms:modified xsi:type="dcterms:W3CDTF">2024-01-09T08:07:00Z</dcterms:modified>
</cp:coreProperties>
</file>