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8EF82" w14:textId="77777777" w:rsidR="003D7CC9" w:rsidRDefault="003D7CC9" w:rsidP="003D7CC9">
      <w:pPr>
        <w:spacing w:line="360" w:lineRule="auto"/>
        <w:jc w:val="center"/>
        <w:rPr>
          <w:rFonts w:ascii="Times New Roman" w:hAnsi="Times New Roman" w:cs="Times New Roman"/>
          <w:b/>
          <w:bCs/>
          <w:sz w:val="24"/>
          <w:szCs w:val="28"/>
        </w:rPr>
      </w:pPr>
      <w:bookmarkStart w:id="0" w:name="_Hlk151644302"/>
      <w:bookmarkStart w:id="1" w:name="_Hlk147353993"/>
      <w:bookmarkStart w:id="2" w:name="_Hlk137128931"/>
      <w:r w:rsidRPr="001E3750">
        <w:rPr>
          <w:rFonts w:ascii="Times New Roman" w:hAnsi="Times New Roman" w:cs="Times New Roman"/>
          <w:b/>
          <w:bCs/>
          <w:sz w:val="24"/>
          <w:szCs w:val="28"/>
        </w:rPr>
        <w:t>Micellar Curcumol for Maintenance Therapy of Ovarian Cancer</w:t>
      </w:r>
    </w:p>
    <w:p w14:paraId="29B92BF7" w14:textId="77777777" w:rsidR="003D7CC9" w:rsidRPr="001E3750" w:rsidRDefault="003D7CC9" w:rsidP="003D7CC9">
      <w:pPr>
        <w:spacing w:line="360" w:lineRule="auto"/>
        <w:jc w:val="center"/>
        <w:rPr>
          <w:rFonts w:ascii="Times New Roman" w:hAnsi="Times New Roman" w:cs="Times New Roman"/>
          <w:b/>
          <w:bCs/>
          <w:sz w:val="24"/>
          <w:szCs w:val="28"/>
        </w:rPr>
      </w:pPr>
      <w:r w:rsidRPr="001E3750">
        <w:rPr>
          <w:rFonts w:ascii="Times New Roman" w:hAnsi="Times New Roman" w:cs="Times New Roman"/>
          <w:b/>
          <w:bCs/>
          <w:sz w:val="24"/>
          <w:szCs w:val="28"/>
        </w:rPr>
        <w:t xml:space="preserve"> by activating the FOXO3a</w:t>
      </w:r>
    </w:p>
    <w:p w14:paraId="3FD85F1F" w14:textId="367A4C44" w:rsidR="003D7CC9" w:rsidRPr="00AD6F6E" w:rsidRDefault="003D7CC9" w:rsidP="003D7CC9">
      <w:pPr>
        <w:spacing w:line="360" w:lineRule="auto"/>
        <w:rPr>
          <w:rFonts w:ascii="Times New Roman" w:hAnsi="Times New Roman" w:cs="Times New Roman"/>
          <w:sz w:val="24"/>
          <w:szCs w:val="28"/>
        </w:rPr>
      </w:pPr>
      <w:r w:rsidRPr="00AD6F6E">
        <w:rPr>
          <w:rFonts w:ascii="Times New Roman" w:hAnsi="Times New Roman" w:cs="Times New Roman"/>
          <w:sz w:val="24"/>
          <w:szCs w:val="28"/>
        </w:rPr>
        <w:t xml:space="preserve">Jing Wang </w:t>
      </w:r>
      <w:r w:rsidRPr="00AD6F6E">
        <w:rPr>
          <w:rFonts w:ascii="Times New Roman" w:hAnsi="Times New Roman" w:cs="Times New Roman"/>
          <w:sz w:val="24"/>
          <w:szCs w:val="28"/>
          <w:vertAlign w:val="superscript"/>
        </w:rPr>
        <w:t>a</w:t>
      </w:r>
      <w:r w:rsidRPr="00364A00">
        <w:t>†</w:t>
      </w:r>
      <w:r w:rsidRPr="00364A00">
        <w:rPr>
          <w:rFonts w:ascii="Times New Roman" w:hAnsi="Times New Roman" w:cs="Times New Roman"/>
          <w:sz w:val="24"/>
          <w:szCs w:val="28"/>
        </w:rPr>
        <w:t>*</w:t>
      </w:r>
      <w:r w:rsidRPr="00AD6F6E">
        <w:rPr>
          <w:rFonts w:ascii="Times New Roman" w:hAnsi="Times New Roman" w:cs="Times New Roman"/>
          <w:sz w:val="24"/>
          <w:szCs w:val="28"/>
        </w:rPr>
        <w:t>, Bin</w:t>
      </w:r>
      <w:r w:rsidR="00240F3D">
        <w:rPr>
          <w:rFonts w:ascii="Times New Roman" w:hAnsi="Times New Roman" w:cs="Times New Roman"/>
          <w:sz w:val="24"/>
          <w:szCs w:val="28"/>
        </w:rPr>
        <w:t>g</w:t>
      </w:r>
      <w:r w:rsidRPr="00AD6F6E">
        <w:rPr>
          <w:rFonts w:ascii="Times New Roman" w:hAnsi="Times New Roman" w:cs="Times New Roman"/>
          <w:sz w:val="24"/>
          <w:szCs w:val="28"/>
        </w:rPr>
        <w:t xml:space="preserve"> Chen </w:t>
      </w:r>
      <w:r w:rsidRPr="00AD6F6E">
        <w:rPr>
          <w:rFonts w:ascii="Times New Roman" w:hAnsi="Times New Roman" w:cs="Times New Roman"/>
          <w:sz w:val="24"/>
          <w:szCs w:val="28"/>
          <w:vertAlign w:val="superscript"/>
        </w:rPr>
        <w:t>b</w:t>
      </w:r>
      <w:r w:rsidRPr="00364A00">
        <w:t>†</w:t>
      </w:r>
      <w:r w:rsidRPr="00AD6F6E">
        <w:rPr>
          <w:rFonts w:ascii="Times New Roman" w:hAnsi="Times New Roman" w:cs="Times New Roman"/>
          <w:sz w:val="24"/>
          <w:szCs w:val="28"/>
        </w:rPr>
        <w:t xml:space="preserve">, Jiezhen Yang </w:t>
      </w:r>
      <w:r w:rsidRPr="00AD6F6E">
        <w:rPr>
          <w:rFonts w:ascii="Times New Roman" w:hAnsi="Times New Roman" w:cs="Times New Roman"/>
          <w:sz w:val="24"/>
          <w:szCs w:val="28"/>
          <w:vertAlign w:val="superscript"/>
        </w:rPr>
        <w:t>c, d</w:t>
      </w:r>
      <w:r w:rsidRPr="00364A00">
        <w:t>†</w:t>
      </w:r>
      <w:r w:rsidRPr="00AD6F6E">
        <w:rPr>
          <w:rFonts w:ascii="Times New Roman" w:hAnsi="Times New Roman" w:cs="Times New Roman"/>
          <w:sz w:val="24"/>
          <w:szCs w:val="28"/>
        </w:rPr>
        <w:t>, Qin Tang</w:t>
      </w:r>
      <w:r>
        <w:rPr>
          <w:rFonts w:ascii="Times New Roman" w:hAnsi="Times New Roman" w:cs="Times New Roman"/>
          <w:sz w:val="24"/>
          <w:szCs w:val="28"/>
        </w:rPr>
        <w:t xml:space="preserve"> </w:t>
      </w:r>
      <w:r w:rsidRPr="00AD6F6E">
        <w:rPr>
          <w:rFonts w:ascii="Times New Roman" w:hAnsi="Times New Roman" w:cs="Times New Roman"/>
          <w:sz w:val="24"/>
          <w:szCs w:val="28"/>
          <w:vertAlign w:val="superscript"/>
        </w:rPr>
        <w:t>c</w:t>
      </w:r>
      <w:r w:rsidRPr="00AD6F6E">
        <w:rPr>
          <w:rFonts w:ascii="Times New Roman" w:hAnsi="Times New Roman" w:cs="Times New Roman"/>
          <w:sz w:val="24"/>
          <w:szCs w:val="28"/>
        </w:rPr>
        <w:t xml:space="preserve">, Yan Zhong </w:t>
      </w:r>
      <w:r w:rsidRPr="00AD6F6E">
        <w:rPr>
          <w:rFonts w:ascii="Times New Roman" w:hAnsi="Times New Roman" w:cs="Times New Roman"/>
          <w:sz w:val="24"/>
          <w:szCs w:val="28"/>
          <w:vertAlign w:val="superscript"/>
        </w:rPr>
        <w:t>a</w:t>
      </w:r>
      <w:r w:rsidRPr="00AD6F6E">
        <w:rPr>
          <w:rFonts w:ascii="Times New Roman" w:hAnsi="Times New Roman" w:cs="Times New Roman"/>
          <w:sz w:val="24"/>
          <w:szCs w:val="28"/>
        </w:rPr>
        <w:t xml:space="preserve">, Jiyu Du </w:t>
      </w:r>
      <w:r w:rsidRPr="00AD6F6E">
        <w:rPr>
          <w:rFonts w:ascii="Times New Roman" w:hAnsi="Times New Roman" w:cs="Times New Roman"/>
          <w:sz w:val="24"/>
          <w:szCs w:val="28"/>
          <w:vertAlign w:val="superscript"/>
        </w:rPr>
        <w:t>c</w:t>
      </w:r>
      <w:r w:rsidRPr="00AD6F6E">
        <w:rPr>
          <w:rFonts w:ascii="Times New Roman" w:hAnsi="Times New Roman" w:cs="Times New Roman"/>
          <w:sz w:val="24"/>
          <w:szCs w:val="28"/>
        </w:rPr>
        <w:t xml:space="preserve">, Sheng Wang </w:t>
      </w:r>
      <w:r w:rsidRPr="00AD6F6E">
        <w:rPr>
          <w:rFonts w:ascii="Times New Roman" w:hAnsi="Times New Roman" w:cs="Times New Roman"/>
          <w:sz w:val="24"/>
          <w:szCs w:val="28"/>
          <w:vertAlign w:val="superscript"/>
        </w:rPr>
        <w:t>c</w:t>
      </w:r>
      <w:r w:rsidRPr="00AD6F6E">
        <w:rPr>
          <w:rFonts w:ascii="Times New Roman" w:hAnsi="Times New Roman" w:cs="Times New Roman"/>
          <w:sz w:val="24"/>
          <w:szCs w:val="28"/>
        </w:rPr>
        <w:t xml:space="preserve">, Qiang Wu </w:t>
      </w:r>
      <w:r w:rsidRPr="00AD6F6E">
        <w:rPr>
          <w:rFonts w:ascii="Times New Roman" w:hAnsi="Times New Roman" w:cs="Times New Roman"/>
          <w:sz w:val="24"/>
          <w:szCs w:val="28"/>
          <w:vertAlign w:val="superscript"/>
        </w:rPr>
        <w:t>c</w:t>
      </w:r>
      <w:r w:rsidRPr="00AD6F6E">
        <w:rPr>
          <w:rFonts w:ascii="Times New Roman" w:hAnsi="Times New Roman" w:cs="Times New Roman"/>
          <w:sz w:val="24"/>
          <w:szCs w:val="28"/>
        </w:rPr>
        <w:t xml:space="preserve">, </w:t>
      </w:r>
      <w:r w:rsidR="009F4912">
        <w:rPr>
          <w:rFonts w:ascii="Times New Roman" w:hAnsi="Times New Roman" w:cs="Times New Roman"/>
          <w:sz w:val="24"/>
          <w:szCs w:val="28"/>
        </w:rPr>
        <w:t xml:space="preserve">Yang Lu </w:t>
      </w:r>
      <w:r w:rsidR="009F4912" w:rsidRPr="009F4912">
        <w:rPr>
          <w:rFonts w:ascii="Times New Roman" w:hAnsi="Times New Roman" w:cs="Times New Roman"/>
          <w:sz w:val="24"/>
          <w:szCs w:val="28"/>
          <w:vertAlign w:val="superscript"/>
        </w:rPr>
        <w:t>b</w:t>
      </w:r>
      <w:r w:rsidR="009F4912" w:rsidRPr="00ED1D18">
        <w:rPr>
          <w:rFonts w:ascii="Times New Roman" w:hAnsi="Times New Roman" w:cs="Times New Roman"/>
          <w:sz w:val="24"/>
          <w:szCs w:val="28"/>
        </w:rPr>
        <w:t>*</w:t>
      </w:r>
      <w:r w:rsidR="009F4912">
        <w:rPr>
          <w:rFonts w:ascii="Times New Roman" w:hAnsi="Times New Roman" w:cs="Times New Roman"/>
          <w:sz w:val="24"/>
          <w:szCs w:val="28"/>
        </w:rPr>
        <w:t xml:space="preserve">, </w:t>
      </w:r>
      <w:r w:rsidRPr="00AD6F6E">
        <w:rPr>
          <w:rFonts w:ascii="Times New Roman" w:hAnsi="Times New Roman" w:cs="Times New Roman"/>
          <w:sz w:val="24"/>
          <w:szCs w:val="28"/>
        </w:rPr>
        <w:t xml:space="preserve">Yonghong Song </w:t>
      </w:r>
      <w:r w:rsidRPr="00AD6F6E">
        <w:rPr>
          <w:rFonts w:ascii="Times New Roman" w:hAnsi="Times New Roman" w:cs="Times New Roman"/>
          <w:sz w:val="24"/>
          <w:szCs w:val="28"/>
          <w:vertAlign w:val="superscript"/>
        </w:rPr>
        <w:t>b</w:t>
      </w:r>
      <w:r w:rsidRPr="00364A00">
        <w:rPr>
          <w:rFonts w:ascii="Times New Roman" w:hAnsi="Times New Roman" w:cs="Times New Roman"/>
          <w:sz w:val="24"/>
          <w:szCs w:val="28"/>
        </w:rPr>
        <w:t>*</w:t>
      </w:r>
    </w:p>
    <w:p w14:paraId="6AC61189" w14:textId="77777777" w:rsidR="003D7CC9" w:rsidRPr="00AD6F6E" w:rsidRDefault="003D7CC9" w:rsidP="003D7CC9">
      <w:pPr>
        <w:spacing w:line="360" w:lineRule="auto"/>
        <w:rPr>
          <w:rFonts w:ascii="Times New Roman" w:hAnsi="Times New Roman" w:cs="Times New Roman"/>
          <w:sz w:val="24"/>
          <w:szCs w:val="28"/>
        </w:rPr>
      </w:pPr>
      <w:r w:rsidRPr="00AD6F6E">
        <w:rPr>
          <w:rFonts w:ascii="Times New Roman" w:hAnsi="Times New Roman" w:cs="Times New Roman"/>
          <w:sz w:val="24"/>
          <w:szCs w:val="28"/>
        </w:rPr>
        <w:t>a Department of Obstetrics &amp; Gynecology, First Affiliated Hospital of Anhui Medical University, Hefei 230020, Anhui, P.R. China</w:t>
      </w:r>
    </w:p>
    <w:p w14:paraId="4B9B967A" w14:textId="77777777" w:rsidR="003D7CC9" w:rsidRPr="00AD6F6E" w:rsidRDefault="003D7CC9" w:rsidP="003D7CC9">
      <w:pPr>
        <w:spacing w:line="360" w:lineRule="auto"/>
        <w:rPr>
          <w:rFonts w:ascii="Times New Roman" w:hAnsi="Times New Roman" w:cs="Times New Roman"/>
          <w:sz w:val="24"/>
          <w:szCs w:val="28"/>
        </w:rPr>
      </w:pPr>
      <w:r w:rsidRPr="00AD6F6E">
        <w:rPr>
          <w:rFonts w:ascii="Times New Roman" w:hAnsi="Times New Roman" w:cs="Times New Roman"/>
          <w:sz w:val="24"/>
          <w:szCs w:val="28"/>
        </w:rPr>
        <w:t>b School of Chemistry and Chemical Engineering, Hefei University of Technology,</w:t>
      </w:r>
    </w:p>
    <w:p w14:paraId="2AE89AC4" w14:textId="77777777" w:rsidR="003D7CC9" w:rsidRPr="00AD6F6E" w:rsidRDefault="003D7CC9" w:rsidP="003D7CC9">
      <w:pPr>
        <w:spacing w:line="360" w:lineRule="auto"/>
        <w:rPr>
          <w:rFonts w:ascii="Times New Roman" w:hAnsi="Times New Roman" w:cs="Times New Roman"/>
          <w:sz w:val="24"/>
          <w:szCs w:val="28"/>
        </w:rPr>
      </w:pPr>
      <w:r w:rsidRPr="00AD6F6E">
        <w:rPr>
          <w:rFonts w:ascii="Times New Roman" w:hAnsi="Times New Roman" w:cs="Times New Roman"/>
          <w:sz w:val="24"/>
          <w:szCs w:val="28"/>
        </w:rPr>
        <w:t xml:space="preserve">Hefei, Anhui 230009, P. R. China. </w:t>
      </w:r>
    </w:p>
    <w:p w14:paraId="38861FE1" w14:textId="77777777" w:rsidR="003D7CC9" w:rsidRPr="00AD6F6E" w:rsidRDefault="003D7CC9" w:rsidP="003D7CC9">
      <w:pPr>
        <w:spacing w:line="360" w:lineRule="auto"/>
        <w:rPr>
          <w:rFonts w:ascii="Times New Roman" w:hAnsi="Times New Roman" w:cs="Times New Roman"/>
          <w:sz w:val="24"/>
          <w:szCs w:val="28"/>
        </w:rPr>
      </w:pPr>
      <w:r w:rsidRPr="00AD6F6E">
        <w:rPr>
          <w:rFonts w:ascii="Times New Roman" w:hAnsi="Times New Roman" w:cs="Times New Roman"/>
          <w:sz w:val="24"/>
          <w:szCs w:val="28"/>
        </w:rPr>
        <w:t xml:space="preserve">c Department of Pathology, School of basic medical sciences, School of pharmacy, Center for Scientific Research, Anhui Medical University, Hefei, Anhui 230032, P. R. China </w:t>
      </w:r>
    </w:p>
    <w:p w14:paraId="0C81C9F1" w14:textId="77777777" w:rsidR="003D7CC9" w:rsidRPr="00AD6F6E" w:rsidRDefault="003D7CC9" w:rsidP="003D7CC9">
      <w:pPr>
        <w:spacing w:line="360" w:lineRule="auto"/>
        <w:rPr>
          <w:rFonts w:ascii="Times New Roman" w:hAnsi="Times New Roman" w:cs="Times New Roman"/>
          <w:sz w:val="24"/>
          <w:szCs w:val="28"/>
        </w:rPr>
      </w:pPr>
      <w:r w:rsidRPr="00AD6F6E">
        <w:rPr>
          <w:rFonts w:ascii="Times New Roman" w:hAnsi="Times New Roman" w:cs="Times New Roman"/>
          <w:sz w:val="24"/>
          <w:szCs w:val="28"/>
        </w:rPr>
        <w:t>d Department of Pathology, Zhongshan Hospital (Xiamen), Fudan University, Xiamen 361015, China</w:t>
      </w:r>
    </w:p>
    <w:bookmarkEnd w:id="0"/>
    <w:bookmarkEnd w:id="1"/>
    <w:bookmarkEnd w:id="2"/>
    <w:p w14:paraId="40B2542B" w14:textId="77777777" w:rsidR="0039720F" w:rsidRDefault="0039720F">
      <w:pPr>
        <w:widowControl/>
        <w:jc w:val="left"/>
        <w:rPr>
          <w:rFonts w:ascii="Times New Roman" w:hAnsi="Times New Roman" w:cs="Times New Roman"/>
          <w:b/>
          <w:bCs/>
          <w:sz w:val="24"/>
          <w:szCs w:val="28"/>
        </w:rPr>
      </w:pPr>
    </w:p>
    <w:p w14:paraId="1453BC0F" w14:textId="77777777" w:rsidR="0039720F" w:rsidRDefault="00000000">
      <w:pPr>
        <w:widowControl/>
        <w:jc w:val="left"/>
        <w:rPr>
          <w:rFonts w:ascii="Times New Roman" w:hAnsi="Times New Roman" w:cs="Times New Roman"/>
          <w:sz w:val="24"/>
          <w:szCs w:val="28"/>
        </w:rPr>
      </w:pPr>
      <w:r>
        <w:rPr>
          <w:rFonts w:ascii="Times New Roman" w:hAnsi="Times New Roman" w:cs="Times New Roman"/>
          <w:b/>
          <w:bCs/>
          <w:sz w:val="24"/>
          <w:szCs w:val="28"/>
        </w:rPr>
        <w:t>Materials and methods</w:t>
      </w:r>
    </w:p>
    <w:p w14:paraId="6B623508" w14:textId="77777777" w:rsidR="0039720F" w:rsidRDefault="00000000">
      <w:pPr>
        <w:pStyle w:val="RSCB02ArticleText"/>
        <w:spacing w:line="360" w:lineRule="auto"/>
        <w:rPr>
          <w:rFonts w:ascii="Times New Roman" w:hAnsi="Times New Roman"/>
          <w:b/>
          <w:bCs/>
          <w:w w:val="100"/>
          <w:kern w:val="2"/>
          <w:sz w:val="24"/>
          <w:szCs w:val="28"/>
          <w:lang w:val="en-US" w:eastAsia="zh-CN"/>
        </w:rPr>
      </w:pPr>
      <w:r>
        <w:rPr>
          <w:rFonts w:ascii="Times New Roman" w:hAnsi="Times New Roman"/>
          <w:b/>
          <w:bCs/>
          <w:w w:val="100"/>
          <w:kern w:val="2"/>
          <w:sz w:val="24"/>
          <w:szCs w:val="28"/>
          <w:lang w:val="en-US" w:eastAsia="zh-CN"/>
        </w:rPr>
        <w:t xml:space="preserve">Cell culture </w:t>
      </w:r>
    </w:p>
    <w:p w14:paraId="31996CD7" w14:textId="60A59BBA" w:rsidR="0039720F" w:rsidRDefault="00000000">
      <w:pPr>
        <w:pStyle w:val="RSCB02ArticleText"/>
        <w:spacing w:line="360" w:lineRule="auto"/>
        <w:rPr>
          <w:rFonts w:ascii="Times New Roman" w:hAnsi="Times New Roman"/>
          <w:w w:val="100"/>
          <w:kern w:val="2"/>
          <w:sz w:val="24"/>
          <w:szCs w:val="28"/>
          <w:lang w:val="en-US" w:eastAsia="zh-CN"/>
        </w:rPr>
      </w:pPr>
      <w:r>
        <w:rPr>
          <w:rFonts w:ascii="Times New Roman" w:hAnsi="Times New Roman"/>
          <w:w w:val="100"/>
          <w:kern w:val="2"/>
          <w:sz w:val="24"/>
          <w:szCs w:val="28"/>
          <w:lang w:val="en-US" w:eastAsia="zh-CN"/>
        </w:rPr>
        <w:t>SKOV3 and OVCAR3 cells were purchased from Procell (Wuhan, China) and cultured in McCoy’s 5A medium and RPMI 1640 medium containing 10% FBS and 1% penicillin and streptomycin (Gibco, USA) respectively, at 37</w:t>
      </w:r>
      <w:r w:rsidRPr="003D7CC9">
        <w:rPr>
          <w:rFonts w:ascii="Times New Roman" w:eastAsia="宋体" w:hAnsi="Times New Roman" w:hint="eastAsia"/>
          <w:w w:val="100"/>
          <w:kern w:val="2"/>
          <w:sz w:val="24"/>
          <w:szCs w:val="28"/>
          <w:lang w:val="en-US" w:eastAsia="zh-CN"/>
        </w:rPr>
        <w:t>℃</w:t>
      </w:r>
      <w:r>
        <w:rPr>
          <w:rFonts w:ascii="Times New Roman" w:hAnsi="Times New Roman"/>
          <w:w w:val="100"/>
          <w:kern w:val="2"/>
          <w:sz w:val="24"/>
          <w:szCs w:val="28"/>
          <w:lang w:val="en-US" w:eastAsia="zh-CN"/>
        </w:rPr>
        <w:t>, 5% CO</w:t>
      </w:r>
      <w:r>
        <w:rPr>
          <w:rFonts w:ascii="Times New Roman" w:hAnsi="Times New Roman"/>
          <w:w w:val="100"/>
          <w:kern w:val="2"/>
          <w:sz w:val="24"/>
          <w:szCs w:val="28"/>
          <w:vertAlign w:val="subscript"/>
          <w:lang w:val="en-US" w:eastAsia="zh-CN"/>
        </w:rPr>
        <w:t>2</w:t>
      </w:r>
      <w:r>
        <w:rPr>
          <w:rFonts w:ascii="Times New Roman" w:hAnsi="Times New Roman"/>
          <w:w w:val="100"/>
          <w:kern w:val="2"/>
          <w:sz w:val="24"/>
          <w:szCs w:val="28"/>
          <w:lang w:val="en-US" w:eastAsia="zh-CN"/>
        </w:rPr>
        <w:t xml:space="preserve">. The media were replaced every other day and treated with micelle, </w:t>
      </w:r>
      <w:bookmarkStart w:id="3" w:name="_Hlk135560180"/>
      <w:r>
        <w:rPr>
          <w:rFonts w:ascii="Times New Roman" w:hAnsi="Times New Roman"/>
          <w:w w:val="100"/>
          <w:kern w:val="2"/>
          <w:sz w:val="24"/>
          <w:szCs w:val="28"/>
          <w:lang w:val="en-US" w:eastAsia="zh-CN"/>
        </w:rPr>
        <w:t>micelle</w:t>
      </w:r>
      <w:r>
        <w:rPr>
          <w:rFonts w:ascii="Times New Roman" w:hAnsi="Times New Roman" w:hint="eastAsia"/>
          <w:w w:val="100"/>
          <w:kern w:val="2"/>
          <w:sz w:val="24"/>
          <w:szCs w:val="28"/>
          <w:lang w:val="en-US" w:eastAsia="zh-CN"/>
        </w:rPr>
        <w:t>-</w:t>
      </w:r>
      <w:r>
        <w:rPr>
          <w:rFonts w:ascii="Times New Roman" w:hAnsi="Times New Roman"/>
          <w:w w:val="100"/>
          <w:kern w:val="2"/>
          <w:sz w:val="24"/>
          <w:szCs w:val="28"/>
          <w:lang w:val="en-US" w:eastAsia="zh-CN"/>
        </w:rPr>
        <w:t>loaded curcumol (</w:t>
      </w:r>
      <w:bookmarkEnd w:id="3"/>
      <w:r>
        <w:rPr>
          <w:rFonts w:ascii="Times New Roman" w:hAnsi="Times New Roman"/>
          <w:w w:val="100"/>
          <w:kern w:val="2"/>
          <w:sz w:val="24"/>
          <w:szCs w:val="28"/>
          <w:lang w:val="en-US" w:eastAsia="zh-CN"/>
        </w:rPr>
        <w:t xml:space="preserve">MC), IGF-1, siRNA, or </w:t>
      </w:r>
      <w:bookmarkStart w:id="4" w:name="_Hlk120047298"/>
      <w:r>
        <w:rPr>
          <w:rFonts w:ascii="Times New Roman" w:hAnsi="Times New Roman"/>
          <w:w w:val="100"/>
          <w:kern w:val="2"/>
          <w:sz w:val="24"/>
          <w:szCs w:val="28"/>
          <w:lang w:val="en-US" w:eastAsia="zh-CN"/>
        </w:rPr>
        <w:t>pCMV-FOXO3(human)-FLAG-Neo</w:t>
      </w:r>
      <w:bookmarkEnd w:id="4"/>
      <w:r>
        <w:rPr>
          <w:rFonts w:ascii="Times New Roman" w:hAnsi="Times New Roman"/>
          <w:w w:val="100"/>
          <w:kern w:val="2"/>
          <w:sz w:val="24"/>
          <w:szCs w:val="28"/>
          <w:lang w:val="en-US" w:eastAsia="zh-CN"/>
        </w:rPr>
        <w:t xml:space="preserve"> plasmids as indicated. Passage was performed when the cells grew to approximately 90% confluence. </w:t>
      </w:r>
    </w:p>
    <w:p w14:paraId="65F15489" w14:textId="77777777" w:rsidR="0039720F" w:rsidRDefault="0039720F">
      <w:pPr>
        <w:pStyle w:val="RSCB02ArticleText"/>
        <w:spacing w:line="360" w:lineRule="auto"/>
        <w:rPr>
          <w:rFonts w:ascii="Times New Roman" w:hAnsi="Times New Roman"/>
          <w:b/>
          <w:bCs/>
          <w:w w:val="100"/>
          <w:kern w:val="2"/>
          <w:sz w:val="24"/>
          <w:szCs w:val="28"/>
          <w:lang w:val="en-US" w:eastAsia="zh-CN"/>
        </w:rPr>
      </w:pPr>
    </w:p>
    <w:p w14:paraId="76450334" w14:textId="77777777" w:rsidR="0039720F" w:rsidRDefault="00000000">
      <w:pPr>
        <w:pStyle w:val="RSCB02ArticleText"/>
        <w:spacing w:line="360" w:lineRule="auto"/>
        <w:rPr>
          <w:rFonts w:ascii="Times New Roman" w:hAnsi="Times New Roman"/>
          <w:b/>
          <w:bCs/>
          <w:w w:val="100"/>
          <w:kern w:val="2"/>
          <w:sz w:val="24"/>
          <w:szCs w:val="28"/>
          <w:lang w:val="en-US" w:eastAsia="zh-CN"/>
        </w:rPr>
      </w:pPr>
      <w:r>
        <w:rPr>
          <w:rFonts w:ascii="Times New Roman" w:hAnsi="Times New Roman"/>
          <w:b/>
          <w:bCs/>
          <w:w w:val="100"/>
          <w:kern w:val="2"/>
          <w:sz w:val="24"/>
          <w:szCs w:val="28"/>
          <w:lang w:val="en-US" w:eastAsia="zh-CN"/>
        </w:rPr>
        <w:t>Agents</w:t>
      </w:r>
    </w:p>
    <w:p w14:paraId="5098D042" w14:textId="77777777" w:rsidR="0039720F" w:rsidRDefault="00000000">
      <w:pPr>
        <w:pStyle w:val="RSCB02ArticleText"/>
        <w:spacing w:line="360" w:lineRule="auto"/>
        <w:rPr>
          <w:rFonts w:ascii="Times New Roman" w:hAnsi="Times New Roman"/>
          <w:w w:val="100"/>
          <w:kern w:val="2"/>
          <w:sz w:val="24"/>
          <w:szCs w:val="28"/>
          <w:lang w:val="en-US" w:eastAsia="zh-CN"/>
        </w:rPr>
      </w:pPr>
      <w:bookmarkStart w:id="5" w:name="OLE_LINK1"/>
      <w:r>
        <w:rPr>
          <w:rFonts w:ascii="Times New Roman" w:hAnsi="Times New Roman"/>
          <w:w w:val="100"/>
          <w:kern w:val="2"/>
          <w:sz w:val="24"/>
          <w:szCs w:val="28"/>
          <w:lang w:val="en-US" w:eastAsia="zh-CN"/>
        </w:rPr>
        <w:t>Curcumol and DSPE-PEG2000 were purchased from Chengdu Alfa Biotechnology Co., Ltd.</w:t>
      </w:r>
      <w:bookmarkEnd w:id="5"/>
      <w:r>
        <w:rPr>
          <w:rFonts w:ascii="Times New Roman" w:hAnsi="Times New Roman"/>
          <w:w w:val="100"/>
          <w:kern w:val="2"/>
          <w:sz w:val="24"/>
          <w:szCs w:val="28"/>
          <w:lang w:val="en-US" w:eastAsia="zh-CN"/>
        </w:rPr>
        <w:t xml:space="preserve"> and Shanghai Ponsure Biotech, Inc</w:t>
      </w:r>
      <w:r>
        <w:rPr>
          <w:rFonts w:ascii="Times New Roman" w:hAnsi="Times New Roman" w:hint="eastAsia"/>
          <w:w w:val="100"/>
          <w:kern w:val="2"/>
          <w:sz w:val="24"/>
          <w:szCs w:val="28"/>
          <w:lang w:val="en-US" w:eastAsia="zh-CN"/>
        </w:rPr>
        <w:t>.</w:t>
      </w:r>
      <w:r>
        <w:rPr>
          <w:rFonts w:ascii="Times New Roman" w:hAnsi="Times New Roman"/>
          <w:w w:val="100"/>
          <w:kern w:val="2"/>
          <w:sz w:val="24"/>
          <w:szCs w:val="28"/>
          <w:lang w:val="en-US" w:eastAsia="zh-CN"/>
        </w:rPr>
        <w:t xml:space="preserve">, respectively. DiR, IGF-1, CCK-8, Annexin-V FITC and PI were obtained from UElandy (China), MedChemExpress (China), </w:t>
      </w:r>
      <w:r w:rsidRPr="003D7CC9">
        <w:rPr>
          <w:rFonts w:ascii="Times New Roman" w:hAnsi="Times New Roman"/>
          <w:w w:val="100"/>
          <w:kern w:val="2"/>
          <w:sz w:val="24"/>
          <w:szCs w:val="28"/>
          <w:lang w:val="en-US" w:eastAsia="zh-CN"/>
        </w:rPr>
        <w:t>Beyotime</w:t>
      </w:r>
      <w:r>
        <w:rPr>
          <w:rFonts w:ascii="Times New Roman" w:hAnsi="Times New Roman"/>
          <w:w w:val="100"/>
          <w:kern w:val="2"/>
          <w:sz w:val="24"/>
          <w:szCs w:val="28"/>
          <w:lang w:val="en-US" w:eastAsia="zh-CN"/>
        </w:rPr>
        <w:t xml:space="preserve"> (China), and from </w:t>
      </w:r>
      <w:bookmarkStart w:id="6" w:name="_Hlk120353093"/>
      <w:r>
        <w:rPr>
          <w:rFonts w:ascii="Times New Roman" w:hAnsi="Times New Roman"/>
          <w:w w:val="100"/>
          <w:kern w:val="2"/>
          <w:sz w:val="24"/>
          <w:szCs w:val="28"/>
          <w:lang w:val="en-US" w:eastAsia="zh-CN"/>
        </w:rPr>
        <w:t>Bestbio (China</w:t>
      </w:r>
      <w:bookmarkEnd w:id="6"/>
      <w:r>
        <w:rPr>
          <w:rFonts w:ascii="Times New Roman" w:hAnsi="Times New Roman"/>
          <w:w w:val="100"/>
          <w:kern w:val="2"/>
          <w:sz w:val="24"/>
          <w:szCs w:val="28"/>
          <w:lang w:val="en-US" w:eastAsia="zh-CN"/>
        </w:rPr>
        <w:t xml:space="preserve">). Antibodies for FOXO3a (12829S), H3 (4499T), AKT (pan) (4691), p-AKT (Ser437) (4060), PI3K (4249), PERK (5683), and ChIP assay kit (9003S) were obtained from </w:t>
      </w:r>
      <w:bookmarkStart w:id="7" w:name="_Hlk120201512"/>
      <w:r>
        <w:rPr>
          <w:rFonts w:ascii="Times New Roman" w:hAnsi="Times New Roman"/>
          <w:w w:val="100"/>
          <w:kern w:val="2"/>
          <w:sz w:val="24"/>
          <w:szCs w:val="28"/>
          <w:lang w:val="en-US" w:eastAsia="zh-CN"/>
        </w:rPr>
        <w:t>Cell Signaling Technology</w:t>
      </w:r>
      <w:bookmarkEnd w:id="7"/>
      <w:r>
        <w:rPr>
          <w:rFonts w:ascii="Times New Roman" w:hAnsi="Times New Roman"/>
          <w:w w:val="100"/>
          <w:kern w:val="2"/>
          <w:sz w:val="24"/>
          <w:szCs w:val="28"/>
          <w:lang w:val="en-US" w:eastAsia="zh-CN"/>
        </w:rPr>
        <w:t xml:space="preserve"> (</w:t>
      </w:r>
      <w:bookmarkStart w:id="8" w:name="_Hlk120201531"/>
      <w:r>
        <w:rPr>
          <w:rFonts w:ascii="Times New Roman" w:hAnsi="Times New Roman"/>
          <w:w w:val="100"/>
          <w:kern w:val="2"/>
          <w:sz w:val="24"/>
          <w:szCs w:val="28"/>
          <w:lang w:val="en-US" w:eastAsia="zh-CN"/>
        </w:rPr>
        <w:t>UK</w:t>
      </w:r>
      <w:bookmarkEnd w:id="8"/>
      <w:r>
        <w:rPr>
          <w:rFonts w:ascii="Times New Roman" w:hAnsi="Times New Roman"/>
          <w:w w:val="100"/>
          <w:kern w:val="2"/>
          <w:sz w:val="24"/>
          <w:szCs w:val="28"/>
          <w:lang w:val="en-US" w:eastAsia="zh-CN"/>
        </w:rPr>
        <w:t>)</w:t>
      </w:r>
      <w:r>
        <w:rPr>
          <w:rFonts w:ascii="Times New Roman" w:hAnsi="Times New Roman" w:hint="eastAsia"/>
          <w:w w:val="100"/>
          <w:kern w:val="2"/>
          <w:sz w:val="24"/>
          <w:szCs w:val="28"/>
          <w:lang w:val="en-US" w:eastAsia="zh-CN"/>
        </w:rPr>
        <w:t>.</w:t>
      </w:r>
      <w:r>
        <w:rPr>
          <w:rFonts w:ascii="Times New Roman" w:hAnsi="Times New Roman"/>
          <w:w w:val="100"/>
          <w:kern w:val="2"/>
          <w:sz w:val="24"/>
          <w:szCs w:val="28"/>
          <w:lang w:val="en-US" w:eastAsia="zh-CN"/>
        </w:rPr>
        <w:t xml:space="preserve"> </w:t>
      </w:r>
      <w:r>
        <w:rPr>
          <w:rFonts w:ascii="Times New Roman" w:hAnsi="Times New Roman" w:hint="eastAsia"/>
          <w:w w:val="100"/>
          <w:kern w:val="2"/>
          <w:sz w:val="24"/>
          <w:szCs w:val="28"/>
          <w:lang w:val="en-US" w:eastAsia="zh-CN"/>
        </w:rPr>
        <w:lastRenderedPageBreak/>
        <w:t>A</w:t>
      </w:r>
      <w:r>
        <w:rPr>
          <w:rFonts w:ascii="Times New Roman" w:hAnsi="Times New Roman"/>
          <w:w w:val="100"/>
          <w:kern w:val="2"/>
          <w:sz w:val="24"/>
          <w:szCs w:val="28"/>
          <w:lang w:val="en-US" w:eastAsia="zh-CN"/>
        </w:rPr>
        <w:t>ntibodies for p-FOXO3a (ab154786), p-AKT(T308) (ab278565), p-AKT(T450) (ab108266) were obtained from Abcam (UK), and the antibod</w:t>
      </w:r>
      <w:r>
        <w:rPr>
          <w:rFonts w:ascii="Times New Roman" w:hAnsi="Times New Roman" w:hint="eastAsia"/>
          <w:w w:val="100"/>
          <w:kern w:val="2"/>
          <w:sz w:val="24"/>
          <w:szCs w:val="28"/>
          <w:lang w:val="en-US" w:eastAsia="zh-CN"/>
        </w:rPr>
        <w:t>y</w:t>
      </w:r>
      <w:r>
        <w:rPr>
          <w:rFonts w:ascii="Times New Roman" w:hAnsi="Times New Roman"/>
          <w:w w:val="100"/>
          <w:kern w:val="2"/>
          <w:sz w:val="24"/>
          <w:szCs w:val="28"/>
          <w:lang w:val="en-US" w:eastAsia="zh-CN"/>
        </w:rPr>
        <w:t xml:space="preserve"> for β-actin (66009-1g) w</w:t>
      </w:r>
      <w:r>
        <w:rPr>
          <w:rFonts w:ascii="Times New Roman" w:hAnsi="Times New Roman" w:hint="eastAsia"/>
          <w:w w:val="100"/>
          <w:kern w:val="2"/>
          <w:sz w:val="24"/>
          <w:szCs w:val="28"/>
          <w:lang w:val="en-US" w:eastAsia="zh-CN"/>
        </w:rPr>
        <w:t>as</w:t>
      </w:r>
      <w:r>
        <w:rPr>
          <w:rFonts w:ascii="Times New Roman" w:hAnsi="Times New Roman"/>
          <w:w w:val="100"/>
          <w:kern w:val="2"/>
          <w:sz w:val="24"/>
          <w:szCs w:val="28"/>
          <w:lang w:val="en-US" w:eastAsia="zh-CN"/>
        </w:rPr>
        <w:t xml:space="preserve"> obtained from Proteintech (China).</w:t>
      </w:r>
    </w:p>
    <w:p w14:paraId="117A6340" w14:textId="77777777" w:rsidR="0039720F" w:rsidRDefault="0039720F">
      <w:pPr>
        <w:pStyle w:val="RSCB02ArticleText"/>
        <w:spacing w:line="360" w:lineRule="auto"/>
        <w:rPr>
          <w:rFonts w:ascii="Times New Roman" w:hAnsi="Times New Roman"/>
          <w:w w:val="100"/>
          <w:kern w:val="2"/>
          <w:sz w:val="24"/>
          <w:szCs w:val="28"/>
          <w:lang w:val="en-US" w:eastAsia="zh-CN"/>
        </w:rPr>
      </w:pPr>
    </w:p>
    <w:p w14:paraId="1F3E379D" w14:textId="77777777" w:rsidR="0039720F" w:rsidRDefault="00000000">
      <w:pPr>
        <w:pStyle w:val="RSCB02ArticleText"/>
        <w:spacing w:line="360" w:lineRule="auto"/>
        <w:rPr>
          <w:rFonts w:ascii="Times New Roman" w:hAnsi="Times New Roman"/>
          <w:b/>
          <w:bCs/>
          <w:w w:val="100"/>
          <w:kern w:val="2"/>
          <w:sz w:val="24"/>
          <w:szCs w:val="28"/>
          <w:lang w:val="en-US" w:eastAsia="zh-CN"/>
        </w:rPr>
      </w:pPr>
      <w:r>
        <w:rPr>
          <w:rFonts w:ascii="Times New Roman" w:hAnsi="Times New Roman"/>
          <w:b/>
          <w:bCs/>
          <w:w w:val="100"/>
          <w:kern w:val="2"/>
          <w:sz w:val="24"/>
          <w:szCs w:val="28"/>
          <w:lang w:val="en-US" w:eastAsia="zh-CN"/>
        </w:rPr>
        <w:t>Preparation and characterization of Micellar Curcumol (MC)</w:t>
      </w:r>
    </w:p>
    <w:p w14:paraId="30E83FB4" w14:textId="2F7E3A3C" w:rsidR="0039720F" w:rsidRDefault="00000000" w:rsidP="004469D5">
      <w:pPr>
        <w:spacing w:line="360" w:lineRule="auto"/>
        <w:rPr>
          <w:rFonts w:ascii="Times New Roman" w:hAnsi="Times New Roman" w:cs="Times New Roman"/>
          <w:sz w:val="24"/>
          <w:szCs w:val="24"/>
        </w:rPr>
      </w:pPr>
      <w:r>
        <w:rPr>
          <w:rFonts w:ascii="Times New Roman" w:hAnsi="Times New Roman" w:cs="Times New Roman"/>
          <w:sz w:val="24"/>
          <w:szCs w:val="24"/>
        </w:rPr>
        <w:t xml:space="preserve">A mixture of Curcumol (2 mg) and DSPE-PEG (20 mg) was dissolved in acetonitrile (5 mL) and then evaporated to obtain a thin membrane on the inner surface of a round-bottom flask. Then the membrane was hydrated in 10 mL of distilled water at 60 °C for 30 min and filtered through </w:t>
      </w:r>
      <w:r>
        <w:rPr>
          <w:rFonts w:ascii="Times New Roman" w:hAnsi="Times New Roman" w:cs="Times New Roman" w:hint="eastAsia"/>
          <w:sz w:val="24"/>
          <w:szCs w:val="24"/>
        </w:rPr>
        <w:t xml:space="preserve">a </w:t>
      </w:r>
      <w:r>
        <w:rPr>
          <w:rFonts w:ascii="Times New Roman" w:hAnsi="Times New Roman" w:cs="Times New Roman"/>
          <w:sz w:val="24"/>
          <w:szCs w:val="24"/>
        </w:rPr>
        <w:t>Millipore filter (0.45 μm) to afford a clear MC solution.</w:t>
      </w:r>
      <w:r w:rsidRPr="003D7CC9">
        <w:rPr>
          <w:rFonts w:ascii="Times New Roman" w:hAnsi="Times New Roman" w:cs="Times New Roman"/>
          <w:color w:val="FF0000"/>
          <w:sz w:val="24"/>
          <w:szCs w:val="24"/>
        </w:rPr>
        <w:t xml:space="preserve"> </w:t>
      </w:r>
      <w:r>
        <w:rPr>
          <w:rFonts w:ascii="Times New Roman" w:hAnsi="Times New Roman" w:cs="Times New Roman"/>
          <w:sz w:val="24"/>
          <w:szCs w:val="24"/>
        </w:rPr>
        <w:t>B</w:t>
      </w:r>
      <w:r w:rsidRPr="003D7CC9">
        <w:rPr>
          <w:rFonts w:ascii="Times New Roman" w:hAnsi="Times New Roman" w:cs="Times New Roman"/>
          <w:sz w:val="24"/>
          <w:szCs w:val="24"/>
        </w:rPr>
        <w:t>lank micellar solution</w:t>
      </w:r>
      <w:r>
        <w:rPr>
          <w:rFonts w:ascii="Times New Roman" w:hAnsi="Times New Roman" w:cs="Times New Roman"/>
          <w:sz w:val="24"/>
          <w:szCs w:val="24"/>
        </w:rPr>
        <w:t xml:space="preserve"> was prepared when there was no drug add</w:t>
      </w:r>
      <w:r>
        <w:rPr>
          <w:rFonts w:ascii="Times New Roman" w:hAnsi="Times New Roman" w:cs="Times New Roman" w:hint="eastAsia"/>
          <w:sz w:val="24"/>
          <w:szCs w:val="24"/>
        </w:rPr>
        <w:t>ed</w:t>
      </w:r>
      <w:r>
        <w:rPr>
          <w:rFonts w:ascii="Times New Roman" w:hAnsi="Times New Roman" w:cs="Times New Roman"/>
          <w:sz w:val="24"/>
          <w:szCs w:val="24"/>
        </w:rPr>
        <w:t xml:space="preserve"> in accordance with the abovementioned procedure. The</w:t>
      </w:r>
      <w:r>
        <w:rPr>
          <w:rFonts w:ascii="Times New Roman" w:hAnsi="Times New Roman" w:cs="Times New Roman" w:hint="eastAsia"/>
          <w:sz w:val="24"/>
          <w:szCs w:val="24"/>
        </w:rPr>
        <w:t xml:space="preserve"> t</w:t>
      </w:r>
      <w:r>
        <w:rPr>
          <w:rFonts w:ascii="Times New Roman" w:hAnsi="Times New Roman" w:cs="Times New Roman"/>
          <w:sz w:val="24"/>
          <w:szCs w:val="24"/>
        </w:rPr>
        <w:t>ransmission electron microscope (TEM, Hitachi HT7700) was employed to observe the morphology of MC. In order to investigate its storage stability, the MC solution was stored at 4 °C for a period. At each time point, its particle size and zeta potential were measured using dynamic light scatter (ZS 90, Malvern).</w:t>
      </w:r>
    </w:p>
    <w:p w14:paraId="3CCD88DC" w14:textId="77777777" w:rsidR="0039720F" w:rsidRDefault="0039720F">
      <w:pPr>
        <w:pStyle w:val="RSCB02ArticleText"/>
        <w:spacing w:line="360" w:lineRule="auto"/>
        <w:rPr>
          <w:rFonts w:ascii="Times New Roman" w:hAnsi="Times New Roman"/>
          <w:b/>
          <w:bCs/>
          <w:w w:val="100"/>
          <w:kern w:val="2"/>
          <w:sz w:val="24"/>
          <w:szCs w:val="28"/>
          <w:lang w:val="en-US" w:eastAsia="zh-CN"/>
        </w:rPr>
      </w:pPr>
    </w:p>
    <w:p w14:paraId="34083ABC" w14:textId="77777777" w:rsidR="0039720F" w:rsidRDefault="00000000">
      <w:pPr>
        <w:spacing w:line="360" w:lineRule="auto"/>
        <w:rPr>
          <w:rFonts w:ascii="Times New Roman" w:hAnsi="Times New Roman" w:cs="Times New Roman"/>
          <w:b/>
          <w:bCs/>
          <w:sz w:val="24"/>
          <w:szCs w:val="28"/>
        </w:rPr>
      </w:pPr>
      <w:r>
        <w:rPr>
          <w:rFonts w:ascii="Times New Roman" w:hAnsi="Times New Roman" w:cs="Times New Roman"/>
          <w:b/>
          <w:bCs/>
          <w:sz w:val="24"/>
          <w:szCs w:val="28"/>
        </w:rPr>
        <w:t xml:space="preserve">Cell viability assay </w:t>
      </w:r>
    </w:p>
    <w:p w14:paraId="3AC21DD5" w14:textId="77777777" w:rsidR="0039720F"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SKOV3 cells and OVCAR3 were seeded into 96-well plates in sextuplicate and incubated with DSPE-PEG2000 or MC at different concentrations (0, 50, 100, and 200 μg/mL for DSPE-PEG2000, and 0, 15, 30, 60 and 120 μg/mL for MC) for 24</w:t>
      </w:r>
      <w:r>
        <w:rPr>
          <w:rFonts w:ascii="Times New Roman" w:hAnsi="Times New Roman" w:cs="Times New Roman" w:hint="eastAsia"/>
          <w:sz w:val="24"/>
          <w:szCs w:val="28"/>
        </w:rPr>
        <w:t xml:space="preserve"> </w:t>
      </w:r>
      <w:r>
        <w:rPr>
          <w:rFonts w:ascii="Times New Roman" w:hAnsi="Times New Roman" w:cs="Times New Roman"/>
          <w:sz w:val="24"/>
          <w:szCs w:val="28"/>
        </w:rPr>
        <w:t>h or 48</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h, respectively. Cell viability was measured </w:t>
      </w:r>
      <w:r>
        <w:rPr>
          <w:rFonts w:ascii="Times New Roman" w:hAnsi="Times New Roman" w:cs="Times New Roman" w:hint="eastAsia"/>
          <w:sz w:val="24"/>
          <w:szCs w:val="28"/>
        </w:rPr>
        <w:t>according to</w:t>
      </w:r>
      <w:r>
        <w:rPr>
          <w:rFonts w:ascii="Times New Roman" w:hAnsi="Times New Roman" w:cs="Times New Roman"/>
          <w:sz w:val="24"/>
          <w:szCs w:val="28"/>
        </w:rPr>
        <w:t xml:space="preserve"> the manufacturer’s instruction</w:t>
      </w:r>
      <w:r>
        <w:rPr>
          <w:rFonts w:ascii="Times New Roman" w:hAnsi="Times New Roman" w:cs="Times New Roman" w:hint="eastAsia"/>
          <w:sz w:val="24"/>
          <w:szCs w:val="28"/>
        </w:rPr>
        <w:t>s</w:t>
      </w:r>
      <w:r>
        <w:rPr>
          <w:rFonts w:ascii="Times New Roman" w:hAnsi="Times New Roman" w:cs="Times New Roman"/>
          <w:sz w:val="24"/>
          <w:szCs w:val="28"/>
        </w:rPr>
        <w:t xml:space="preserve">. </w:t>
      </w:r>
      <w:r>
        <w:rPr>
          <w:rFonts w:ascii="Times New Roman" w:hAnsi="Times New Roman" w:cs="Times New Roman" w:hint="eastAsia"/>
          <w:sz w:val="24"/>
          <w:szCs w:val="28"/>
        </w:rPr>
        <w:t>The v</w:t>
      </w:r>
      <w:r>
        <w:rPr>
          <w:rFonts w:ascii="Times New Roman" w:hAnsi="Times New Roman" w:cs="Times New Roman"/>
          <w:sz w:val="24"/>
          <w:szCs w:val="28"/>
        </w:rPr>
        <w:t xml:space="preserve">ehicle group was cells incubated with </w:t>
      </w:r>
      <w:r>
        <w:rPr>
          <w:rFonts w:ascii="Times New Roman" w:hAnsi="Times New Roman" w:cs="Times New Roman" w:hint="eastAsia"/>
          <w:sz w:val="24"/>
          <w:szCs w:val="28"/>
        </w:rPr>
        <w:t xml:space="preserve">a </w:t>
      </w:r>
      <w:r>
        <w:rPr>
          <w:rFonts w:ascii="Times New Roman" w:hAnsi="Times New Roman" w:cs="Times New Roman"/>
          <w:sz w:val="24"/>
          <w:szCs w:val="28"/>
        </w:rPr>
        <w:t>culture medium containing 150 μg/mL blank micelle.</w:t>
      </w:r>
    </w:p>
    <w:p w14:paraId="43FF3E8F" w14:textId="77777777" w:rsidR="0039720F" w:rsidRDefault="0039720F">
      <w:pPr>
        <w:spacing w:line="360" w:lineRule="auto"/>
        <w:rPr>
          <w:rFonts w:ascii="Times New Roman" w:hAnsi="Times New Roman" w:cs="Times New Roman"/>
          <w:sz w:val="24"/>
          <w:szCs w:val="28"/>
        </w:rPr>
      </w:pPr>
    </w:p>
    <w:p w14:paraId="320FC70C" w14:textId="77777777" w:rsidR="0039720F" w:rsidRDefault="00000000">
      <w:pPr>
        <w:spacing w:line="360" w:lineRule="auto"/>
        <w:rPr>
          <w:rFonts w:ascii="Times New Roman" w:hAnsi="Times New Roman" w:cs="Times New Roman"/>
          <w:b/>
          <w:bCs/>
          <w:sz w:val="24"/>
          <w:szCs w:val="28"/>
        </w:rPr>
      </w:pPr>
      <w:r>
        <w:rPr>
          <w:rFonts w:ascii="Times New Roman" w:hAnsi="Times New Roman" w:cs="Times New Roman"/>
          <w:b/>
          <w:bCs/>
          <w:sz w:val="24"/>
          <w:szCs w:val="28"/>
        </w:rPr>
        <w:t>Apoptosis assay</w:t>
      </w:r>
    </w:p>
    <w:p w14:paraId="2253DBB2" w14:textId="77777777" w:rsidR="0039720F"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 xml:space="preserve">SKOV3 cells and OVCAR3 were treated with MC at the indicated concentration for </w:t>
      </w:r>
      <w:r>
        <w:rPr>
          <w:rFonts w:ascii="Times New Roman" w:hAnsi="Times New Roman" w:cs="Times New Roman" w:hint="eastAsia"/>
          <w:sz w:val="24"/>
          <w:szCs w:val="28"/>
        </w:rPr>
        <w:t xml:space="preserve">the </w:t>
      </w:r>
      <w:r>
        <w:rPr>
          <w:rFonts w:ascii="Times New Roman" w:hAnsi="Times New Roman" w:cs="Times New Roman"/>
          <w:sz w:val="24"/>
          <w:szCs w:val="28"/>
        </w:rPr>
        <w:t xml:space="preserve">indicated time. The cells were stained by Annexin-V FITC and PI, and further analyzed by flow cytometry (CytoFLEX, Beckman, America). </w:t>
      </w:r>
    </w:p>
    <w:p w14:paraId="15EBDE4D" w14:textId="77777777" w:rsidR="0039720F" w:rsidRPr="003D7CC9" w:rsidRDefault="0039720F">
      <w:pPr>
        <w:pStyle w:val="RSCB02ArticleText"/>
        <w:spacing w:line="360" w:lineRule="auto"/>
        <w:rPr>
          <w:rFonts w:ascii="Times New Roman" w:hAnsi="Times New Roman"/>
          <w:b/>
          <w:bCs/>
          <w:w w:val="100"/>
          <w:kern w:val="2"/>
          <w:sz w:val="24"/>
          <w:szCs w:val="28"/>
          <w:lang w:val="en-US" w:eastAsia="zh-CN"/>
        </w:rPr>
      </w:pPr>
    </w:p>
    <w:p w14:paraId="14BBDF68" w14:textId="77777777" w:rsidR="0039720F" w:rsidRDefault="00000000">
      <w:pPr>
        <w:pStyle w:val="RSCB02ArticleText"/>
        <w:spacing w:line="360" w:lineRule="auto"/>
        <w:rPr>
          <w:rFonts w:ascii="Times New Roman" w:hAnsi="Times New Roman"/>
          <w:b/>
          <w:bCs/>
          <w:w w:val="100"/>
          <w:kern w:val="2"/>
          <w:sz w:val="24"/>
          <w:szCs w:val="28"/>
          <w:lang w:val="en-US" w:eastAsia="zh-CN"/>
        </w:rPr>
      </w:pPr>
      <w:r>
        <w:rPr>
          <w:rFonts w:ascii="Times New Roman" w:hAnsi="Times New Roman"/>
          <w:b/>
          <w:bCs/>
          <w:w w:val="100"/>
          <w:kern w:val="2"/>
          <w:sz w:val="24"/>
          <w:szCs w:val="28"/>
          <w:lang w:val="en-US" w:eastAsia="zh-CN"/>
        </w:rPr>
        <w:t>RNA interference</w:t>
      </w:r>
    </w:p>
    <w:p w14:paraId="06764B70" w14:textId="77777777" w:rsidR="0039720F" w:rsidRDefault="00000000">
      <w:pPr>
        <w:pStyle w:val="RSCB02ArticleText"/>
        <w:spacing w:line="360" w:lineRule="auto"/>
        <w:rPr>
          <w:rFonts w:ascii="Times New Roman" w:hAnsi="Times New Roman"/>
          <w:w w:val="100"/>
          <w:kern w:val="2"/>
          <w:sz w:val="24"/>
          <w:szCs w:val="28"/>
          <w:lang w:val="en-US" w:eastAsia="zh-CN"/>
        </w:rPr>
      </w:pPr>
      <w:r w:rsidRPr="003D7CC9">
        <w:rPr>
          <w:rFonts w:ascii="Times New Roman" w:hAnsi="Times New Roman"/>
          <w:w w:val="100"/>
          <w:kern w:val="2"/>
          <w:sz w:val="24"/>
          <w:szCs w:val="28"/>
          <w:lang w:val="en-US" w:eastAsia="zh-CN"/>
        </w:rPr>
        <w:lastRenderedPageBreak/>
        <w:t>FOXO3a-specific siRNAs</w:t>
      </w:r>
      <w:r>
        <w:rPr>
          <w:rFonts w:ascii="Times New Roman" w:hAnsi="Times New Roman"/>
          <w:w w:val="100"/>
          <w:kern w:val="2"/>
          <w:sz w:val="24"/>
          <w:szCs w:val="28"/>
          <w:lang w:val="en-US" w:eastAsia="zh-CN"/>
        </w:rPr>
        <w:t xml:space="preserve"> and a scrambled control siRNA (GenePharma Co. Shanghai, China; Supplementary Table 1 for sequences) were transfected into cells at 10 pmol using Lipofectamine 2000 (Invitrogen,</w:t>
      </w:r>
      <w:bookmarkStart w:id="9" w:name="_Hlk120046729"/>
      <w:r>
        <w:rPr>
          <w:rFonts w:ascii="Times New Roman" w:hAnsi="Times New Roman"/>
          <w:w w:val="100"/>
          <w:kern w:val="2"/>
          <w:sz w:val="24"/>
          <w:szCs w:val="28"/>
          <w:lang w:val="en-US" w:eastAsia="zh-CN"/>
        </w:rPr>
        <w:t xml:space="preserve"> USA</w:t>
      </w:r>
      <w:bookmarkEnd w:id="9"/>
      <w:r>
        <w:rPr>
          <w:rFonts w:ascii="Times New Roman" w:hAnsi="Times New Roman"/>
          <w:w w:val="100"/>
          <w:kern w:val="2"/>
          <w:sz w:val="24"/>
          <w:szCs w:val="28"/>
          <w:lang w:val="en-US" w:eastAsia="zh-CN"/>
        </w:rPr>
        <w:t xml:space="preserve">) for 24 h. Protein lysates were prepared at 48 h after transfection and subjected to western blot analysis to confirm gene-specific silencing effects. </w:t>
      </w:r>
    </w:p>
    <w:p w14:paraId="0338B313" w14:textId="77777777" w:rsidR="0039720F" w:rsidRDefault="0039720F">
      <w:pPr>
        <w:pStyle w:val="RSCB02ArticleText"/>
        <w:spacing w:line="360" w:lineRule="auto"/>
        <w:rPr>
          <w:rFonts w:ascii="Times New Roman" w:hAnsi="Times New Roman"/>
          <w:w w:val="100"/>
          <w:kern w:val="2"/>
          <w:sz w:val="24"/>
          <w:szCs w:val="28"/>
          <w:lang w:val="en-US" w:eastAsia="zh-CN"/>
        </w:rPr>
      </w:pPr>
    </w:p>
    <w:p w14:paraId="313A99E6" w14:textId="77777777" w:rsidR="0039720F" w:rsidRDefault="00000000">
      <w:pPr>
        <w:spacing w:line="360" w:lineRule="auto"/>
        <w:rPr>
          <w:rFonts w:ascii="Times New Roman" w:hAnsi="Times New Roman" w:cs="Times New Roman"/>
          <w:b/>
          <w:bCs/>
          <w:sz w:val="24"/>
          <w:szCs w:val="28"/>
        </w:rPr>
      </w:pPr>
      <w:r>
        <w:rPr>
          <w:rFonts w:ascii="Times New Roman" w:hAnsi="Times New Roman" w:cs="Times New Roman"/>
          <w:b/>
          <w:bCs/>
          <w:sz w:val="24"/>
          <w:szCs w:val="28"/>
        </w:rPr>
        <w:t xml:space="preserve">Western blotting assay </w:t>
      </w:r>
    </w:p>
    <w:p w14:paraId="302ED6AA" w14:textId="400F7375" w:rsidR="0039720F" w:rsidRDefault="00000000">
      <w:pPr>
        <w:pStyle w:val="RSCB02ArticleText"/>
        <w:spacing w:line="360" w:lineRule="auto"/>
        <w:rPr>
          <w:rFonts w:ascii="Times New Roman" w:hAnsi="Times New Roman"/>
          <w:sz w:val="24"/>
          <w:szCs w:val="28"/>
        </w:rPr>
      </w:pPr>
      <w:r>
        <w:rPr>
          <w:rFonts w:ascii="Times New Roman" w:hAnsi="Times New Roman"/>
          <w:sz w:val="24"/>
          <w:szCs w:val="28"/>
        </w:rPr>
        <w:t xml:space="preserve">Cell lysates were prepared from different experiments. Aliquots of the lysates (5-10 </w:t>
      </w:r>
      <w:r>
        <w:rPr>
          <w:rFonts w:ascii="Times New Roman" w:hAnsi="Times New Roman" w:hint="eastAsia"/>
          <w:sz w:val="24"/>
          <w:szCs w:val="28"/>
          <w:lang w:eastAsia="zh-CN"/>
        </w:rPr>
        <w:t>μ</w:t>
      </w:r>
      <w:r>
        <w:rPr>
          <w:rFonts w:ascii="Times New Roman" w:hAnsi="Times New Roman"/>
          <w:sz w:val="24"/>
          <w:szCs w:val="28"/>
        </w:rPr>
        <w:t>g proteins) were separated by 10% SDS-PAGE and transferred to PVDF membranes (Millipore, IPVH00010, USA). The membranes were first incubated with the primary antibodies, and then incubated with the secondary antibod</w:t>
      </w:r>
      <w:r>
        <w:rPr>
          <w:rFonts w:ascii="Times New Roman" w:hAnsi="Times New Roman"/>
          <w:sz w:val="24"/>
          <w:szCs w:val="28"/>
          <w:lang w:val="en-US" w:eastAsia="zh-CN"/>
        </w:rPr>
        <w:t>ies</w:t>
      </w:r>
      <w:r>
        <w:rPr>
          <w:rFonts w:ascii="Times New Roman" w:hAnsi="Times New Roman"/>
          <w:sz w:val="24"/>
          <w:szCs w:val="28"/>
        </w:rPr>
        <w:t xml:space="preserve">. β-actin was used as an internal control. Images were developed and captured using the ECL detection system (Biotanon, 4500SF, China). </w:t>
      </w:r>
      <w:r>
        <w:rPr>
          <w:rFonts w:ascii="Times New Roman" w:hAnsi="Times New Roman" w:hint="eastAsia"/>
          <w:sz w:val="24"/>
          <w:szCs w:val="28"/>
          <w:lang w:val="en-US" w:eastAsia="zh-CN"/>
        </w:rPr>
        <w:t>The i</w:t>
      </w:r>
      <w:r w:rsidR="003D7CC9">
        <w:rPr>
          <w:rFonts w:ascii="Times New Roman" w:hAnsi="Times New Roman"/>
          <w:sz w:val="24"/>
          <w:szCs w:val="28"/>
        </w:rPr>
        <w:t>intensities</w:t>
      </w:r>
      <w:r>
        <w:rPr>
          <w:rFonts w:ascii="Times New Roman" w:hAnsi="Times New Roman"/>
          <w:sz w:val="24"/>
          <w:szCs w:val="28"/>
        </w:rPr>
        <w:t xml:space="preserve"> of each band were quantified by Quantity-One software version 4.62 (Bio-Rad).</w:t>
      </w:r>
    </w:p>
    <w:p w14:paraId="36CA9E6F" w14:textId="77777777" w:rsidR="0039720F" w:rsidRDefault="0039720F">
      <w:pPr>
        <w:pStyle w:val="RSCB02ArticleText"/>
        <w:spacing w:line="360" w:lineRule="auto"/>
        <w:rPr>
          <w:rFonts w:ascii="Times New Roman" w:hAnsi="Times New Roman"/>
          <w:w w:val="100"/>
          <w:kern w:val="2"/>
          <w:sz w:val="24"/>
          <w:szCs w:val="28"/>
          <w:lang w:val="en-US" w:eastAsia="zh-CN"/>
        </w:rPr>
      </w:pPr>
    </w:p>
    <w:p w14:paraId="162CD56E" w14:textId="77777777" w:rsidR="0039720F" w:rsidRDefault="00000000">
      <w:pPr>
        <w:pStyle w:val="RSCB02ArticleText"/>
        <w:spacing w:line="360" w:lineRule="auto"/>
        <w:rPr>
          <w:rFonts w:ascii="Times New Roman" w:hAnsi="Times New Roman"/>
          <w:w w:val="100"/>
          <w:kern w:val="2"/>
          <w:sz w:val="24"/>
          <w:szCs w:val="28"/>
          <w:lang w:val="en-US" w:eastAsia="zh-CN"/>
        </w:rPr>
      </w:pPr>
      <w:r>
        <w:rPr>
          <w:rFonts w:ascii="Times New Roman" w:hAnsi="Times New Roman"/>
          <w:b/>
          <w:bCs/>
          <w:w w:val="100"/>
          <w:kern w:val="2"/>
          <w:sz w:val="24"/>
          <w:szCs w:val="28"/>
          <w:lang w:val="en-US" w:eastAsia="zh-CN"/>
        </w:rPr>
        <w:t xml:space="preserve">Plasmids and Transfections </w:t>
      </w:r>
    </w:p>
    <w:p w14:paraId="51048CEA" w14:textId="77777777" w:rsidR="0039720F"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SKOV3 cells were grown to a confluency of 50–70% in 6-well plates and transfected with 2</w:t>
      </w:r>
      <w:r w:rsidRPr="003D7CC9">
        <w:rPr>
          <w:rFonts w:ascii="Times New Roman" w:hAnsi="Times New Roman" w:cs="Times New Roman" w:hint="eastAsia"/>
          <w:sz w:val="24"/>
          <w:szCs w:val="28"/>
        </w:rPr>
        <w:t>m</w:t>
      </w:r>
      <w:r>
        <w:rPr>
          <w:rFonts w:ascii="Times New Roman" w:hAnsi="Times New Roman" w:cs="Times New Roman"/>
          <w:sz w:val="24"/>
          <w:szCs w:val="28"/>
        </w:rPr>
        <w:t>g of the pCMV-FLAG human FOXO3a expressing vector or the vacant pCDNA3.1-FLAG-C (MiaoLingPlasmid, China) by Lipofectamine 2000 (Invitrogen,</w:t>
      </w:r>
      <w:bookmarkStart w:id="10" w:name="_Hlk120047183"/>
      <w:r>
        <w:rPr>
          <w:rFonts w:ascii="Times New Roman" w:hAnsi="Times New Roman" w:cs="Times New Roman"/>
          <w:sz w:val="24"/>
          <w:szCs w:val="28"/>
        </w:rPr>
        <w:t xml:space="preserve"> USA</w:t>
      </w:r>
      <w:bookmarkEnd w:id="10"/>
      <w:r>
        <w:rPr>
          <w:rFonts w:ascii="Times New Roman" w:hAnsi="Times New Roman" w:cs="Times New Roman"/>
          <w:sz w:val="24"/>
          <w:szCs w:val="28"/>
        </w:rPr>
        <w:t>). 24</w:t>
      </w:r>
      <w:r>
        <w:rPr>
          <w:rFonts w:ascii="Times New Roman" w:hAnsi="Times New Roman" w:cs="Times New Roman" w:hint="eastAsia"/>
          <w:sz w:val="24"/>
          <w:szCs w:val="28"/>
        </w:rPr>
        <w:t xml:space="preserve"> </w:t>
      </w:r>
      <w:r>
        <w:rPr>
          <w:rFonts w:ascii="Times New Roman" w:hAnsi="Times New Roman" w:cs="Times New Roman"/>
          <w:sz w:val="24"/>
          <w:szCs w:val="28"/>
        </w:rPr>
        <w:t>h later, the transfected cells were used for CHIP analysis.</w:t>
      </w:r>
    </w:p>
    <w:p w14:paraId="05AF33F4" w14:textId="77777777" w:rsidR="0039720F" w:rsidRDefault="0039720F">
      <w:pPr>
        <w:spacing w:line="360" w:lineRule="auto"/>
        <w:rPr>
          <w:rFonts w:ascii="Times New Roman" w:hAnsi="Times New Roman" w:cs="Times New Roman"/>
          <w:sz w:val="24"/>
          <w:szCs w:val="28"/>
        </w:rPr>
      </w:pPr>
    </w:p>
    <w:p w14:paraId="2D68D442" w14:textId="77777777" w:rsidR="0039720F" w:rsidRDefault="00000000">
      <w:pPr>
        <w:spacing w:line="360" w:lineRule="auto"/>
        <w:rPr>
          <w:rFonts w:ascii="Times New Roman" w:hAnsi="Times New Roman" w:cs="Times New Roman"/>
          <w:b/>
          <w:bCs/>
          <w:sz w:val="24"/>
          <w:szCs w:val="28"/>
        </w:rPr>
      </w:pPr>
      <w:r>
        <w:rPr>
          <w:rFonts w:ascii="Times New Roman" w:hAnsi="Times New Roman" w:cs="Times New Roman"/>
          <w:b/>
          <w:bCs/>
          <w:sz w:val="24"/>
          <w:szCs w:val="28"/>
        </w:rPr>
        <w:t xml:space="preserve">Chromatin immunoprecipitation (ChIP) </w:t>
      </w:r>
    </w:p>
    <w:p w14:paraId="29A3BFCB" w14:textId="5630F473" w:rsidR="0039720F"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ChIP analysis was performed as described according to the manufacturer’s instructions. Briefly, SKOV3 cells (2.5*10</w:t>
      </w:r>
      <w:r w:rsidRPr="003D7CC9">
        <w:rPr>
          <w:rFonts w:ascii="Times New Roman" w:hAnsi="Times New Roman" w:cs="Times New Roman"/>
          <w:sz w:val="24"/>
          <w:szCs w:val="28"/>
          <w:vertAlign w:val="superscript"/>
        </w:rPr>
        <w:t>6</w:t>
      </w:r>
      <w:r>
        <w:rPr>
          <w:rFonts w:ascii="Times New Roman" w:hAnsi="Times New Roman" w:cs="Times New Roman"/>
          <w:sz w:val="24"/>
          <w:szCs w:val="28"/>
        </w:rPr>
        <w:t xml:space="preserve"> cells) was transfected with the pCDNA3.1-Flag vector (Control) or Flag-tagged FOXO3a-WT for 6 h followed by 15 h recovery in culture medium, and then the SKOV3 cells were cross-linked by 37% formaldehyde for 10 min. The cells were then harvested and lysed with sodium dodecyl sulfate lysis buffer (1% sodium dodecyl sulfate, 10 Mm EDTA, 50 mM Tris-Cl, pH</w:t>
      </w:r>
      <w:r>
        <w:rPr>
          <w:rFonts w:ascii="Times New Roman" w:hAnsi="Times New Roman" w:cs="Times New Roman" w:hint="eastAsia"/>
          <w:sz w:val="24"/>
          <w:szCs w:val="28"/>
        </w:rPr>
        <w:t xml:space="preserve"> </w:t>
      </w:r>
      <w:r>
        <w:rPr>
          <w:rFonts w:ascii="Times New Roman" w:hAnsi="Times New Roman" w:cs="Times New Roman"/>
          <w:sz w:val="24"/>
          <w:szCs w:val="28"/>
        </w:rPr>
        <w:t>8.1).</w:t>
      </w:r>
      <w:r w:rsidRPr="003D7CC9">
        <w:rPr>
          <w:rFonts w:ascii="Times New Roman" w:hAnsi="Times New Roman" w:cs="Times New Roman"/>
        </w:rPr>
        <w:t xml:space="preserve"> </w:t>
      </w:r>
      <w:r>
        <w:rPr>
          <w:rFonts w:ascii="Times New Roman" w:hAnsi="Times New Roman" w:cs="Times New Roman"/>
          <w:sz w:val="24"/>
          <w:szCs w:val="28"/>
        </w:rPr>
        <w:t>For immunoprecipitation, 2 μg of either IgG, H3 or FOXO3a antibodies w</w:t>
      </w:r>
      <w:r>
        <w:rPr>
          <w:rFonts w:ascii="Times New Roman" w:hAnsi="Times New Roman" w:cs="Times New Roman" w:hint="eastAsia"/>
          <w:sz w:val="24"/>
          <w:szCs w:val="28"/>
        </w:rPr>
        <w:t>ere</w:t>
      </w:r>
      <w:r>
        <w:rPr>
          <w:rFonts w:ascii="Times New Roman" w:hAnsi="Times New Roman" w:cs="Times New Roman"/>
          <w:sz w:val="24"/>
          <w:szCs w:val="28"/>
        </w:rPr>
        <w:t xml:space="preserve"> added to the </w:t>
      </w:r>
      <w:r>
        <w:rPr>
          <w:rFonts w:ascii="Times New Roman" w:hAnsi="Times New Roman" w:cs="Times New Roman"/>
          <w:sz w:val="24"/>
          <w:szCs w:val="28"/>
        </w:rPr>
        <w:lastRenderedPageBreak/>
        <w:t xml:space="preserve">precleared samples. PCR was performed to amplify the FOXO3a-bound PERK promoter using 2 × Magic Green Taq SuperMix (Tolo Biotechnology, 21502, China) in a cycle procedure of 5 min at 95 °C, 30 s at 95 °C, 34 cycles of 30 s at 55 °C, 30 s at 72 °C, followed by 2% agarose gel electrophoresis for analysis. The primers designed to amplify a region –583 and –794 (bp) upstream of the PERK gene were forward 5’ TGCCTTGGCTGAACATTCCA3’ and reverse 5’TGTGACAATCCAGTCTGCCC3’. Human RPL30 Exon 3 Primers (CST 7014) were used as the positive control. All experiments were done in triplicates and results were normalized to the IgG antibody. </w:t>
      </w:r>
    </w:p>
    <w:p w14:paraId="7C00DBEC" w14:textId="77777777" w:rsidR="0039720F" w:rsidRDefault="0039720F">
      <w:pPr>
        <w:spacing w:line="360" w:lineRule="auto"/>
        <w:rPr>
          <w:rFonts w:ascii="Times New Roman" w:hAnsi="Times New Roman" w:cs="Times New Roman"/>
          <w:sz w:val="24"/>
          <w:szCs w:val="28"/>
        </w:rPr>
      </w:pPr>
    </w:p>
    <w:p w14:paraId="4801D735" w14:textId="77777777" w:rsidR="0039720F" w:rsidRDefault="00000000">
      <w:pPr>
        <w:spacing w:line="360" w:lineRule="auto"/>
        <w:rPr>
          <w:rFonts w:ascii="Times New Roman" w:hAnsi="Times New Roman" w:cs="Times New Roman"/>
          <w:b/>
          <w:bCs/>
          <w:sz w:val="24"/>
          <w:szCs w:val="28"/>
        </w:rPr>
      </w:pPr>
      <w:r>
        <w:rPr>
          <w:rFonts w:ascii="Times New Roman" w:hAnsi="Times New Roman" w:cs="Times New Roman"/>
          <w:b/>
          <w:bCs/>
          <w:sz w:val="24"/>
          <w:szCs w:val="28"/>
        </w:rPr>
        <w:t>Real-time PCR analysis of FOXO3a, PERK, CHOP, Caspase mRNA</w:t>
      </w:r>
    </w:p>
    <w:p w14:paraId="09A9EA71" w14:textId="0C2B0B91" w:rsidR="0039720F"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Total RNA was extracted using Trizol reagent (Vazyme Biotech, China) and reversely</w:t>
      </w:r>
      <w:r>
        <w:rPr>
          <w:rFonts w:ascii="Times New Roman" w:hAnsi="Times New Roman" w:cs="Times New Roman" w:hint="eastAsia"/>
          <w:sz w:val="24"/>
          <w:szCs w:val="28"/>
        </w:rPr>
        <w:t xml:space="preserve"> </w:t>
      </w:r>
      <w:r>
        <w:rPr>
          <w:rFonts w:ascii="Times New Roman" w:hAnsi="Times New Roman" w:cs="Times New Roman"/>
          <w:sz w:val="24"/>
          <w:szCs w:val="28"/>
        </w:rPr>
        <w:t>transcribed to complementary DNA using oligo(T)23VN primer (Generalbiol, China). Quantitative reverse transcription PCR was carried out using SYBR Green Master Mix (Vazyme Biotech, China) with gene-specific primers for FOXO3a, PERK, CHOP and Caspase3. Expression levels of glyceraldehyde-3-phosphate dehydrogenase (GAPDH) were also determined as an internal control. Primer sequences were listed in Supplementary Table 2.</w:t>
      </w:r>
    </w:p>
    <w:p w14:paraId="4753A5D4" w14:textId="77777777" w:rsidR="0039720F" w:rsidRDefault="0039720F">
      <w:pPr>
        <w:spacing w:line="360" w:lineRule="auto"/>
        <w:rPr>
          <w:rFonts w:ascii="Times New Roman" w:hAnsi="Times New Roman" w:cs="Times New Roman"/>
          <w:sz w:val="24"/>
          <w:szCs w:val="28"/>
        </w:rPr>
      </w:pPr>
    </w:p>
    <w:p w14:paraId="6F0D9BD7" w14:textId="77777777" w:rsidR="0039720F" w:rsidRDefault="00000000">
      <w:pPr>
        <w:spacing w:line="360" w:lineRule="auto"/>
        <w:rPr>
          <w:rFonts w:ascii="Times New Roman" w:hAnsi="Times New Roman" w:cs="Times New Roman"/>
          <w:b/>
          <w:bCs/>
          <w:sz w:val="24"/>
          <w:szCs w:val="28"/>
        </w:rPr>
      </w:pPr>
      <w:r>
        <w:rPr>
          <w:rFonts w:ascii="Times New Roman" w:hAnsi="Times New Roman" w:cs="Times New Roman"/>
          <w:b/>
          <w:bCs/>
          <w:sz w:val="24"/>
          <w:szCs w:val="28"/>
        </w:rPr>
        <w:t>Immunofluorescence and microscopy</w:t>
      </w:r>
    </w:p>
    <w:p w14:paraId="78208189" w14:textId="77777777" w:rsidR="0039720F"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 xml:space="preserve">Cells were fixed with cold methanol and incubated with anti-FOXO3a antibody in phosphate-buffered saline containing 1% bovine serum albumin. </w:t>
      </w:r>
      <w:r>
        <w:rPr>
          <w:rFonts w:ascii="Times New Roman" w:hAnsi="Times New Roman" w:cs="Times New Roman" w:hint="eastAsia"/>
          <w:sz w:val="24"/>
          <w:szCs w:val="28"/>
        </w:rPr>
        <w:t>The s</w:t>
      </w:r>
      <w:r>
        <w:rPr>
          <w:rFonts w:ascii="Times New Roman" w:hAnsi="Times New Roman" w:cs="Times New Roman"/>
          <w:sz w:val="24"/>
          <w:szCs w:val="28"/>
        </w:rPr>
        <w:t>econdary antibodies used were Alexa Fluor 488 goat anti-rabbit (Abcam, Cambridge, UK). Microscopy was performed using confocal microscopy (LSM880, ZEISS, Germany) and processed by ZEN Version 2.0.</w:t>
      </w:r>
    </w:p>
    <w:p w14:paraId="12165D7B" w14:textId="77777777" w:rsidR="0039720F" w:rsidRDefault="0039720F">
      <w:pPr>
        <w:rPr>
          <w:rFonts w:ascii="Times New Roman" w:hAnsi="Times New Roman" w:cs="Times New Roman"/>
          <w:b/>
          <w:bCs/>
          <w:sz w:val="24"/>
          <w:szCs w:val="28"/>
        </w:rPr>
      </w:pPr>
    </w:p>
    <w:p w14:paraId="7F0D0322" w14:textId="77777777" w:rsidR="0039720F" w:rsidRDefault="00000000">
      <w:pPr>
        <w:spacing w:line="360" w:lineRule="auto"/>
        <w:rPr>
          <w:rFonts w:ascii="Times New Roman" w:hAnsi="Times New Roman" w:cs="Times New Roman"/>
          <w:b/>
          <w:bCs/>
          <w:sz w:val="24"/>
          <w:szCs w:val="28"/>
        </w:rPr>
      </w:pPr>
      <w:r>
        <w:rPr>
          <w:rFonts w:ascii="Times New Roman" w:hAnsi="Times New Roman" w:cs="Times New Roman"/>
          <w:b/>
          <w:bCs/>
          <w:sz w:val="24"/>
          <w:szCs w:val="28"/>
        </w:rPr>
        <w:t>Mouse xeno</w:t>
      </w:r>
      <w:r>
        <w:rPr>
          <w:rFonts w:ascii="Times New Roman" w:hAnsi="Times New Roman" w:cs="Times New Roman" w:hint="eastAsia"/>
          <w:b/>
          <w:bCs/>
          <w:sz w:val="24"/>
          <w:szCs w:val="28"/>
        </w:rPr>
        <w:t>g</w:t>
      </w:r>
      <w:r>
        <w:rPr>
          <w:rFonts w:ascii="Times New Roman" w:hAnsi="Times New Roman" w:cs="Times New Roman"/>
          <w:b/>
          <w:bCs/>
          <w:sz w:val="24"/>
          <w:szCs w:val="28"/>
        </w:rPr>
        <w:t>raft model and IHC</w:t>
      </w:r>
    </w:p>
    <w:p w14:paraId="313E2C2F" w14:textId="4EE1D52B" w:rsidR="0039720F"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Female BALB/C nude mice of SPF grade, weighing (17 ± 2) g, were purchased from Jiangsu Huachuang Sino Pharmaceutical Technology Co., Ltd</w:t>
      </w:r>
      <w:r w:rsidRPr="003D7CC9">
        <w:rPr>
          <w:rFonts w:ascii="Times New Roman" w:hAnsi="Times New Roman" w:cs="Times New Roman"/>
          <w:sz w:val="24"/>
          <w:szCs w:val="28"/>
        </w:rPr>
        <w:t xml:space="preserve"> (Qualification Certificate No: (Su)2020–0009).</w:t>
      </w:r>
      <w:r>
        <w:rPr>
          <w:rFonts w:ascii="Times New Roman" w:hAnsi="Times New Roman" w:cs="Times New Roman"/>
          <w:sz w:val="24"/>
          <w:szCs w:val="28"/>
        </w:rPr>
        <w:t xml:space="preserve"> SKOV3 cells in</w:t>
      </w:r>
      <w:r>
        <w:rPr>
          <w:rFonts w:ascii="Times New Roman" w:hAnsi="Times New Roman" w:cs="Times New Roman" w:hint="eastAsia"/>
          <w:sz w:val="24"/>
          <w:szCs w:val="28"/>
        </w:rPr>
        <w:t xml:space="preserve"> the</w:t>
      </w:r>
      <w:r>
        <w:rPr>
          <w:rFonts w:ascii="Times New Roman" w:hAnsi="Times New Roman" w:cs="Times New Roman"/>
          <w:sz w:val="24"/>
          <w:szCs w:val="28"/>
        </w:rPr>
        <w:t xml:space="preserve"> logarithmic growth phase were digested with trypsin and then terminated with </w:t>
      </w:r>
      <w:r>
        <w:rPr>
          <w:rFonts w:ascii="Times New Roman" w:hAnsi="Times New Roman" w:cs="Times New Roman" w:hint="eastAsia"/>
          <w:sz w:val="24"/>
          <w:szCs w:val="28"/>
        </w:rPr>
        <w:t xml:space="preserve">a </w:t>
      </w:r>
      <w:r>
        <w:rPr>
          <w:rFonts w:ascii="Times New Roman" w:hAnsi="Times New Roman" w:cs="Times New Roman"/>
          <w:sz w:val="24"/>
          <w:szCs w:val="28"/>
        </w:rPr>
        <w:t xml:space="preserve">complete medium. After centrifugation, </w:t>
      </w:r>
      <w:r>
        <w:rPr>
          <w:rFonts w:ascii="Times New Roman" w:hAnsi="Times New Roman" w:cs="Times New Roman"/>
          <w:sz w:val="24"/>
          <w:szCs w:val="28"/>
        </w:rPr>
        <w:lastRenderedPageBreak/>
        <w:t>the cells were washed with PBS once, and then re-suspended in PBS. The cell count was adjusted to 1 × 10</w:t>
      </w:r>
      <w:r>
        <w:rPr>
          <w:rFonts w:ascii="Times New Roman" w:hAnsi="Times New Roman" w:cs="Times New Roman"/>
          <w:sz w:val="24"/>
          <w:szCs w:val="28"/>
          <w:vertAlign w:val="superscript"/>
        </w:rPr>
        <w:t>7</w:t>
      </w:r>
      <w:r>
        <w:rPr>
          <w:rFonts w:ascii="Times New Roman" w:hAnsi="Times New Roman" w:cs="Times New Roman"/>
          <w:sz w:val="24"/>
          <w:szCs w:val="28"/>
        </w:rPr>
        <w:t xml:space="preserve"> cells/mL. The nude mice were implanted with 0.2 mL SKOV3 cell suspension per mouse in the right fossa axillaris. Two weeks after the implantation, these tumor-bearing nude mice were randomly divided into two groups (n = 5):, the vehicle group and the MC group. Each group contained 5 mice and were intravenously injected in the tail twice with 2 mg/kg of the DSPE-PEG2000 or 2 mg/ kg of MC </w:t>
      </w:r>
      <w:r>
        <w:rPr>
          <w:rFonts w:ascii="Times New Roman" w:hAnsi="Times New Roman" w:cs="Times New Roman" w:hint="eastAsia"/>
          <w:sz w:val="24"/>
          <w:szCs w:val="28"/>
        </w:rPr>
        <w:t>on</w:t>
      </w:r>
      <w:r>
        <w:rPr>
          <w:rFonts w:ascii="Times New Roman" w:hAnsi="Times New Roman" w:cs="Times New Roman"/>
          <w:sz w:val="24"/>
          <w:szCs w:val="28"/>
        </w:rPr>
        <w:t xml:space="preserve"> day 14 and 21 post cell implantation. The tumor volume and body weight of the mice were examined every other day. The mice were sacrificed </w:t>
      </w:r>
      <w:r>
        <w:rPr>
          <w:rFonts w:ascii="Times New Roman" w:hAnsi="Times New Roman" w:cs="Times New Roman" w:hint="eastAsia"/>
          <w:sz w:val="24"/>
          <w:szCs w:val="28"/>
        </w:rPr>
        <w:t>on</w:t>
      </w:r>
      <w:r>
        <w:rPr>
          <w:rFonts w:ascii="Times New Roman" w:hAnsi="Times New Roman" w:cs="Times New Roman"/>
          <w:sz w:val="24"/>
          <w:szCs w:val="28"/>
        </w:rPr>
        <w:t xml:space="preserve"> day 7 after the last injection, and the tumors and major organs were collected. This study was approved by the experimental animal ethical committee of the Anhui Medical University (LLSC20210859).</w:t>
      </w:r>
    </w:p>
    <w:p w14:paraId="475ADC07" w14:textId="77777777" w:rsidR="0039720F"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Paraffin sections of the implanted ovarian tumors, collected from the different groups were de-paraffinized and rehydrated, and then were incubated overnight at 4</w:t>
      </w:r>
      <w:r w:rsidRPr="003D7CC9">
        <w:rPr>
          <w:rFonts w:ascii="Times New Roman" w:eastAsia="等线" w:hAnsi="Times New Roman" w:cs="Times New Roman" w:hint="eastAsia"/>
          <w:sz w:val="24"/>
          <w:szCs w:val="28"/>
        </w:rPr>
        <w:t>°</w:t>
      </w:r>
      <w:r>
        <w:rPr>
          <w:rFonts w:ascii="Times New Roman" w:hAnsi="Times New Roman" w:cs="Times New Roman"/>
          <w:sz w:val="24"/>
          <w:szCs w:val="28"/>
        </w:rPr>
        <w:t>C with Ki-67 (1:400, Cell Signal), FOXO3a and p-FOXO3a antibodies (1:1000, Abcam). HRP-labeled goat anti-mouse/rabbit IgG polymer (PV-6000, ZSGB-Bio, China) was added, and the DAB substrate kit (ZLI-9018, ZSGB-Bio, China) was used for visualization. Ki-67 positive staining was observed in the nucleus, and p-FOXO3a positive staining was observed in the cytoplasm of the cancer cells.</w:t>
      </w:r>
    </w:p>
    <w:p w14:paraId="03B7D409" w14:textId="77777777" w:rsidR="0039720F" w:rsidRDefault="0039720F">
      <w:pPr>
        <w:spacing w:line="360" w:lineRule="auto"/>
        <w:rPr>
          <w:rFonts w:ascii="Times New Roman" w:hAnsi="Times New Roman" w:cs="Times New Roman"/>
          <w:sz w:val="24"/>
          <w:szCs w:val="28"/>
        </w:rPr>
      </w:pPr>
    </w:p>
    <w:p w14:paraId="3E4E086E" w14:textId="77777777" w:rsidR="0039720F" w:rsidRDefault="00000000">
      <w:pPr>
        <w:spacing w:line="360" w:lineRule="auto"/>
        <w:rPr>
          <w:rFonts w:ascii="Times New Roman" w:hAnsi="Times New Roman" w:cs="Times New Roman"/>
          <w:sz w:val="24"/>
          <w:szCs w:val="28"/>
        </w:rPr>
      </w:pPr>
      <w:r>
        <w:rPr>
          <w:rFonts w:ascii="Times New Roman" w:hAnsi="Times New Roman" w:cs="Times New Roman"/>
          <w:b/>
          <w:bCs/>
          <w:sz w:val="24"/>
          <w:szCs w:val="28"/>
        </w:rPr>
        <w:t>Nuclear and Cytoplasmic Lysate Extraction</w:t>
      </w:r>
    </w:p>
    <w:p w14:paraId="52A62F6A" w14:textId="77777777" w:rsidR="0039720F"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Nuclear and cytoplasmic extracts were prepared as previously described. The fractionation was done by using NE-PER nuclear and cytoplasmic extraction reagents (Beyotime) following the manufacturer’s protocol.</w:t>
      </w:r>
    </w:p>
    <w:p w14:paraId="4C75CBFA" w14:textId="77777777" w:rsidR="0039720F" w:rsidRDefault="0039720F">
      <w:pPr>
        <w:spacing w:line="360" w:lineRule="auto"/>
        <w:rPr>
          <w:rFonts w:ascii="Times New Roman" w:hAnsi="Times New Roman" w:cs="Times New Roman"/>
          <w:sz w:val="24"/>
          <w:szCs w:val="28"/>
        </w:rPr>
      </w:pPr>
    </w:p>
    <w:p w14:paraId="5E1F00D2" w14:textId="77777777" w:rsidR="0039720F" w:rsidRDefault="00000000">
      <w:pPr>
        <w:spacing w:line="360" w:lineRule="auto"/>
        <w:rPr>
          <w:rFonts w:ascii="Times New Roman" w:hAnsi="Times New Roman" w:cs="Times New Roman"/>
          <w:b/>
          <w:bCs/>
          <w:sz w:val="24"/>
          <w:szCs w:val="28"/>
        </w:rPr>
      </w:pPr>
      <w:r w:rsidRPr="004469D5">
        <w:rPr>
          <w:rFonts w:ascii="Times New Roman" w:hAnsi="Times New Roman" w:cs="Times New Roman"/>
          <w:b/>
          <w:bCs/>
          <w:i/>
          <w:iCs/>
          <w:sz w:val="24"/>
          <w:szCs w:val="28"/>
        </w:rPr>
        <w:t>In vivo</w:t>
      </w:r>
      <w:r>
        <w:rPr>
          <w:rFonts w:ascii="Times New Roman" w:hAnsi="Times New Roman" w:cs="Times New Roman"/>
          <w:b/>
          <w:bCs/>
          <w:sz w:val="24"/>
          <w:szCs w:val="28"/>
        </w:rPr>
        <w:t xml:space="preserve"> observation of fluorescence-MC distribution</w:t>
      </w:r>
    </w:p>
    <w:p w14:paraId="666F71AC" w14:textId="48BBBDC5" w:rsidR="0039720F"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To observe the MC distribution in vivo, two 6-week-old female BALB/c nude mice were implanted with 2–3 *10</w:t>
      </w:r>
      <w:r>
        <w:rPr>
          <w:rFonts w:ascii="Times New Roman" w:hAnsi="Times New Roman" w:cs="Times New Roman"/>
          <w:sz w:val="24"/>
          <w:szCs w:val="28"/>
          <w:vertAlign w:val="superscript"/>
        </w:rPr>
        <w:t>6</w:t>
      </w:r>
      <w:r>
        <w:rPr>
          <w:rFonts w:ascii="Times New Roman" w:hAnsi="Times New Roman" w:cs="Times New Roman"/>
          <w:sz w:val="24"/>
          <w:szCs w:val="28"/>
        </w:rPr>
        <w:t xml:space="preserve"> SKOV3 cells in the right fossa axillaris. Two weeks after the implantation, the tumor-bearing nude mice were intravenously injected in the tail with PBS or 2 mg/kg of DiR-labelled MC. Fluorescence images of the dorsal side of </w:t>
      </w:r>
      <w:r>
        <w:rPr>
          <w:rFonts w:ascii="Times New Roman" w:hAnsi="Times New Roman" w:cs="Times New Roman"/>
          <w:sz w:val="24"/>
          <w:szCs w:val="28"/>
        </w:rPr>
        <w:lastRenderedPageBreak/>
        <w:t xml:space="preserve">mice were taken with the Maestro in vivo fluorescence imaging system (Cambridge Research &amp; Instrumentation, Inc.) at 1 h, 12 h, 24 h, and 48 h after injection. The mice were sacrificed under 2.5% isoflurane anesthesia post injection, and the tumors and major organs were collected for fluorescence imaging. </w:t>
      </w:r>
    </w:p>
    <w:p w14:paraId="5C68B736" w14:textId="77777777" w:rsidR="0039720F" w:rsidRDefault="0039720F" w:rsidP="003D7CC9">
      <w:pPr>
        <w:spacing w:line="360" w:lineRule="auto"/>
        <w:ind w:firstLineChars="200" w:firstLine="480"/>
        <w:rPr>
          <w:rFonts w:ascii="Times New Roman" w:hAnsi="Times New Roman" w:cs="Times New Roman"/>
          <w:b/>
          <w:bCs/>
          <w:sz w:val="24"/>
          <w:szCs w:val="28"/>
        </w:rPr>
      </w:pPr>
    </w:p>
    <w:p w14:paraId="384989C1" w14:textId="77777777" w:rsidR="0039720F" w:rsidRDefault="00000000">
      <w:pPr>
        <w:spacing w:line="360" w:lineRule="auto"/>
        <w:rPr>
          <w:rFonts w:ascii="Times New Roman" w:hAnsi="Times New Roman" w:cs="Times New Roman"/>
          <w:b/>
          <w:bCs/>
          <w:sz w:val="24"/>
          <w:szCs w:val="28"/>
        </w:rPr>
      </w:pPr>
      <w:r>
        <w:rPr>
          <w:rFonts w:ascii="Times New Roman" w:hAnsi="Times New Roman" w:cs="Times New Roman"/>
          <w:b/>
          <w:bCs/>
          <w:sz w:val="24"/>
          <w:szCs w:val="28"/>
        </w:rPr>
        <w:t>Reverse virtual screening and molecular docking</w:t>
      </w:r>
    </w:p>
    <w:p w14:paraId="7836839B" w14:textId="050BD503" w:rsidR="0039720F" w:rsidRPr="003D7CC9"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 xml:space="preserve">The potential molecular targets of curcumol were predicted and screened using Discovery Studio 2017 software. Considering that computer-simulated docking of the compound and different target proteins were similar, curcumol and AKT were taken as an example for describing the docking procedure. First, the ligand was prepared and the energy was minimized. Subsequently, the original ligand and water molecules were removed </w:t>
      </w:r>
      <w:r>
        <w:rPr>
          <w:rFonts w:ascii="Times New Roman" w:hAnsi="Times New Roman" w:cs="Times New Roman" w:hint="eastAsia"/>
          <w:sz w:val="24"/>
          <w:szCs w:val="28"/>
        </w:rPr>
        <w:t>from</w:t>
      </w:r>
      <w:r>
        <w:rPr>
          <w:rFonts w:ascii="Times New Roman" w:hAnsi="Times New Roman" w:cs="Times New Roman"/>
          <w:sz w:val="24"/>
          <w:szCs w:val="28"/>
        </w:rPr>
        <w:t xml:space="preserve"> the structure of </w:t>
      </w:r>
      <w:r>
        <w:rPr>
          <w:rFonts w:ascii="Times New Roman" w:hAnsi="Times New Roman" w:cs="Times New Roman" w:hint="eastAsia"/>
          <w:sz w:val="24"/>
          <w:szCs w:val="28"/>
        </w:rPr>
        <w:t xml:space="preserve">the </w:t>
      </w:r>
      <w:r>
        <w:rPr>
          <w:rFonts w:ascii="Times New Roman" w:hAnsi="Times New Roman" w:cs="Times New Roman"/>
          <w:sz w:val="24"/>
          <w:szCs w:val="28"/>
        </w:rPr>
        <w:t xml:space="preserve">AKT protein, and then hydrogen atoms and the CHARMm force fields were added to complete the preparation of the protein. Next, the binding pocket, where the small molecule ligand </w:t>
      </w:r>
      <w:r>
        <w:rPr>
          <w:rFonts w:ascii="Times New Roman" w:hAnsi="Times New Roman" w:cs="Times New Roman" w:hint="eastAsia"/>
          <w:sz w:val="24"/>
          <w:szCs w:val="28"/>
        </w:rPr>
        <w:t>bound</w:t>
      </w:r>
      <w:r>
        <w:rPr>
          <w:rFonts w:ascii="Times New Roman" w:hAnsi="Times New Roman" w:cs="Times New Roman"/>
          <w:sz w:val="24"/>
          <w:szCs w:val="28"/>
        </w:rPr>
        <w:t xml:space="preserve"> to the target protein, was determined. Then, the CDOCKER program, a precise docking method to dock the target compound with the protein, was used. The results were mainly based on the analysis of docking postures and CDOCKER-INTERACTION-ENERGY scores</w:t>
      </w:r>
      <w:r w:rsidRPr="003D7CC9">
        <w:rPr>
          <w:rFonts w:ascii="Times New Roman" w:hAnsi="Times New Roman" w:cs="Times New Roman"/>
          <w:sz w:val="24"/>
          <w:szCs w:val="28"/>
        </w:rPr>
        <w:t xml:space="preserve">. The higher the score was, </w:t>
      </w:r>
      <w:r w:rsidRPr="003D7CC9">
        <w:rPr>
          <w:rFonts w:ascii="Times New Roman" w:hAnsi="Times New Roman" w:cs="Times New Roman" w:hint="eastAsia"/>
          <w:sz w:val="24"/>
          <w:szCs w:val="28"/>
        </w:rPr>
        <w:t>the more likely curcumol bound to the target</w:t>
      </w:r>
      <w:r w:rsidRPr="003D7CC9">
        <w:rPr>
          <w:rFonts w:ascii="Times New Roman" w:hAnsi="Times New Roman" w:cs="Times New Roman"/>
          <w:sz w:val="24"/>
          <w:szCs w:val="28"/>
        </w:rPr>
        <w:t xml:space="preserve"> protein</w:t>
      </w:r>
      <w:r w:rsidRPr="003D7CC9">
        <w:rPr>
          <w:rFonts w:ascii="Times New Roman" w:hAnsi="Times New Roman" w:cs="Times New Roman" w:hint="eastAsia"/>
          <w:sz w:val="24"/>
          <w:szCs w:val="28"/>
        </w:rPr>
        <w:t>.</w:t>
      </w:r>
      <w:r w:rsidRPr="003D7CC9">
        <w:rPr>
          <w:rFonts w:ascii="Times New Roman" w:hAnsi="Times New Roman" w:cs="Times New Roman"/>
          <w:sz w:val="24"/>
          <w:szCs w:val="28"/>
        </w:rPr>
        <w:t xml:space="preserve"> </w:t>
      </w:r>
    </w:p>
    <w:p w14:paraId="7FB1DE7E" w14:textId="77777777" w:rsidR="0039720F" w:rsidRDefault="0039720F">
      <w:pPr>
        <w:pStyle w:val="RSCB02ArticleText"/>
        <w:spacing w:line="360" w:lineRule="auto"/>
        <w:rPr>
          <w:rFonts w:ascii="Times New Roman" w:hAnsi="Times New Roman"/>
          <w:w w:val="100"/>
          <w:kern w:val="2"/>
          <w:sz w:val="24"/>
          <w:szCs w:val="28"/>
          <w:lang w:val="en-US" w:eastAsia="zh-CN"/>
        </w:rPr>
      </w:pPr>
    </w:p>
    <w:p w14:paraId="65B179BD" w14:textId="77777777" w:rsidR="0039720F" w:rsidRPr="003D7CC9" w:rsidRDefault="00000000">
      <w:pPr>
        <w:pStyle w:val="RSCB02ArticleText"/>
        <w:spacing w:line="360" w:lineRule="auto"/>
        <w:rPr>
          <w:rFonts w:ascii="Times New Roman" w:hAnsi="Times New Roman"/>
          <w:b/>
          <w:bCs/>
          <w:w w:val="100"/>
          <w:kern w:val="2"/>
          <w:sz w:val="24"/>
          <w:szCs w:val="28"/>
          <w:lang w:val="en-US" w:eastAsia="zh-CN"/>
        </w:rPr>
      </w:pPr>
      <w:r w:rsidRPr="003D7CC9">
        <w:rPr>
          <w:rFonts w:ascii="Times New Roman" w:hAnsi="Times New Roman"/>
          <w:b/>
          <w:bCs/>
          <w:w w:val="100"/>
          <w:kern w:val="2"/>
          <w:sz w:val="24"/>
          <w:szCs w:val="28"/>
          <w:lang w:val="en-US" w:eastAsia="zh-CN"/>
        </w:rPr>
        <w:t>Statistical Analysis</w:t>
      </w:r>
    </w:p>
    <w:p w14:paraId="64982C23" w14:textId="77777777" w:rsidR="0039720F" w:rsidRDefault="00000000">
      <w:pPr>
        <w:pStyle w:val="RSCB02ArticleText"/>
        <w:spacing w:line="360" w:lineRule="auto"/>
        <w:rPr>
          <w:rFonts w:ascii="Times New Roman" w:hAnsi="Times New Roman"/>
          <w:w w:val="100"/>
          <w:kern w:val="2"/>
          <w:sz w:val="24"/>
          <w:szCs w:val="28"/>
          <w:lang w:val="en-US" w:eastAsia="zh-CN"/>
        </w:rPr>
      </w:pPr>
      <w:r>
        <w:rPr>
          <w:rFonts w:ascii="Times New Roman" w:hAnsi="Times New Roman"/>
          <w:w w:val="100"/>
          <w:kern w:val="2"/>
          <w:sz w:val="24"/>
          <w:szCs w:val="28"/>
          <w:lang w:val="en-US" w:eastAsia="zh-CN"/>
        </w:rPr>
        <w:t>All data were expressed as the mean ± SD. The differences were analyzed among groups using the one-way ANOVA by SPSS 15.0 statistical software. The results were considered to be significant when</w:t>
      </w:r>
      <w:r w:rsidRPr="003D7CC9">
        <w:rPr>
          <w:rFonts w:ascii="Times New Roman" w:hAnsi="Times New Roman"/>
          <w:i/>
          <w:iCs/>
          <w:w w:val="100"/>
          <w:kern w:val="2"/>
          <w:sz w:val="24"/>
          <w:szCs w:val="28"/>
          <w:lang w:val="en-US" w:eastAsia="zh-CN"/>
        </w:rPr>
        <w:t xml:space="preserve"> p&lt;0.05</w:t>
      </w:r>
      <w:r>
        <w:rPr>
          <w:rFonts w:ascii="Times New Roman" w:hAnsi="Times New Roman"/>
          <w:w w:val="100"/>
          <w:kern w:val="2"/>
          <w:sz w:val="24"/>
          <w:szCs w:val="28"/>
          <w:lang w:val="en-US" w:eastAsia="zh-CN"/>
        </w:rPr>
        <w:t>.</w:t>
      </w:r>
    </w:p>
    <w:p w14:paraId="3CE22ACF" w14:textId="77777777" w:rsidR="0039720F" w:rsidRDefault="0039720F">
      <w:pPr>
        <w:rPr>
          <w:rFonts w:ascii="Times New Roman" w:hAnsi="Times New Roman" w:cs="Times New Roman"/>
          <w:sz w:val="24"/>
          <w:szCs w:val="28"/>
        </w:rPr>
        <w:sectPr w:rsidR="0039720F">
          <w:pgSz w:w="11906" w:h="16838"/>
          <w:pgMar w:top="1440" w:right="1800" w:bottom="1440" w:left="1800" w:header="851" w:footer="992" w:gutter="0"/>
          <w:cols w:space="425"/>
          <w:docGrid w:type="lines" w:linePitch="312"/>
        </w:sectPr>
      </w:pPr>
    </w:p>
    <w:p w14:paraId="4B9116D9" w14:textId="77777777" w:rsidR="0039720F" w:rsidRDefault="0039720F">
      <w:pPr>
        <w:rPr>
          <w:rFonts w:ascii="Times New Roman" w:hAnsi="Times New Roman" w:cs="Times New Roman"/>
          <w:sz w:val="24"/>
          <w:szCs w:val="28"/>
        </w:rPr>
      </w:pPr>
    </w:p>
    <w:p w14:paraId="18265FE5" w14:textId="77777777" w:rsidR="0039720F" w:rsidRDefault="00000000">
      <w:pPr>
        <w:rPr>
          <w:rFonts w:ascii="Times New Roman" w:hAnsi="Times New Roman" w:cs="Times New Roman"/>
          <w:sz w:val="24"/>
          <w:szCs w:val="28"/>
        </w:rPr>
      </w:pPr>
      <w:r>
        <w:rPr>
          <w:rFonts w:ascii="Times New Roman" w:hAnsi="Times New Roman" w:cs="Times New Roman"/>
          <w:sz w:val="24"/>
          <w:szCs w:val="28"/>
        </w:rPr>
        <w:t>Table S1 siRNA sequences</w:t>
      </w:r>
    </w:p>
    <w:tbl>
      <w:tblPr>
        <w:tblStyle w:val="ae"/>
        <w:tblW w:w="0" w:type="auto"/>
        <w:tblLook w:val="04A0" w:firstRow="1" w:lastRow="0" w:firstColumn="1" w:lastColumn="0" w:noHBand="0" w:noVBand="1"/>
      </w:tblPr>
      <w:tblGrid>
        <w:gridCol w:w="3256"/>
        <w:gridCol w:w="5040"/>
      </w:tblGrid>
      <w:tr w:rsidR="0039720F" w14:paraId="37034D38" w14:textId="77777777">
        <w:tc>
          <w:tcPr>
            <w:tcW w:w="3256" w:type="dxa"/>
          </w:tcPr>
          <w:p w14:paraId="13399E99" w14:textId="77777777" w:rsidR="0039720F" w:rsidRDefault="00000000">
            <w:pPr>
              <w:spacing w:line="360" w:lineRule="auto"/>
              <w:ind w:left="240" w:hangingChars="100" w:hanging="240"/>
              <w:rPr>
                <w:rFonts w:ascii="Times New Roman" w:eastAsia="宋体" w:hAnsi="Times New Roman" w:cs="Times New Roman"/>
                <w:kern w:val="24"/>
                <w:sz w:val="24"/>
                <w:szCs w:val="24"/>
              </w:rPr>
            </w:pPr>
            <w:r>
              <w:rPr>
                <w:rFonts w:ascii="Times New Roman" w:eastAsia="宋体" w:hAnsi="Times New Roman" w:cs="Times New Roman"/>
                <w:kern w:val="24"/>
                <w:sz w:val="24"/>
                <w:szCs w:val="24"/>
              </w:rPr>
              <w:t xml:space="preserve">FOXO3a siRNA#749   </w:t>
            </w:r>
          </w:p>
          <w:p w14:paraId="24861539" w14:textId="77777777" w:rsidR="0039720F" w:rsidRPr="003D7CC9" w:rsidRDefault="0039720F">
            <w:pPr>
              <w:rPr>
                <w:rFonts w:ascii="Times New Roman" w:hAnsi="Times New Roman" w:cs="Times New Roman"/>
              </w:rPr>
            </w:pPr>
          </w:p>
        </w:tc>
        <w:tc>
          <w:tcPr>
            <w:tcW w:w="5040" w:type="dxa"/>
          </w:tcPr>
          <w:p w14:paraId="46E8E3AE" w14:textId="77777777" w:rsidR="0039720F" w:rsidRDefault="00000000">
            <w:pPr>
              <w:spacing w:line="360" w:lineRule="auto"/>
              <w:ind w:left="240" w:hangingChars="100" w:hanging="240"/>
              <w:rPr>
                <w:rFonts w:ascii="Times New Roman" w:eastAsia="宋体" w:hAnsi="Times New Roman" w:cs="Times New Roman"/>
                <w:kern w:val="24"/>
                <w:sz w:val="24"/>
                <w:szCs w:val="24"/>
              </w:rPr>
            </w:pPr>
            <w:r>
              <w:rPr>
                <w:rFonts w:ascii="Times New Roman" w:eastAsia="宋体" w:hAnsi="Times New Roman" w:cs="Times New Roman"/>
                <w:kern w:val="24"/>
                <w:sz w:val="24"/>
                <w:szCs w:val="24"/>
              </w:rPr>
              <w:t>5’-GCUGUCUCCAUGGACAAUATT-3’</w:t>
            </w:r>
          </w:p>
          <w:p w14:paraId="6F7357FC" w14:textId="77777777" w:rsidR="0039720F" w:rsidRPr="003D7CC9" w:rsidRDefault="00000000">
            <w:pPr>
              <w:spacing w:line="360" w:lineRule="auto"/>
              <w:rPr>
                <w:rFonts w:ascii="Times New Roman" w:hAnsi="Times New Roman" w:cs="Times New Roman"/>
              </w:rPr>
            </w:pPr>
            <w:r>
              <w:rPr>
                <w:rFonts w:ascii="Times New Roman" w:eastAsia="宋体" w:hAnsi="Times New Roman" w:cs="Times New Roman"/>
                <w:kern w:val="24"/>
                <w:sz w:val="24"/>
                <w:szCs w:val="24"/>
              </w:rPr>
              <w:t>5’-UAUUGUCCAUGGAGACAGCTT-3’</w:t>
            </w:r>
          </w:p>
        </w:tc>
      </w:tr>
      <w:tr w:rsidR="0039720F" w14:paraId="44B75C04" w14:textId="77777777">
        <w:tc>
          <w:tcPr>
            <w:tcW w:w="3256" w:type="dxa"/>
          </w:tcPr>
          <w:p w14:paraId="14B61BC3" w14:textId="77777777" w:rsidR="0039720F" w:rsidRDefault="00000000">
            <w:pPr>
              <w:spacing w:line="360" w:lineRule="auto"/>
              <w:ind w:left="240" w:hangingChars="100" w:hanging="240"/>
              <w:rPr>
                <w:rFonts w:ascii="Times New Roman" w:eastAsia="宋体" w:hAnsi="Times New Roman" w:cs="Times New Roman"/>
                <w:kern w:val="24"/>
                <w:sz w:val="24"/>
                <w:szCs w:val="24"/>
              </w:rPr>
            </w:pPr>
            <w:r>
              <w:rPr>
                <w:rFonts w:ascii="Times New Roman" w:eastAsia="宋体" w:hAnsi="Times New Roman" w:cs="Times New Roman"/>
                <w:kern w:val="24"/>
                <w:sz w:val="24"/>
                <w:szCs w:val="24"/>
              </w:rPr>
              <w:t xml:space="preserve">FOXO3a siRNA#1119   </w:t>
            </w:r>
          </w:p>
          <w:p w14:paraId="2953C715" w14:textId="77777777" w:rsidR="0039720F" w:rsidRPr="003D7CC9" w:rsidRDefault="0039720F">
            <w:pPr>
              <w:rPr>
                <w:rFonts w:ascii="Times New Roman" w:hAnsi="Times New Roman" w:cs="Times New Roman"/>
              </w:rPr>
            </w:pPr>
          </w:p>
        </w:tc>
        <w:tc>
          <w:tcPr>
            <w:tcW w:w="5040" w:type="dxa"/>
          </w:tcPr>
          <w:p w14:paraId="0E092FCC" w14:textId="77777777" w:rsidR="0039720F" w:rsidRDefault="00000000">
            <w:pPr>
              <w:spacing w:line="360" w:lineRule="auto"/>
              <w:rPr>
                <w:rFonts w:ascii="Times New Roman" w:eastAsia="宋体" w:hAnsi="Times New Roman" w:cs="Times New Roman"/>
                <w:kern w:val="24"/>
                <w:sz w:val="24"/>
                <w:szCs w:val="24"/>
              </w:rPr>
            </w:pPr>
            <w:r>
              <w:rPr>
                <w:rFonts w:ascii="Times New Roman" w:eastAsia="宋体" w:hAnsi="Times New Roman" w:cs="Times New Roman"/>
                <w:kern w:val="24"/>
                <w:sz w:val="24"/>
                <w:szCs w:val="24"/>
              </w:rPr>
              <w:t>5’-UUCUCCGAACGUGUCACGUTT-3’</w:t>
            </w:r>
          </w:p>
          <w:p w14:paraId="117B5D4F" w14:textId="77777777" w:rsidR="0039720F" w:rsidRPr="003D7CC9" w:rsidRDefault="00000000">
            <w:pPr>
              <w:spacing w:line="360" w:lineRule="auto"/>
              <w:rPr>
                <w:rFonts w:ascii="Times New Roman" w:hAnsi="Times New Roman" w:cs="Times New Roman"/>
              </w:rPr>
            </w:pPr>
            <w:r>
              <w:rPr>
                <w:rFonts w:ascii="Times New Roman" w:eastAsia="宋体" w:hAnsi="Times New Roman" w:cs="Times New Roman"/>
                <w:kern w:val="24"/>
                <w:sz w:val="24"/>
                <w:szCs w:val="24"/>
              </w:rPr>
              <w:t>5’-ACGUGACACGUUCGGAGAATT-3</w:t>
            </w:r>
          </w:p>
        </w:tc>
      </w:tr>
      <w:tr w:rsidR="0039720F" w14:paraId="3EB996FA" w14:textId="77777777">
        <w:tc>
          <w:tcPr>
            <w:tcW w:w="3256" w:type="dxa"/>
          </w:tcPr>
          <w:p w14:paraId="4951E7C2" w14:textId="77777777" w:rsidR="0039720F" w:rsidRPr="003D7CC9" w:rsidRDefault="00000000">
            <w:pPr>
              <w:spacing w:line="360" w:lineRule="auto"/>
              <w:ind w:left="240" w:hangingChars="100" w:hanging="240"/>
              <w:rPr>
                <w:rFonts w:ascii="Times New Roman" w:hAnsi="Times New Roman" w:cs="Times New Roman"/>
              </w:rPr>
            </w:pPr>
            <w:r>
              <w:rPr>
                <w:rFonts w:ascii="Times New Roman" w:eastAsia="宋体" w:hAnsi="Times New Roman" w:cs="Times New Roman"/>
                <w:kern w:val="24"/>
                <w:sz w:val="24"/>
                <w:szCs w:val="24"/>
              </w:rPr>
              <w:t>FOXO3a siRNA#1863</w:t>
            </w:r>
          </w:p>
        </w:tc>
        <w:tc>
          <w:tcPr>
            <w:tcW w:w="5040" w:type="dxa"/>
          </w:tcPr>
          <w:p w14:paraId="6634E34D" w14:textId="77777777" w:rsidR="0039720F" w:rsidRDefault="00000000">
            <w:pPr>
              <w:spacing w:line="360" w:lineRule="auto"/>
              <w:ind w:left="240" w:hangingChars="100" w:hanging="240"/>
              <w:rPr>
                <w:rFonts w:ascii="Times New Roman" w:eastAsia="宋体" w:hAnsi="Times New Roman" w:cs="Times New Roman"/>
                <w:kern w:val="24"/>
                <w:sz w:val="24"/>
                <w:szCs w:val="24"/>
              </w:rPr>
            </w:pPr>
            <w:r>
              <w:rPr>
                <w:rFonts w:ascii="Times New Roman" w:eastAsia="宋体" w:hAnsi="Times New Roman" w:cs="Times New Roman"/>
                <w:kern w:val="24"/>
                <w:sz w:val="24"/>
                <w:szCs w:val="24"/>
              </w:rPr>
              <w:t>5’-GUGACAUGGAGUCCAUUAUTT-3’</w:t>
            </w:r>
          </w:p>
          <w:p w14:paraId="1600FB69" w14:textId="77777777" w:rsidR="0039720F" w:rsidRPr="003D7CC9" w:rsidRDefault="00000000">
            <w:pPr>
              <w:spacing w:line="360" w:lineRule="auto"/>
              <w:rPr>
                <w:rFonts w:ascii="Times New Roman" w:hAnsi="Times New Roman" w:cs="Times New Roman"/>
              </w:rPr>
            </w:pPr>
            <w:r>
              <w:rPr>
                <w:rFonts w:ascii="Times New Roman" w:eastAsia="宋体" w:hAnsi="Times New Roman" w:cs="Times New Roman"/>
                <w:kern w:val="24"/>
                <w:sz w:val="24"/>
                <w:szCs w:val="24"/>
              </w:rPr>
              <w:t>5’-AUAAUGGACUCCAUGUCACTT-3’</w:t>
            </w:r>
          </w:p>
        </w:tc>
      </w:tr>
      <w:tr w:rsidR="0039720F" w14:paraId="044A53CB" w14:textId="77777777">
        <w:tc>
          <w:tcPr>
            <w:tcW w:w="3256" w:type="dxa"/>
          </w:tcPr>
          <w:p w14:paraId="70E1D89F" w14:textId="77777777" w:rsidR="0039720F" w:rsidRDefault="00000000">
            <w:pPr>
              <w:spacing w:line="360" w:lineRule="auto"/>
              <w:ind w:left="240" w:hangingChars="100" w:hanging="240"/>
              <w:rPr>
                <w:rFonts w:ascii="Times New Roman" w:eastAsia="宋体" w:hAnsi="Times New Roman" w:cs="Times New Roman"/>
                <w:kern w:val="24"/>
                <w:sz w:val="24"/>
                <w:szCs w:val="24"/>
              </w:rPr>
            </w:pPr>
            <w:r>
              <w:rPr>
                <w:rFonts w:ascii="Times New Roman" w:eastAsia="宋体" w:hAnsi="Times New Roman" w:cs="Times New Roman"/>
                <w:kern w:val="24"/>
                <w:sz w:val="24"/>
                <w:szCs w:val="24"/>
              </w:rPr>
              <w:t xml:space="preserve">Negative control (NC)siRNA </w:t>
            </w:r>
          </w:p>
          <w:p w14:paraId="234049DE" w14:textId="77777777" w:rsidR="0039720F" w:rsidRPr="003D7CC9" w:rsidRDefault="0039720F">
            <w:pPr>
              <w:rPr>
                <w:rFonts w:ascii="Times New Roman" w:hAnsi="Times New Roman" w:cs="Times New Roman"/>
              </w:rPr>
            </w:pPr>
          </w:p>
        </w:tc>
        <w:tc>
          <w:tcPr>
            <w:tcW w:w="5040" w:type="dxa"/>
          </w:tcPr>
          <w:p w14:paraId="745E9818" w14:textId="77777777" w:rsidR="0039720F" w:rsidRDefault="00000000">
            <w:pPr>
              <w:spacing w:line="360" w:lineRule="auto"/>
              <w:ind w:left="240" w:hangingChars="100" w:hanging="240"/>
              <w:rPr>
                <w:rFonts w:ascii="Times New Roman" w:eastAsia="宋体" w:hAnsi="Times New Roman" w:cs="Times New Roman"/>
                <w:kern w:val="24"/>
                <w:sz w:val="24"/>
                <w:szCs w:val="24"/>
              </w:rPr>
            </w:pPr>
            <w:r>
              <w:rPr>
                <w:rFonts w:ascii="Times New Roman" w:eastAsia="宋体" w:hAnsi="Times New Roman" w:cs="Times New Roman"/>
                <w:kern w:val="24"/>
                <w:sz w:val="24"/>
                <w:szCs w:val="24"/>
              </w:rPr>
              <w:t>5’-UUCUCCGAACGUGUCACGUTT-3’</w:t>
            </w:r>
          </w:p>
          <w:p w14:paraId="6BFDD7BD" w14:textId="77777777" w:rsidR="0039720F" w:rsidRPr="003D7CC9" w:rsidRDefault="00000000">
            <w:pPr>
              <w:rPr>
                <w:rFonts w:ascii="Times New Roman" w:hAnsi="Times New Roman" w:cs="Times New Roman"/>
              </w:rPr>
            </w:pPr>
            <w:r>
              <w:rPr>
                <w:rFonts w:ascii="Times New Roman" w:eastAsia="宋体" w:hAnsi="Times New Roman" w:cs="Times New Roman"/>
                <w:kern w:val="24"/>
                <w:sz w:val="24"/>
                <w:szCs w:val="24"/>
              </w:rPr>
              <w:t>5’-ACGUGACACGUUCGGAGAATT-3’</w:t>
            </w:r>
          </w:p>
        </w:tc>
      </w:tr>
    </w:tbl>
    <w:p w14:paraId="327D360A" w14:textId="77777777" w:rsidR="0039720F" w:rsidRDefault="0039720F">
      <w:pPr>
        <w:rPr>
          <w:rFonts w:ascii="Times New Roman" w:hAnsi="Times New Roman" w:cs="Times New Roman"/>
          <w:sz w:val="24"/>
          <w:szCs w:val="28"/>
        </w:rPr>
      </w:pPr>
    </w:p>
    <w:p w14:paraId="088EE651" w14:textId="77777777" w:rsidR="0039720F" w:rsidRDefault="00000000">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6D266C3E" w14:textId="77777777" w:rsidR="0039720F" w:rsidRDefault="0039720F">
      <w:pPr>
        <w:rPr>
          <w:rFonts w:ascii="Times New Roman" w:hAnsi="Times New Roman" w:cs="Times New Roman"/>
          <w:sz w:val="24"/>
          <w:szCs w:val="28"/>
        </w:rPr>
      </w:pPr>
    </w:p>
    <w:p w14:paraId="761376EA" w14:textId="77777777" w:rsidR="0039720F" w:rsidRDefault="00000000">
      <w:pPr>
        <w:rPr>
          <w:rFonts w:ascii="Times New Roman" w:hAnsi="Times New Roman" w:cs="Times New Roman"/>
          <w:sz w:val="24"/>
          <w:szCs w:val="28"/>
        </w:rPr>
      </w:pPr>
      <w:r>
        <w:rPr>
          <w:rFonts w:ascii="Times New Roman" w:hAnsi="Times New Roman" w:cs="Times New Roman"/>
          <w:sz w:val="24"/>
          <w:szCs w:val="28"/>
        </w:rPr>
        <w:t>Table S2 qPCR primers</w:t>
      </w: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6"/>
        <w:gridCol w:w="5757"/>
      </w:tblGrid>
      <w:tr w:rsidR="0039720F" w14:paraId="713AF251" w14:textId="77777777">
        <w:trPr>
          <w:trHeight w:val="467"/>
        </w:trPr>
        <w:tc>
          <w:tcPr>
            <w:tcW w:w="2566" w:type="dxa"/>
            <w:vMerge w:val="restart"/>
          </w:tcPr>
          <w:p w14:paraId="63C5DA87"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FOXO3a</w:t>
            </w:r>
          </w:p>
        </w:tc>
        <w:tc>
          <w:tcPr>
            <w:tcW w:w="5757" w:type="dxa"/>
          </w:tcPr>
          <w:p w14:paraId="385D600F"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F</w:t>
            </w:r>
            <w:r>
              <w:rPr>
                <w:rFonts w:ascii="Times New Roman" w:eastAsia="宋体" w:hAnsi="Times New Roman" w:cs="Times New Roman"/>
                <w:kern w:val="24"/>
                <w:sz w:val="24"/>
                <w:szCs w:val="24"/>
              </w:rPr>
              <w:t>：</w:t>
            </w:r>
            <w:r>
              <w:rPr>
                <w:rFonts w:ascii="Times New Roman" w:eastAsia="宋体" w:hAnsi="Times New Roman" w:cs="Times New Roman"/>
                <w:kern w:val="24"/>
                <w:sz w:val="24"/>
                <w:szCs w:val="24"/>
              </w:rPr>
              <w:t>5'-CGGACAAACGGCTCACTCT-3'</w:t>
            </w:r>
          </w:p>
        </w:tc>
      </w:tr>
      <w:tr w:rsidR="0039720F" w14:paraId="5C5DA722" w14:textId="77777777">
        <w:trPr>
          <w:trHeight w:val="467"/>
        </w:trPr>
        <w:tc>
          <w:tcPr>
            <w:tcW w:w="2566" w:type="dxa"/>
            <w:vMerge/>
          </w:tcPr>
          <w:p w14:paraId="7D6F0994" w14:textId="77777777" w:rsidR="0039720F" w:rsidRDefault="0039720F">
            <w:pPr>
              <w:spacing w:line="480" w:lineRule="exact"/>
              <w:rPr>
                <w:rFonts w:ascii="Times New Roman" w:eastAsia="宋体" w:hAnsi="Times New Roman" w:cs="Times New Roman"/>
                <w:kern w:val="24"/>
                <w:sz w:val="24"/>
                <w:szCs w:val="24"/>
              </w:rPr>
            </w:pPr>
          </w:p>
        </w:tc>
        <w:tc>
          <w:tcPr>
            <w:tcW w:w="5757" w:type="dxa"/>
          </w:tcPr>
          <w:p w14:paraId="27CF7238"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R</w:t>
            </w:r>
            <w:r>
              <w:rPr>
                <w:rFonts w:ascii="Times New Roman" w:eastAsia="宋体" w:hAnsi="Times New Roman" w:cs="Times New Roman"/>
                <w:kern w:val="24"/>
                <w:sz w:val="24"/>
                <w:szCs w:val="24"/>
              </w:rPr>
              <w:t>：</w:t>
            </w:r>
            <w:r>
              <w:rPr>
                <w:rFonts w:ascii="Times New Roman" w:eastAsia="宋体" w:hAnsi="Times New Roman" w:cs="Times New Roman"/>
                <w:kern w:val="24"/>
                <w:sz w:val="24"/>
                <w:szCs w:val="24"/>
              </w:rPr>
              <w:t>5'-GGACCCGCATGAATCGACTAT-3'</w:t>
            </w:r>
          </w:p>
        </w:tc>
      </w:tr>
      <w:tr w:rsidR="0039720F" w14:paraId="73F6D9AD" w14:textId="77777777">
        <w:trPr>
          <w:trHeight w:val="467"/>
        </w:trPr>
        <w:tc>
          <w:tcPr>
            <w:tcW w:w="2566" w:type="dxa"/>
            <w:vMerge w:val="restart"/>
          </w:tcPr>
          <w:p w14:paraId="0FE1A68F"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PERK</w:t>
            </w:r>
          </w:p>
        </w:tc>
        <w:tc>
          <w:tcPr>
            <w:tcW w:w="5757" w:type="dxa"/>
          </w:tcPr>
          <w:p w14:paraId="5EBF824E"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F</w:t>
            </w:r>
            <w:r>
              <w:rPr>
                <w:rFonts w:ascii="Times New Roman" w:eastAsia="宋体" w:hAnsi="Times New Roman" w:cs="Times New Roman"/>
                <w:kern w:val="24"/>
                <w:sz w:val="24"/>
                <w:szCs w:val="24"/>
              </w:rPr>
              <w:t>：</w:t>
            </w:r>
            <w:r>
              <w:rPr>
                <w:rFonts w:ascii="Times New Roman" w:eastAsia="宋体" w:hAnsi="Times New Roman" w:cs="Times New Roman"/>
                <w:kern w:val="24"/>
                <w:sz w:val="24"/>
                <w:szCs w:val="24"/>
              </w:rPr>
              <w:t xml:space="preserve">5'-TGCCTTGGCTGAACATTCCA-3'  </w:t>
            </w:r>
          </w:p>
        </w:tc>
      </w:tr>
      <w:tr w:rsidR="0039720F" w14:paraId="62EA028B" w14:textId="77777777">
        <w:trPr>
          <w:trHeight w:val="467"/>
        </w:trPr>
        <w:tc>
          <w:tcPr>
            <w:tcW w:w="2566" w:type="dxa"/>
            <w:vMerge/>
          </w:tcPr>
          <w:p w14:paraId="6009BEE7" w14:textId="77777777" w:rsidR="0039720F" w:rsidRDefault="0039720F">
            <w:pPr>
              <w:spacing w:line="480" w:lineRule="exact"/>
              <w:rPr>
                <w:rFonts w:ascii="Times New Roman" w:eastAsia="宋体" w:hAnsi="Times New Roman" w:cs="Times New Roman"/>
                <w:kern w:val="24"/>
                <w:sz w:val="24"/>
                <w:szCs w:val="24"/>
              </w:rPr>
            </w:pPr>
          </w:p>
        </w:tc>
        <w:tc>
          <w:tcPr>
            <w:tcW w:w="5757" w:type="dxa"/>
          </w:tcPr>
          <w:p w14:paraId="70ED83E6"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R</w:t>
            </w:r>
            <w:r>
              <w:rPr>
                <w:rFonts w:ascii="Times New Roman" w:eastAsia="宋体" w:hAnsi="Times New Roman" w:cs="Times New Roman"/>
                <w:kern w:val="24"/>
                <w:sz w:val="24"/>
                <w:szCs w:val="24"/>
              </w:rPr>
              <w:t>：</w:t>
            </w:r>
            <w:r>
              <w:rPr>
                <w:rFonts w:ascii="Times New Roman" w:eastAsia="宋体" w:hAnsi="Times New Roman" w:cs="Times New Roman"/>
                <w:kern w:val="24"/>
                <w:sz w:val="24"/>
                <w:szCs w:val="24"/>
              </w:rPr>
              <w:t>5'-TGTGACAATCCAGTCTGCCC-3'</w:t>
            </w:r>
          </w:p>
        </w:tc>
      </w:tr>
      <w:tr w:rsidR="0039720F" w14:paraId="48960457" w14:textId="77777777">
        <w:trPr>
          <w:trHeight w:val="467"/>
        </w:trPr>
        <w:tc>
          <w:tcPr>
            <w:tcW w:w="2566" w:type="dxa"/>
            <w:vMerge w:val="restart"/>
          </w:tcPr>
          <w:p w14:paraId="46706F3A"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GAPDH</w:t>
            </w:r>
          </w:p>
        </w:tc>
        <w:tc>
          <w:tcPr>
            <w:tcW w:w="5757" w:type="dxa"/>
          </w:tcPr>
          <w:p w14:paraId="6267F104"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F:  5'-CAGGAGGCATTGCTGATGAT-3'</w:t>
            </w:r>
          </w:p>
        </w:tc>
      </w:tr>
      <w:tr w:rsidR="0039720F" w14:paraId="653FC003" w14:textId="77777777">
        <w:trPr>
          <w:trHeight w:val="467"/>
        </w:trPr>
        <w:tc>
          <w:tcPr>
            <w:tcW w:w="2566" w:type="dxa"/>
            <w:vMerge/>
          </w:tcPr>
          <w:p w14:paraId="3E3147EF" w14:textId="77777777" w:rsidR="0039720F" w:rsidRDefault="0039720F">
            <w:pPr>
              <w:spacing w:line="480" w:lineRule="exact"/>
              <w:rPr>
                <w:rFonts w:ascii="Times New Roman" w:eastAsia="宋体" w:hAnsi="Times New Roman" w:cs="Times New Roman"/>
                <w:kern w:val="24"/>
                <w:sz w:val="24"/>
                <w:szCs w:val="24"/>
              </w:rPr>
            </w:pPr>
          </w:p>
        </w:tc>
        <w:tc>
          <w:tcPr>
            <w:tcW w:w="5757" w:type="dxa"/>
          </w:tcPr>
          <w:p w14:paraId="03A17CDC"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R:  5'-GAAGGCTGGGGCTCATTT-3'</w:t>
            </w:r>
          </w:p>
        </w:tc>
      </w:tr>
      <w:tr w:rsidR="0039720F" w14:paraId="040D87EA" w14:textId="77777777">
        <w:trPr>
          <w:trHeight w:val="467"/>
        </w:trPr>
        <w:tc>
          <w:tcPr>
            <w:tcW w:w="2566" w:type="dxa"/>
            <w:vMerge w:val="restart"/>
          </w:tcPr>
          <w:p w14:paraId="59B626DA"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AKT</w:t>
            </w:r>
          </w:p>
        </w:tc>
        <w:tc>
          <w:tcPr>
            <w:tcW w:w="5757" w:type="dxa"/>
          </w:tcPr>
          <w:p w14:paraId="3BFD6B63"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F:  5'-AGCGACGTGGCTATTGTGAAG-3'</w:t>
            </w:r>
          </w:p>
        </w:tc>
      </w:tr>
      <w:tr w:rsidR="0039720F" w14:paraId="2E5F22F8" w14:textId="77777777">
        <w:trPr>
          <w:trHeight w:val="467"/>
        </w:trPr>
        <w:tc>
          <w:tcPr>
            <w:tcW w:w="2566" w:type="dxa"/>
            <w:vMerge/>
          </w:tcPr>
          <w:p w14:paraId="1623D269" w14:textId="77777777" w:rsidR="0039720F" w:rsidRDefault="0039720F">
            <w:pPr>
              <w:spacing w:line="480" w:lineRule="exact"/>
              <w:rPr>
                <w:rFonts w:ascii="Times New Roman" w:eastAsia="宋体" w:hAnsi="Times New Roman" w:cs="Times New Roman"/>
                <w:kern w:val="24"/>
                <w:sz w:val="24"/>
                <w:szCs w:val="24"/>
              </w:rPr>
            </w:pPr>
          </w:p>
        </w:tc>
        <w:tc>
          <w:tcPr>
            <w:tcW w:w="5757" w:type="dxa"/>
          </w:tcPr>
          <w:p w14:paraId="774BB4AC"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R:  5'-GCCATCATTCTTGAGGAGGAAGT-3'</w:t>
            </w:r>
          </w:p>
        </w:tc>
      </w:tr>
      <w:tr w:rsidR="0039720F" w14:paraId="32BE4C27" w14:textId="77777777">
        <w:trPr>
          <w:trHeight w:val="467"/>
        </w:trPr>
        <w:tc>
          <w:tcPr>
            <w:tcW w:w="2566" w:type="dxa"/>
            <w:vMerge w:val="restart"/>
          </w:tcPr>
          <w:p w14:paraId="12CD60EF"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CHOP</w:t>
            </w:r>
          </w:p>
        </w:tc>
        <w:tc>
          <w:tcPr>
            <w:tcW w:w="5757" w:type="dxa"/>
          </w:tcPr>
          <w:p w14:paraId="6C0C6652"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F:  5'-GGAAACAGAGTGGTCATTCCC-3'</w:t>
            </w:r>
          </w:p>
        </w:tc>
      </w:tr>
      <w:tr w:rsidR="0039720F" w14:paraId="5C2A4D6A" w14:textId="77777777">
        <w:trPr>
          <w:trHeight w:val="467"/>
        </w:trPr>
        <w:tc>
          <w:tcPr>
            <w:tcW w:w="2566" w:type="dxa"/>
            <w:vMerge/>
          </w:tcPr>
          <w:p w14:paraId="497C5174" w14:textId="77777777" w:rsidR="0039720F" w:rsidRDefault="0039720F">
            <w:pPr>
              <w:spacing w:line="480" w:lineRule="exact"/>
              <w:rPr>
                <w:rFonts w:ascii="Times New Roman" w:eastAsia="宋体" w:hAnsi="Times New Roman" w:cs="Times New Roman"/>
                <w:kern w:val="24"/>
                <w:sz w:val="24"/>
                <w:szCs w:val="24"/>
              </w:rPr>
            </w:pPr>
          </w:p>
        </w:tc>
        <w:tc>
          <w:tcPr>
            <w:tcW w:w="5757" w:type="dxa"/>
          </w:tcPr>
          <w:p w14:paraId="414DAE73"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R:  5'-CTGCTTGAGCCGTTCATTCTC-3'</w:t>
            </w:r>
          </w:p>
        </w:tc>
      </w:tr>
      <w:tr w:rsidR="0039720F" w14:paraId="3875AA8E" w14:textId="77777777">
        <w:trPr>
          <w:trHeight w:val="467"/>
        </w:trPr>
        <w:tc>
          <w:tcPr>
            <w:tcW w:w="2566" w:type="dxa"/>
            <w:vMerge w:val="restart"/>
          </w:tcPr>
          <w:p w14:paraId="5DE8BAF7"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Caspase3</w:t>
            </w:r>
          </w:p>
        </w:tc>
        <w:tc>
          <w:tcPr>
            <w:tcW w:w="5757" w:type="dxa"/>
          </w:tcPr>
          <w:p w14:paraId="44597F4E"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F:  5'-AGAGGGGATCGTTGTAGAAGTC-3'</w:t>
            </w:r>
          </w:p>
        </w:tc>
      </w:tr>
      <w:tr w:rsidR="0039720F" w14:paraId="446CCE62" w14:textId="77777777">
        <w:trPr>
          <w:trHeight w:val="467"/>
        </w:trPr>
        <w:tc>
          <w:tcPr>
            <w:tcW w:w="2566" w:type="dxa"/>
            <w:vMerge/>
          </w:tcPr>
          <w:p w14:paraId="151CCD8D" w14:textId="77777777" w:rsidR="0039720F" w:rsidRDefault="0039720F">
            <w:pPr>
              <w:spacing w:line="480" w:lineRule="exact"/>
              <w:rPr>
                <w:rFonts w:ascii="Times New Roman" w:eastAsia="宋体" w:hAnsi="Times New Roman" w:cs="Times New Roman"/>
                <w:kern w:val="24"/>
                <w:sz w:val="24"/>
                <w:szCs w:val="24"/>
              </w:rPr>
            </w:pPr>
          </w:p>
        </w:tc>
        <w:tc>
          <w:tcPr>
            <w:tcW w:w="5757" w:type="dxa"/>
          </w:tcPr>
          <w:p w14:paraId="0D064409" w14:textId="77777777" w:rsidR="0039720F" w:rsidRDefault="00000000">
            <w:pPr>
              <w:spacing w:line="480" w:lineRule="exact"/>
              <w:rPr>
                <w:rFonts w:ascii="Times New Roman" w:eastAsia="宋体" w:hAnsi="Times New Roman" w:cs="Times New Roman"/>
                <w:kern w:val="24"/>
                <w:sz w:val="24"/>
                <w:szCs w:val="24"/>
              </w:rPr>
            </w:pPr>
            <w:r>
              <w:rPr>
                <w:rFonts w:ascii="Times New Roman" w:eastAsia="宋体" w:hAnsi="Times New Roman" w:cs="Times New Roman"/>
                <w:kern w:val="24"/>
                <w:sz w:val="24"/>
                <w:szCs w:val="24"/>
              </w:rPr>
              <w:t>R:  5'-ACAGTCCAGTTCTGTACCACG-3'</w:t>
            </w:r>
          </w:p>
        </w:tc>
      </w:tr>
    </w:tbl>
    <w:p w14:paraId="1D365986" w14:textId="77777777" w:rsidR="0039720F" w:rsidRPr="003D7CC9" w:rsidRDefault="0039720F">
      <w:pPr>
        <w:rPr>
          <w:rFonts w:ascii="Times New Roman" w:hAnsi="Times New Roman" w:cs="Times New Roman"/>
        </w:rPr>
      </w:pPr>
    </w:p>
    <w:p w14:paraId="49152DF0" w14:textId="77777777" w:rsidR="0039720F" w:rsidRPr="003D7CC9" w:rsidRDefault="0039720F">
      <w:pPr>
        <w:rPr>
          <w:rFonts w:ascii="Times New Roman" w:hAnsi="Times New Roman" w:cs="Times New Roman"/>
        </w:rPr>
      </w:pPr>
    </w:p>
    <w:p w14:paraId="4C903C3C" w14:textId="77777777" w:rsidR="0039720F" w:rsidRPr="003D7CC9" w:rsidRDefault="00000000">
      <w:pPr>
        <w:widowControl/>
        <w:jc w:val="left"/>
        <w:rPr>
          <w:rFonts w:ascii="Times New Roman" w:hAnsi="Times New Roman" w:cs="Times New Roman"/>
        </w:rPr>
      </w:pPr>
      <w:r w:rsidRPr="003D7CC9">
        <w:rPr>
          <w:rFonts w:ascii="Times New Roman" w:hAnsi="Times New Roman" w:cs="Times New Roman"/>
        </w:rPr>
        <w:br w:type="page"/>
      </w:r>
    </w:p>
    <w:p w14:paraId="5463A0CA" w14:textId="58D1EB58" w:rsidR="0039720F" w:rsidRPr="004469D5" w:rsidRDefault="00000000">
      <w:pPr>
        <w:rPr>
          <w:rFonts w:ascii="Times New Roman" w:hAnsi="Times New Roman" w:cs="Times New Roman"/>
          <w:sz w:val="24"/>
          <w:szCs w:val="24"/>
        </w:rPr>
      </w:pPr>
      <w:r w:rsidRPr="004469D5">
        <w:rPr>
          <w:rFonts w:ascii="Times New Roman" w:hAnsi="Times New Roman" w:cs="Times New Roman"/>
          <w:sz w:val="24"/>
          <w:szCs w:val="24"/>
        </w:rPr>
        <w:lastRenderedPageBreak/>
        <w:t>Table S3. Reverse virtual screening was applied to validate the binding relationship between curcumol and the protein of PI3K-AKT-FOXO3a.The scoring represents the affinity of protein and curcumol.</w:t>
      </w:r>
    </w:p>
    <w:p w14:paraId="0D1C3ACE" w14:textId="77777777" w:rsidR="0039720F" w:rsidRPr="003D7CC9" w:rsidRDefault="0039720F">
      <w:pPr>
        <w:rPr>
          <w:rFonts w:ascii="Times New Roman" w:hAnsi="Times New Roman" w:cs="Times New Roman"/>
        </w:rPr>
      </w:pPr>
    </w:p>
    <w:tbl>
      <w:tblPr>
        <w:tblW w:w="9551" w:type="dxa"/>
        <w:tblBorders>
          <w:top w:val="single" w:sz="8" w:space="0" w:color="auto"/>
          <w:bottom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07"/>
        <w:gridCol w:w="2441"/>
        <w:gridCol w:w="2703"/>
      </w:tblGrid>
      <w:tr w:rsidR="0039720F" w14:paraId="06623877" w14:textId="77777777">
        <w:trPr>
          <w:trHeight w:val="964"/>
        </w:trPr>
        <w:tc>
          <w:tcPr>
            <w:tcW w:w="4407" w:type="dxa"/>
            <w:tcBorders>
              <w:bottom w:val="single" w:sz="8" w:space="0" w:color="auto"/>
              <w:right w:val="nil"/>
            </w:tcBorders>
            <w:shd w:val="clear" w:color="auto" w:fill="auto"/>
            <w:tcMar>
              <w:top w:w="15" w:type="dxa"/>
              <w:left w:w="108" w:type="dxa"/>
              <w:bottom w:w="0" w:type="dxa"/>
              <w:right w:w="108" w:type="dxa"/>
            </w:tcMar>
            <w:vAlign w:val="center"/>
          </w:tcPr>
          <w:p w14:paraId="0F08A703"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Targets</w:t>
            </w:r>
          </w:p>
        </w:tc>
        <w:tc>
          <w:tcPr>
            <w:tcW w:w="2441" w:type="dxa"/>
            <w:tcBorders>
              <w:left w:val="nil"/>
              <w:bottom w:val="single" w:sz="8" w:space="0" w:color="auto"/>
              <w:right w:val="nil"/>
            </w:tcBorders>
            <w:shd w:val="clear" w:color="auto" w:fill="auto"/>
            <w:tcMar>
              <w:top w:w="15" w:type="dxa"/>
              <w:left w:w="108" w:type="dxa"/>
              <w:bottom w:w="0" w:type="dxa"/>
              <w:right w:w="108" w:type="dxa"/>
            </w:tcMar>
            <w:vAlign w:val="center"/>
          </w:tcPr>
          <w:p w14:paraId="59FBDE14"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Docking method</w:t>
            </w:r>
          </w:p>
        </w:tc>
        <w:tc>
          <w:tcPr>
            <w:tcW w:w="2703" w:type="dxa"/>
            <w:tcBorders>
              <w:left w:val="nil"/>
              <w:bottom w:val="single" w:sz="8" w:space="0" w:color="auto"/>
            </w:tcBorders>
            <w:shd w:val="clear" w:color="auto" w:fill="auto"/>
            <w:tcMar>
              <w:top w:w="15" w:type="dxa"/>
              <w:left w:w="108" w:type="dxa"/>
              <w:bottom w:w="0" w:type="dxa"/>
              <w:right w:w="108" w:type="dxa"/>
            </w:tcMar>
            <w:vAlign w:val="center"/>
          </w:tcPr>
          <w:p w14:paraId="2E8383C0"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Scoring</w:t>
            </w:r>
          </w:p>
        </w:tc>
      </w:tr>
      <w:tr w:rsidR="0039720F" w14:paraId="468EB4AA" w14:textId="77777777">
        <w:trPr>
          <w:trHeight w:val="441"/>
        </w:trPr>
        <w:tc>
          <w:tcPr>
            <w:tcW w:w="4407" w:type="dxa"/>
            <w:tcBorders>
              <w:bottom w:val="nil"/>
              <w:right w:val="nil"/>
            </w:tcBorders>
            <w:shd w:val="clear" w:color="auto" w:fill="auto"/>
            <w:tcMar>
              <w:top w:w="15" w:type="dxa"/>
              <w:left w:w="108" w:type="dxa"/>
              <w:bottom w:w="0" w:type="dxa"/>
              <w:right w:w="108" w:type="dxa"/>
            </w:tcMar>
            <w:vAlign w:val="center"/>
          </w:tcPr>
          <w:p w14:paraId="011CED4C"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PTEN</w:t>
            </w:r>
          </w:p>
        </w:tc>
        <w:tc>
          <w:tcPr>
            <w:tcW w:w="2441" w:type="dxa"/>
            <w:tcBorders>
              <w:left w:val="nil"/>
              <w:bottom w:val="nil"/>
              <w:right w:val="nil"/>
            </w:tcBorders>
            <w:shd w:val="clear" w:color="auto" w:fill="auto"/>
            <w:tcMar>
              <w:top w:w="15" w:type="dxa"/>
              <w:left w:w="108" w:type="dxa"/>
              <w:bottom w:w="0" w:type="dxa"/>
              <w:right w:w="108" w:type="dxa"/>
            </w:tcMar>
            <w:vAlign w:val="center"/>
          </w:tcPr>
          <w:p w14:paraId="4DC83BB3"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CDOCKER</w:t>
            </w:r>
          </w:p>
        </w:tc>
        <w:tc>
          <w:tcPr>
            <w:tcW w:w="2703" w:type="dxa"/>
            <w:tcBorders>
              <w:left w:val="nil"/>
              <w:bottom w:val="nil"/>
            </w:tcBorders>
            <w:shd w:val="clear" w:color="auto" w:fill="auto"/>
            <w:tcMar>
              <w:top w:w="15" w:type="dxa"/>
              <w:left w:w="108" w:type="dxa"/>
              <w:bottom w:w="0" w:type="dxa"/>
              <w:right w:w="108" w:type="dxa"/>
            </w:tcMar>
            <w:vAlign w:val="center"/>
          </w:tcPr>
          <w:p w14:paraId="15A7199F"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18.42</w:t>
            </w:r>
          </w:p>
        </w:tc>
      </w:tr>
      <w:tr w:rsidR="0039720F" w14:paraId="6A9389A9" w14:textId="77777777">
        <w:trPr>
          <w:trHeight w:val="441"/>
        </w:trPr>
        <w:tc>
          <w:tcPr>
            <w:tcW w:w="4407" w:type="dxa"/>
            <w:tcBorders>
              <w:top w:val="nil"/>
              <w:bottom w:val="nil"/>
              <w:right w:val="nil"/>
            </w:tcBorders>
            <w:shd w:val="clear" w:color="auto" w:fill="auto"/>
            <w:tcMar>
              <w:top w:w="15" w:type="dxa"/>
              <w:left w:w="108" w:type="dxa"/>
              <w:bottom w:w="0" w:type="dxa"/>
              <w:right w:w="108" w:type="dxa"/>
            </w:tcMar>
            <w:vAlign w:val="center"/>
          </w:tcPr>
          <w:p w14:paraId="6BB5B7AB"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AKT</w:t>
            </w:r>
          </w:p>
        </w:tc>
        <w:tc>
          <w:tcPr>
            <w:tcW w:w="2441" w:type="dxa"/>
            <w:tcBorders>
              <w:top w:val="nil"/>
              <w:left w:val="nil"/>
              <w:bottom w:val="nil"/>
              <w:right w:val="nil"/>
            </w:tcBorders>
            <w:shd w:val="clear" w:color="auto" w:fill="auto"/>
            <w:tcMar>
              <w:top w:w="15" w:type="dxa"/>
              <w:left w:w="108" w:type="dxa"/>
              <w:bottom w:w="0" w:type="dxa"/>
              <w:right w:w="108" w:type="dxa"/>
            </w:tcMar>
            <w:vAlign w:val="center"/>
          </w:tcPr>
          <w:p w14:paraId="35541A20"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CDOCKER</w:t>
            </w:r>
          </w:p>
        </w:tc>
        <w:tc>
          <w:tcPr>
            <w:tcW w:w="2703" w:type="dxa"/>
            <w:tcBorders>
              <w:top w:val="nil"/>
              <w:left w:val="nil"/>
              <w:bottom w:val="nil"/>
            </w:tcBorders>
            <w:shd w:val="clear" w:color="auto" w:fill="auto"/>
            <w:tcMar>
              <w:top w:w="15" w:type="dxa"/>
              <w:left w:w="108" w:type="dxa"/>
              <w:bottom w:w="0" w:type="dxa"/>
              <w:right w:w="108" w:type="dxa"/>
            </w:tcMar>
            <w:vAlign w:val="center"/>
          </w:tcPr>
          <w:p w14:paraId="767B12F7"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kern w:val="24"/>
              </w:rPr>
              <w:t>32.55</w:t>
            </w:r>
          </w:p>
        </w:tc>
      </w:tr>
      <w:tr w:rsidR="0039720F" w14:paraId="2B0F0445" w14:textId="77777777">
        <w:trPr>
          <w:trHeight w:val="441"/>
        </w:trPr>
        <w:tc>
          <w:tcPr>
            <w:tcW w:w="4407" w:type="dxa"/>
            <w:tcBorders>
              <w:top w:val="nil"/>
              <w:bottom w:val="nil"/>
              <w:right w:val="nil"/>
            </w:tcBorders>
            <w:shd w:val="clear" w:color="auto" w:fill="auto"/>
            <w:tcMar>
              <w:top w:w="15" w:type="dxa"/>
              <w:left w:w="108" w:type="dxa"/>
              <w:bottom w:w="0" w:type="dxa"/>
              <w:right w:w="108" w:type="dxa"/>
            </w:tcMar>
            <w:vAlign w:val="center"/>
          </w:tcPr>
          <w:p w14:paraId="39150305"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FOXO3a</w:t>
            </w:r>
          </w:p>
        </w:tc>
        <w:tc>
          <w:tcPr>
            <w:tcW w:w="2441" w:type="dxa"/>
            <w:tcBorders>
              <w:top w:val="nil"/>
              <w:left w:val="nil"/>
              <w:bottom w:val="nil"/>
              <w:right w:val="nil"/>
            </w:tcBorders>
            <w:shd w:val="clear" w:color="auto" w:fill="auto"/>
            <w:tcMar>
              <w:top w:w="15" w:type="dxa"/>
              <w:left w:w="108" w:type="dxa"/>
              <w:bottom w:w="0" w:type="dxa"/>
              <w:right w:w="108" w:type="dxa"/>
            </w:tcMar>
            <w:vAlign w:val="center"/>
          </w:tcPr>
          <w:p w14:paraId="76219C7F"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CDOCKER</w:t>
            </w:r>
          </w:p>
        </w:tc>
        <w:tc>
          <w:tcPr>
            <w:tcW w:w="2703" w:type="dxa"/>
            <w:tcBorders>
              <w:top w:val="nil"/>
              <w:left w:val="nil"/>
              <w:bottom w:val="nil"/>
            </w:tcBorders>
            <w:shd w:val="clear" w:color="auto" w:fill="auto"/>
            <w:tcMar>
              <w:top w:w="15" w:type="dxa"/>
              <w:left w:w="108" w:type="dxa"/>
              <w:bottom w:w="0" w:type="dxa"/>
              <w:right w:w="108" w:type="dxa"/>
            </w:tcMar>
            <w:vAlign w:val="center"/>
          </w:tcPr>
          <w:p w14:paraId="027DB17F"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24.83</w:t>
            </w:r>
          </w:p>
        </w:tc>
      </w:tr>
      <w:tr w:rsidR="0039720F" w14:paraId="2C3772A6" w14:textId="77777777">
        <w:trPr>
          <w:trHeight w:val="441"/>
        </w:trPr>
        <w:tc>
          <w:tcPr>
            <w:tcW w:w="4407" w:type="dxa"/>
            <w:tcBorders>
              <w:top w:val="nil"/>
              <w:bottom w:val="nil"/>
              <w:right w:val="nil"/>
            </w:tcBorders>
            <w:shd w:val="clear" w:color="auto" w:fill="auto"/>
            <w:tcMar>
              <w:top w:w="15" w:type="dxa"/>
              <w:left w:w="108" w:type="dxa"/>
              <w:bottom w:w="0" w:type="dxa"/>
              <w:right w:w="108" w:type="dxa"/>
            </w:tcMar>
            <w:vAlign w:val="center"/>
          </w:tcPr>
          <w:p w14:paraId="7A238835"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EGFR</w:t>
            </w:r>
          </w:p>
        </w:tc>
        <w:tc>
          <w:tcPr>
            <w:tcW w:w="2441" w:type="dxa"/>
            <w:tcBorders>
              <w:top w:val="nil"/>
              <w:left w:val="nil"/>
              <w:bottom w:val="nil"/>
              <w:right w:val="nil"/>
            </w:tcBorders>
            <w:shd w:val="clear" w:color="auto" w:fill="auto"/>
            <w:tcMar>
              <w:top w:w="15" w:type="dxa"/>
              <w:left w:w="108" w:type="dxa"/>
              <w:bottom w:w="0" w:type="dxa"/>
              <w:right w:w="108" w:type="dxa"/>
            </w:tcMar>
            <w:vAlign w:val="center"/>
          </w:tcPr>
          <w:p w14:paraId="402D527D"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CDOCKER</w:t>
            </w:r>
          </w:p>
        </w:tc>
        <w:tc>
          <w:tcPr>
            <w:tcW w:w="2703" w:type="dxa"/>
            <w:tcBorders>
              <w:top w:val="nil"/>
              <w:left w:val="nil"/>
              <w:bottom w:val="nil"/>
            </w:tcBorders>
            <w:shd w:val="clear" w:color="auto" w:fill="auto"/>
            <w:tcMar>
              <w:top w:w="15" w:type="dxa"/>
              <w:left w:w="108" w:type="dxa"/>
              <w:bottom w:w="0" w:type="dxa"/>
              <w:right w:w="108" w:type="dxa"/>
            </w:tcMar>
            <w:vAlign w:val="center"/>
          </w:tcPr>
          <w:p w14:paraId="25C25B5B"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22.59</w:t>
            </w:r>
          </w:p>
        </w:tc>
      </w:tr>
      <w:tr w:rsidR="0039720F" w14:paraId="58FB8C1E" w14:textId="77777777">
        <w:trPr>
          <w:trHeight w:val="441"/>
        </w:trPr>
        <w:tc>
          <w:tcPr>
            <w:tcW w:w="4407" w:type="dxa"/>
            <w:tcBorders>
              <w:top w:val="nil"/>
              <w:bottom w:val="nil"/>
              <w:right w:val="nil"/>
            </w:tcBorders>
            <w:shd w:val="clear" w:color="auto" w:fill="auto"/>
            <w:tcMar>
              <w:top w:w="15" w:type="dxa"/>
              <w:left w:w="108" w:type="dxa"/>
              <w:bottom w:w="0" w:type="dxa"/>
              <w:right w:w="108" w:type="dxa"/>
            </w:tcMar>
            <w:vAlign w:val="center"/>
          </w:tcPr>
          <w:p w14:paraId="663613CF"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PDK1</w:t>
            </w:r>
          </w:p>
        </w:tc>
        <w:tc>
          <w:tcPr>
            <w:tcW w:w="2441" w:type="dxa"/>
            <w:tcBorders>
              <w:top w:val="nil"/>
              <w:left w:val="nil"/>
              <w:bottom w:val="nil"/>
              <w:right w:val="nil"/>
            </w:tcBorders>
            <w:shd w:val="clear" w:color="auto" w:fill="auto"/>
            <w:tcMar>
              <w:top w:w="15" w:type="dxa"/>
              <w:left w:w="108" w:type="dxa"/>
              <w:bottom w:w="0" w:type="dxa"/>
              <w:right w:w="108" w:type="dxa"/>
            </w:tcMar>
            <w:vAlign w:val="center"/>
          </w:tcPr>
          <w:p w14:paraId="43A2CD4E"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CDOCKER</w:t>
            </w:r>
          </w:p>
        </w:tc>
        <w:tc>
          <w:tcPr>
            <w:tcW w:w="2703" w:type="dxa"/>
            <w:tcBorders>
              <w:top w:val="nil"/>
              <w:left w:val="nil"/>
              <w:bottom w:val="nil"/>
            </w:tcBorders>
            <w:shd w:val="clear" w:color="auto" w:fill="auto"/>
            <w:tcMar>
              <w:top w:w="15" w:type="dxa"/>
              <w:left w:w="108" w:type="dxa"/>
              <w:bottom w:w="0" w:type="dxa"/>
              <w:right w:w="108" w:type="dxa"/>
            </w:tcMar>
            <w:vAlign w:val="center"/>
          </w:tcPr>
          <w:p w14:paraId="57AB12C2"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25.79</w:t>
            </w:r>
          </w:p>
        </w:tc>
      </w:tr>
      <w:tr w:rsidR="0039720F" w14:paraId="05AF4E35" w14:textId="77777777">
        <w:trPr>
          <w:trHeight w:val="403"/>
        </w:trPr>
        <w:tc>
          <w:tcPr>
            <w:tcW w:w="4407" w:type="dxa"/>
            <w:tcBorders>
              <w:top w:val="nil"/>
              <w:bottom w:val="nil"/>
              <w:right w:val="nil"/>
            </w:tcBorders>
            <w:shd w:val="clear" w:color="auto" w:fill="auto"/>
            <w:tcMar>
              <w:top w:w="15" w:type="dxa"/>
              <w:left w:w="108" w:type="dxa"/>
              <w:bottom w:w="0" w:type="dxa"/>
              <w:right w:w="108" w:type="dxa"/>
            </w:tcMar>
            <w:vAlign w:val="center"/>
          </w:tcPr>
          <w:p w14:paraId="453B4D77"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RECEPTOR TYROSINE KINASE</w:t>
            </w:r>
          </w:p>
        </w:tc>
        <w:tc>
          <w:tcPr>
            <w:tcW w:w="2441" w:type="dxa"/>
            <w:tcBorders>
              <w:top w:val="nil"/>
              <w:left w:val="nil"/>
              <w:bottom w:val="nil"/>
              <w:right w:val="nil"/>
            </w:tcBorders>
            <w:shd w:val="clear" w:color="auto" w:fill="auto"/>
            <w:tcMar>
              <w:top w:w="15" w:type="dxa"/>
              <w:left w:w="108" w:type="dxa"/>
              <w:bottom w:w="0" w:type="dxa"/>
              <w:right w:w="108" w:type="dxa"/>
            </w:tcMar>
            <w:vAlign w:val="center"/>
          </w:tcPr>
          <w:p w14:paraId="0F179DA8"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CDOCKER</w:t>
            </w:r>
          </w:p>
        </w:tc>
        <w:tc>
          <w:tcPr>
            <w:tcW w:w="2703" w:type="dxa"/>
            <w:tcBorders>
              <w:top w:val="nil"/>
              <w:left w:val="nil"/>
              <w:bottom w:val="nil"/>
            </w:tcBorders>
            <w:shd w:val="clear" w:color="auto" w:fill="auto"/>
            <w:tcMar>
              <w:top w:w="15" w:type="dxa"/>
              <w:left w:w="108" w:type="dxa"/>
              <w:bottom w:w="0" w:type="dxa"/>
              <w:right w:w="108" w:type="dxa"/>
            </w:tcMar>
            <w:vAlign w:val="center"/>
          </w:tcPr>
          <w:p w14:paraId="1807FE31"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19.57</w:t>
            </w:r>
          </w:p>
        </w:tc>
      </w:tr>
      <w:tr w:rsidR="0039720F" w14:paraId="32C6BC89" w14:textId="77777777">
        <w:trPr>
          <w:trHeight w:val="441"/>
        </w:trPr>
        <w:tc>
          <w:tcPr>
            <w:tcW w:w="4407" w:type="dxa"/>
            <w:tcBorders>
              <w:top w:val="nil"/>
              <w:bottom w:val="nil"/>
              <w:right w:val="nil"/>
            </w:tcBorders>
            <w:shd w:val="clear" w:color="auto" w:fill="auto"/>
            <w:tcMar>
              <w:top w:w="15" w:type="dxa"/>
              <w:left w:w="108" w:type="dxa"/>
              <w:bottom w:w="0" w:type="dxa"/>
              <w:right w:w="108" w:type="dxa"/>
            </w:tcMar>
            <w:vAlign w:val="center"/>
          </w:tcPr>
          <w:p w14:paraId="315807C5"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PIP3</w:t>
            </w:r>
          </w:p>
        </w:tc>
        <w:tc>
          <w:tcPr>
            <w:tcW w:w="2441" w:type="dxa"/>
            <w:tcBorders>
              <w:top w:val="nil"/>
              <w:left w:val="nil"/>
              <w:bottom w:val="nil"/>
              <w:right w:val="nil"/>
            </w:tcBorders>
            <w:shd w:val="clear" w:color="auto" w:fill="auto"/>
            <w:tcMar>
              <w:top w:w="15" w:type="dxa"/>
              <w:left w:w="108" w:type="dxa"/>
              <w:bottom w:w="0" w:type="dxa"/>
              <w:right w:w="108" w:type="dxa"/>
            </w:tcMar>
            <w:vAlign w:val="center"/>
          </w:tcPr>
          <w:p w14:paraId="192ED31B"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CDOCKER</w:t>
            </w:r>
          </w:p>
        </w:tc>
        <w:tc>
          <w:tcPr>
            <w:tcW w:w="2703" w:type="dxa"/>
            <w:tcBorders>
              <w:top w:val="nil"/>
              <w:left w:val="nil"/>
              <w:bottom w:val="nil"/>
            </w:tcBorders>
            <w:shd w:val="clear" w:color="auto" w:fill="auto"/>
            <w:tcMar>
              <w:top w:w="15" w:type="dxa"/>
              <w:left w:w="108" w:type="dxa"/>
              <w:bottom w:w="0" w:type="dxa"/>
              <w:right w:w="108" w:type="dxa"/>
            </w:tcMar>
            <w:vAlign w:val="center"/>
          </w:tcPr>
          <w:p w14:paraId="346571AD"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16.42</w:t>
            </w:r>
          </w:p>
        </w:tc>
      </w:tr>
      <w:tr w:rsidR="0039720F" w14:paraId="61AEFC5D" w14:textId="77777777">
        <w:trPr>
          <w:trHeight w:val="441"/>
        </w:trPr>
        <w:tc>
          <w:tcPr>
            <w:tcW w:w="4407" w:type="dxa"/>
            <w:tcBorders>
              <w:top w:val="nil"/>
              <w:bottom w:val="nil"/>
              <w:right w:val="nil"/>
            </w:tcBorders>
            <w:shd w:val="clear" w:color="auto" w:fill="auto"/>
            <w:tcMar>
              <w:top w:w="15" w:type="dxa"/>
              <w:left w:w="108" w:type="dxa"/>
              <w:bottom w:w="0" w:type="dxa"/>
              <w:right w:w="108" w:type="dxa"/>
            </w:tcMar>
            <w:vAlign w:val="center"/>
          </w:tcPr>
          <w:p w14:paraId="0D3BA093"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HER2</w:t>
            </w:r>
          </w:p>
        </w:tc>
        <w:tc>
          <w:tcPr>
            <w:tcW w:w="2441" w:type="dxa"/>
            <w:tcBorders>
              <w:top w:val="nil"/>
              <w:left w:val="nil"/>
              <w:bottom w:val="nil"/>
              <w:right w:val="nil"/>
            </w:tcBorders>
            <w:shd w:val="clear" w:color="auto" w:fill="auto"/>
            <w:tcMar>
              <w:top w:w="15" w:type="dxa"/>
              <w:left w:w="108" w:type="dxa"/>
              <w:bottom w:w="0" w:type="dxa"/>
              <w:right w:w="108" w:type="dxa"/>
            </w:tcMar>
            <w:vAlign w:val="center"/>
          </w:tcPr>
          <w:p w14:paraId="438BE1D9"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CDOCKER</w:t>
            </w:r>
          </w:p>
        </w:tc>
        <w:tc>
          <w:tcPr>
            <w:tcW w:w="2703" w:type="dxa"/>
            <w:tcBorders>
              <w:top w:val="nil"/>
              <w:left w:val="nil"/>
              <w:bottom w:val="nil"/>
            </w:tcBorders>
            <w:shd w:val="clear" w:color="auto" w:fill="auto"/>
            <w:tcMar>
              <w:top w:w="15" w:type="dxa"/>
              <w:left w:w="108" w:type="dxa"/>
              <w:bottom w:w="0" w:type="dxa"/>
              <w:right w:w="108" w:type="dxa"/>
            </w:tcMar>
            <w:vAlign w:val="center"/>
          </w:tcPr>
          <w:p w14:paraId="68640F61"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12.76</w:t>
            </w:r>
          </w:p>
        </w:tc>
      </w:tr>
      <w:tr w:rsidR="0039720F" w14:paraId="1FC10696" w14:textId="77777777">
        <w:trPr>
          <w:trHeight w:val="441"/>
        </w:trPr>
        <w:tc>
          <w:tcPr>
            <w:tcW w:w="4407" w:type="dxa"/>
            <w:tcBorders>
              <w:top w:val="nil"/>
              <w:bottom w:val="nil"/>
              <w:right w:val="nil"/>
            </w:tcBorders>
            <w:shd w:val="clear" w:color="auto" w:fill="auto"/>
            <w:tcMar>
              <w:top w:w="15" w:type="dxa"/>
              <w:left w:w="108" w:type="dxa"/>
              <w:bottom w:w="0" w:type="dxa"/>
              <w:right w:w="108" w:type="dxa"/>
            </w:tcMar>
            <w:vAlign w:val="center"/>
          </w:tcPr>
          <w:p w14:paraId="11146CDB"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PI3K</w:t>
            </w:r>
          </w:p>
        </w:tc>
        <w:tc>
          <w:tcPr>
            <w:tcW w:w="2441" w:type="dxa"/>
            <w:tcBorders>
              <w:top w:val="nil"/>
              <w:left w:val="nil"/>
              <w:bottom w:val="nil"/>
              <w:right w:val="nil"/>
            </w:tcBorders>
            <w:shd w:val="clear" w:color="auto" w:fill="auto"/>
            <w:tcMar>
              <w:top w:w="15" w:type="dxa"/>
              <w:left w:w="108" w:type="dxa"/>
              <w:bottom w:w="0" w:type="dxa"/>
              <w:right w:w="108" w:type="dxa"/>
            </w:tcMar>
            <w:vAlign w:val="center"/>
          </w:tcPr>
          <w:p w14:paraId="57A0C4B4"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CDOCKER</w:t>
            </w:r>
          </w:p>
        </w:tc>
        <w:tc>
          <w:tcPr>
            <w:tcW w:w="2703" w:type="dxa"/>
            <w:tcBorders>
              <w:top w:val="nil"/>
              <w:left w:val="nil"/>
              <w:bottom w:val="nil"/>
            </w:tcBorders>
            <w:shd w:val="clear" w:color="auto" w:fill="auto"/>
            <w:tcMar>
              <w:top w:w="15" w:type="dxa"/>
              <w:left w:w="108" w:type="dxa"/>
              <w:bottom w:w="0" w:type="dxa"/>
              <w:right w:w="108" w:type="dxa"/>
            </w:tcMar>
            <w:vAlign w:val="center"/>
          </w:tcPr>
          <w:p w14:paraId="4DA7219B"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15.75</w:t>
            </w:r>
          </w:p>
        </w:tc>
      </w:tr>
      <w:tr w:rsidR="0039720F" w14:paraId="5C02F9B1" w14:textId="77777777">
        <w:trPr>
          <w:trHeight w:val="441"/>
        </w:trPr>
        <w:tc>
          <w:tcPr>
            <w:tcW w:w="4407" w:type="dxa"/>
            <w:tcBorders>
              <w:top w:val="nil"/>
              <w:right w:val="nil"/>
            </w:tcBorders>
            <w:shd w:val="clear" w:color="auto" w:fill="auto"/>
            <w:tcMar>
              <w:top w:w="15" w:type="dxa"/>
              <w:left w:w="108" w:type="dxa"/>
              <w:bottom w:w="0" w:type="dxa"/>
              <w:right w:w="108" w:type="dxa"/>
            </w:tcMar>
            <w:vAlign w:val="center"/>
          </w:tcPr>
          <w:p w14:paraId="4B2662B6"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PIP2</w:t>
            </w:r>
          </w:p>
        </w:tc>
        <w:tc>
          <w:tcPr>
            <w:tcW w:w="2441" w:type="dxa"/>
            <w:tcBorders>
              <w:top w:val="nil"/>
              <w:left w:val="nil"/>
              <w:right w:val="nil"/>
            </w:tcBorders>
            <w:shd w:val="clear" w:color="auto" w:fill="auto"/>
            <w:tcMar>
              <w:top w:w="15" w:type="dxa"/>
              <w:left w:w="108" w:type="dxa"/>
              <w:bottom w:w="0" w:type="dxa"/>
              <w:right w:w="108" w:type="dxa"/>
            </w:tcMar>
            <w:vAlign w:val="center"/>
          </w:tcPr>
          <w:p w14:paraId="1AA5BF21"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CDOCKER</w:t>
            </w:r>
          </w:p>
        </w:tc>
        <w:tc>
          <w:tcPr>
            <w:tcW w:w="2703" w:type="dxa"/>
            <w:tcBorders>
              <w:top w:val="nil"/>
              <w:left w:val="nil"/>
            </w:tcBorders>
            <w:shd w:val="clear" w:color="auto" w:fill="auto"/>
            <w:tcMar>
              <w:top w:w="15" w:type="dxa"/>
              <w:left w:w="108" w:type="dxa"/>
              <w:bottom w:w="0" w:type="dxa"/>
              <w:right w:w="108" w:type="dxa"/>
            </w:tcMar>
            <w:vAlign w:val="center"/>
          </w:tcPr>
          <w:p w14:paraId="63A214C0" w14:textId="77777777" w:rsidR="0039720F" w:rsidRPr="003D7CC9" w:rsidRDefault="00000000">
            <w:pPr>
              <w:pStyle w:val="ab"/>
              <w:spacing w:before="0" w:beforeAutospacing="0" w:after="0" w:afterAutospacing="0" w:line="480" w:lineRule="auto"/>
              <w:jc w:val="center"/>
              <w:rPr>
                <w:rFonts w:ascii="Times New Roman" w:hAnsi="Times New Roman" w:cs="Times New Roman"/>
              </w:rPr>
            </w:pPr>
            <w:r w:rsidRPr="003D7CC9">
              <w:rPr>
                <w:rFonts w:ascii="Times New Roman" w:eastAsiaTheme="minorEastAsia" w:hAnsi="Times New Roman" w:cs="Times New Roman"/>
                <w:color w:val="000000" w:themeColor="text1"/>
                <w:kern w:val="24"/>
              </w:rPr>
              <w:t>18.46</w:t>
            </w:r>
          </w:p>
        </w:tc>
      </w:tr>
    </w:tbl>
    <w:p w14:paraId="7931E35F" w14:textId="77777777" w:rsidR="0039720F" w:rsidRPr="003D7CC9" w:rsidRDefault="00000000">
      <w:pPr>
        <w:rPr>
          <w:rFonts w:ascii="Times New Roman" w:hAnsi="Times New Roman" w:cs="Times New Roman"/>
        </w:rPr>
      </w:pPr>
      <w:r w:rsidRPr="003D7CC9">
        <w:rPr>
          <w:rFonts w:ascii="Times New Roman" w:hAnsi="Times New Roman" w:cs="Times New Roman"/>
        </w:rPr>
        <w:t xml:space="preserve"> </w:t>
      </w:r>
    </w:p>
    <w:p w14:paraId="09ECBF2F" w14:textId="77777777" w:rsidR="0039720F" w:rsidRPr="003D7CC9" w:rsidRDefault="00000000">
      <w:pPr>
        <w:widowControl/>
        <w:jc w:val="left"/>
        <w:rPr>
          <w:rFonts w:ascii="Times New Roman" w:hAnsi="Times New Roman" w:cs="Times New Roman"/>
        </w:rPr>
      </w:pPr>
      <w:r w:rsidRPr="003D7CC9">
        <w:rPr>
          <w:rFonts w:ascii="Times New Roman" w:hAnsi="Times New Roman" w:cs="Times New Roman"/>
        </w:rPr>
        <w:br w:type="page"/>
      </w:r>
    </w:p>
    <w:p w14:paraId="5A6F115D" w14:textId="77777777" w:rsidR="0039720F" w:rsidRPr="003D7CC9" w:rsidRDefault="0039720F">
      <w:pPr>
        <w:rPr>
          <w:rFonts w:ascii="Times New Roman" w:hAnsi="Times New Roman" w:cs="Times New Roman"/>
        </w:rPr>
      </w:pPr>
    </w:p>
    <w:p w14:paraId="71FA0BD3" w14:textId="77777777" w:rsidR="0039720F" w:rsidRPr="003D7CC9" w:rsidRDefault="00000000">
      <w:pPr>
        <w:rPr>
          <w:rFonts w:ascii="Times New Roman" w:hAnsi="Times New Roman" w:cs="Times New Roman"/>
        </w:rPr>
      </w:pPr>
      <w:r w:rsidRPr="003D7CC9">
        <w:rPr>
          <w:rFonts w:ascii="Times New Roman" w:hAnsi="Times New Roman" w:cs="Times New Roman"/>
          <w:noProof/>
        </w:rPr>
        <w:drawing>
          <wp:inline distT="0" distB="0" distL="0" distR="0" wp14:anchorId="48A1B000" wp14:editId="7DE9C2DE">
            <wp:extent cx="5274310" cy="2469515"/>
            <wp:effectExtent l="0" t="0" r="2540" b="6985"/>
            <wp:docPr id="10561052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05264"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2469515"/>
                    </a:xfrm>
                    <a:prstGeom prst="rect">
                      <a:avLst/>
                    </a:prstGeom>
                    <a:noFill/>
                    <a:ln>
                      <a:noFill/>
                    </a:ln>
                  </pic:spPr>
                </pic:pic>
              </a:graphicData>
            </a:graphic>
          </wp:inline>
        </w:drawing>
      </w:r>
    </w:p>
    <w:p w14:paraId="20A4A533" w14:textId="77777777" w:rsidR="0039720F" w:rsidRPr="004469D5" w:rsidRDefault="00000000">
      <w:pPr>
        <w:rPr>
          <w:rFonts w:ascii="Times New Roman" w:hAnsi="Times New Roman" w:cs="Times New Roman"/>
          <w:sz w:val="24"/>
          <w:szCs w:val="24"/>
        </w:rPr>
      </w:pPr>
      <w:r w:rsidRPr="004469D5">
        <w:rPr>
          <w:rFonts w:ascii="Times New Roman" w:hAnsi="Times New Roman" w:cs="Times New Roman"/>
          <w:sz w:val="24"/>
          <w:szCs w:val="24"/>
        </w:rPr>
        <w:t xml:space="preserve">Fig. S1 Toxicity assay: SKOV3 or OVCAR3 were treated with DSPE-PEG 2000 (0, 50, 100, 200 μg/mL) for 24 h. </w:t>
      </w:r>
    </w:p>
    <w:p w14:paraId="67625FA1" w14:textId="77777777" w:rsidR="0039720F" w:rsidRPr="003D7CC9" w:rsidRDefault="00000000">
      <w:pPr>
        <w:widowControl/>
        <w:jc w:val="left"/>
        <w:rPr>
          <w:rFonts w:ascii="Times New Roman" w:hAnsi="Times New Roman" w:cs="Times New Roman"/>
        </w:rPr>
      </w:pPr>
      <w:r w:rsidRPr="003D7CC9">
        <w:rPr>
          <w:rFonts w:ascii="Times New Roman" w:hAnsi="Times New Roman" w:cs="Times New Roman"/>
        </w:rPr>
        <w:br w:type="page"/>
      </w:r>
    </w:p>
    <w:p w14:paraId="43FB95FB" w14:textId="77777777" w:rsidR="0039720F" w:rsidRPr="003D7CC9" w:rsidRDefault="0039720F">
      <w:pPr>
        <w:rPr>
          <w:rFonts w:ascii="Times New Roman" w:hAnsi="Times New Roman" w:cs="Times New Roman"/>
        </w:rPr>
      </w:pPr>
    </w:p>
    <w:p w14:paraId="5EAE7C73" w14:textId="1D024492" w:rsidR="00ED1D18" w:rsidRPr="003D7CC9" w:rsidRDefault="00000000">
      <w:pPr>
        <w:rPr>
          <w:rFonts w:ascii="Times New Roman" w:hAnsi="Times New Roman" w:cs="Times New Roman" w:hint="eastAsia"/>
        </w:rPr>
      </w:pPr>
      <w:r w:rsidRPr="003D7CC9">
        <w:rPr>
          <w:rFonts w:ascii="Times New Roman" w:hAnsi="Times New Roman" w:cs="Times New Roman"/>
          <w:noProof/>
        </w:rPr>
        <w:drawing>
          <wp:inline distT="0" distB="0" distL="0" distR="0" wp14:anchorId="0BE5BACF" wp14:editId="073C49EE">
            <wp:extent cx="5274310" cy="2557780"/>
            <wp:effectExtent l="0" t="0" r="2540" b="0"/>
            <wp:docPr id="162648180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481801" name="图片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2557780"/>
                    </a:xfrm>
                    <a:prstGeom prst="rect">
                      <a:avLst/>
                    </a:prstGeom>
                    <a:noFill/>
                    <a:ln>
                      <a:noFill/>
                    </a:ln>
                  </pic:spPr>
                </pic:pic>
              </a:graphicData>
            </a:graphic>
          </wp:inline>
        </w:drawing>
      </w:r>
    </w:p>
    <w:p w14:paraId="3FFB0DDB" w14:textId="77777777" w:rsidR="0039720F" w:rsidRPr="00ED1D18" w:rsidRDefault="00000000" w:rsidP="004469D5">
      <w:pPr>
        <w:rPr>
          <w:rFonts w:ascii="Times New Roman" w:hAnsi="Times New Roman" w:cs="Times New Roman"/>
          <w:sz w:val="24"/>
          <w:szCs w:val="24"/>
        </w:rPr>
      </w:pPr>
      <w:r w:rsidRPr="00ED1D18">
        <w:rPr>
          <w:rFonts w:ascii="Times New Roman" w:hAnsi="Times New Roman" w:cs="Times New Roman"/>
          <w:sz w:val="24"/>
          <w:szCs w:val="24"/>
        </w:rPr>
        <w:t>Fig. S2 The ovarian cancer tissue protein lysates of patients with ovarian cancer (Ⅰ, II, and Ⅲ stage of HGSOC) and the fallopian tubal epithelium (FTE) tissue protein lysates of patients with myoma of the uterus were analyzed by WB. WB was performed to determine the protein expression levels for FOXO3a (85 kDa), p-FOXO3a (S253) (95 kDa) and β-actin (45KD kDa). Compared with the FTE group,</w:t>
      </w:r>
      <w:bookmarkStart w:id="11" w:name="_Hlk145796249"/>
      <w:r w:rsidRPr="00ED1D18">
        <w:rPr>
          <w:rFonts w:ascii="Times New Roman" w:hAnsi="Times New Roman" w:cs="Times New Roman"/>
          <w:sz w:val="24"/>
          <w:szCs w:val="24"/>
        </w:rPr>
        <w:t xml:space="preserve"> </w:t>
      </w:r>
      <w:r w:rsidRPr="00ED1D18">
        <w:rPr>
          <w:rFonts w:ascii="Times New Roman" w:hAnsi="Times New Roman" w:cs="Times New Roman"/>
          <w:i/>
          <w:iCs/>
          <w:sz w:val="24"/>
          <w:szCs w:val="24"/>
        </w:rPr>
        <w:t>*p &lt; 0.05, **p &lt; 0.01</w:t>
      </w:r>
      <w:bookmarkEnd w:id="11"/>
      <w:r w:rsidRPr="00ED1D18">
        <w:rPr>
          <w:rFonts w:ascii="Times New Roman" w:hAnsi="Times New Roman" w:cs="Times New Roman"/>
          <w:sz w:val="24"/>
          <w:szCs w:val="24"/>
        </w:rPr>
        <w:t>.</w:t>
      </w:r>
    </w:p>
    <w:p w14:paraId="1D4F60F4" w14:textId="77777777" w:rsidR="0039720F" w:rsidRPr="003D7CC9" w:rsidRDefault="0039720F">
      <w:pPr>
        <w:rPr>
          <w:rFonts w:ascii="Times New Roman" w:hAnsi="Times New Roman" w:cs="Times New Roman"/>
        </w:rPr>
      </w:pPr>
    </w:p>
    <w:p w14:paraId="094734AE" w14:textId="77777777" w:rsidR="0039720F" w:rsidRPr="003D7CC9" w:rsidRDefault="0039720F">
      <w:pPr>
        <w:rPr>
          <w:rFonts w:ascii="Times New Roman" w:hAnsi="Times New Roman" w:cs="Times New Roman"/>
        </w:rPr>
      </w:pPr>
    </w:p>
    <w:p w14:paraId="0BBCA7FE" w14:textId="77777777" w:rsidR="0039720F" w:rsidRPr="003D7CC9" w:rsidRDefault="00000000">
      <w:pPr>
        <w:widowControl/>
        <w:jc w:val="left"/>
        <w:rPr>
          <w:rFonts w:ascii="Times New Roman" w:hAnsi="Times New Roman" w:cs="Times New Roman"/>
        </w:rPr>
      </w:pPr>
      <w:r w:rsidRPr="003D7CC9">
        <w:rPr>
          <w:rFonts w:ascii="Times New Roman" w:hAnsi="Times New Roman" w:cs="Times New Roman"/>
        </w:rPr>
        <w:br w:type="page"/>
      </w:r>
    </w:p>
    <w:p w14:paraId="5F857843" w14:textId="77777777" w:rsidR="0039720F" w:rsidRDefault="00000000">
      <w:pPr>
        <w:rPr>
          <w:rFonts w:ascii="Times New Roman" w:hAnsi="Times New Roman" w:cs="Times New Roman"/>
        </w:rPr>
      </w:pPr>
      <w:r w:rsidRPr="003D7CC9">
        <w:rPr>
          <w:rFonts w:ascii="Times New Roman" w:hAnsi="Times New Roman" w:cs="Times New Roman"/>
          <w:noProof/>
        </w:rPr>
        <w:lastRenderedPageBreak/>
        <w:drawing>
          <wp:inline distT="0" distB="0" distL="0" distR="0" wp14:anchorId="2EECE1D0" wp14:editId="509FC4CC">
            <wp:extent cx="5274310" cy="4975860"/>
            <wp:effectExtent l="0" t="0" r="2540" b="0"/>
            <wp:docPr id="56187190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871901" name="图片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4975860"/>
                    </a:xfrm>
                    <a:prstGeom prst="rect">
                      <a:avLst/>
                    </a:prstGeom>
                    <a:noFill/>
                    <a:ln>
                      <a:noFill/>
                    </a:ln>
                  </pic:spPr>
                </pic:pic>
              </a:graphicData>
            </a:graphic>
          </wp:inline>
        </w:drawing>
      </w:r>
    </w:p>
    <w:p w14:paraId="1E639D00" w14:textId="77777777" w:rsidR="0039720F" w:rsidRPr="004469D5" w:rsidRDefault="00000000">
      <w:pPr>
        <w:rPr>
          <w:rFonts w:ascii="Times New Roman" w:hAnsi="Times New Roman" w:cs="Times New Roman"/>
          <w:sz w:val="24"/>
          <w:szCs w:val="24"/>
        </w:rPr>
      </w:pPr>
      <w:r w:rsidRPr="004469D5">
        <w:rPr>
          <w:rFonts w:ascii="Times New Roman" w:hAnsi="Times New Roman" w:cs="Times New Roman"/>
          <w:sz w:val="24"/>
          <w:szCs w:val="24"/>
        </w:rPr>
        <w:t xml:space="preserve">Fig.S3 Statistical charts for Fig.2C-D. Compared with blank and vehicle groups, </w:t>
      </w:r>
      <w:r w:rsidRPr="004469D5">
        <w:rPr>
          <w:rFonts w:ascii="Times New Roman" w:hAnsi="Times New Roman" w:cs="Times New Roman"/>
          <w:i/>
          <w:iCs/>
          <w:sz w:val="24"/>
          <w:szCs w:val="24"/>
        </w:rPr>
        <w:t>*p &lt; 0.05, **p &lt; 0.01</w:t>
      </w:r>
      <w:r w:rsidRPr="004469D5">
        <w:rPr>
          <w:rFonts w:ascii="Times New Roman" w:hAnsi="Times New Roman" w:cs="Times New Roman"/>
          <w:sz w:val="24"/>
          <w:szCs w:val="24"/>
        </w:rPr>
        <w:t>.</w:t>
      </w:r>
    </w:p>
    <w:p w14:paraId="6E8AC9BC" w14:textId="77777777" w:rsidR="0039720F" w:rsidRDefault="00000000">
      <w:pPr>
        <w:widowControl/>
        <w:jc w:val="left"/>
        <w:rPr>
          <w:rFonts w:ascii="Times New Roman" w:hAnsi="Times New Roman" w:cs="Times New Roman"/>
        </w:rPr>
      </w:pPr>
      <w:r>
        <w:rPr>
          <w:rFonts w:ascii="Times New Roman" w:hAnsi="Times New Roman" w:cs="Times New Roman"/>
        </w:rPr>
        <w:br w:type="page"/>
      </w:r>
    </w:p>
    <w:p w14:paraId="5D6A2F1A" w14:textId="77777777" w:rsidR="0039720F" w:rsidRDefault="0039720F">
      <w:pPr>
        <w:rPr>
          <w:rFonts w:ascii="Times New Roman" w:hAnsi="Times New Roman" w:cs="Times New Roman"/>
        </w:rPr>
      </w:pPr>
    </w:p>
    <w:p w14:paraId="4D9DD162" w14:textId="77777777" w:rsidR="0039720F" w:rsidRPr="003D7CC9" w:rsidRDefault="00000000">
      <w:pPr>
        <w:rPr>
          <w:rFonts w:ascii="Times New Roman" w:hAnsi="Times New Roman" w:cs="Times New Roman"/>
        </w:rPr>
      </w:pPr>
      <w:r w:rsidRPr="003D7CC9">
        <w:rPr>
          <w:rFonts w:ascii="Times New Roman" w:hAnsi="Times New Roman" w:cs="Times New Roman"/>
          <w:noProof/>
        </w:rPr>
        <w:drawing>
          <wp:inline distT="0" distB="0" distL="0" distR="0" wp14:anchorId="1C4DB6F4" wp14:editId="6C70773E">
            <wp:extent cx="5274310" cy="1536700"/>
            <wp:effectExtent l="0" t="0" r="2540" b="6350"/>
            <wp:docPr id="13189905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990535" name="图片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1536700"/>
                    </a:xfrm>
                    <a:prstGeom prst="rect">
                      <a:avLst/>
                    </a:prstGeom>
                    <a:noFill/>
                    <a:ln>
                      <a:noFill/>
                    </a:ln>
                  </pic:spPr>
                </pic:pic>
              </a:graphicData>
            </a:graphic>
          </wp:inline>
        </w:drawing>
      </w:r>
    </w:p>
    <w:p w14:paraId="3A768DBE" w14:textId="5271B052" w:rsidR="0039720F" w:rsidRPr="004469D5" w:rsidRDefault="00000000">
      <w:pPr>
        <w:rPr>
          <w:rFonts w:ascii="Times New Roman" w:hAnsi="Times New Roman" w:cs="Times New Roman"/>
          <w:sz w:val="24"/>
          <w:szCs w:val="24"/>
        </w:rPr>
      </w:pPr>
      <w:r w:rsidRPr="004469D5">
        <w:rPr>
          <w:rFonts w:ascii="Times New Roman" w:hAnsi="Times New Roman" w:cs="Times New Roman"/>
          <w:sz w:val="24"/>
          <w:szCs w:val="24"/>
        </w:rPr>
        <w:t xml:space="preserve">Fig. S4 SKOV3 and OVCAR3 cells were transfected with different siRNA (No. 749, 1119 and 1863). Expression levels of FOXO3a (85KD) protein levels (A) and mRNA (B) were investigated by WB and RT-PCR. β-actin (45KD) was used as </w:t>
      </w:r>
      <w:r w:rsidRPr="004469D5">
        <w:rPr>
          <w:rFonts w:ascii="Times New Roman" w:hAnsi="Times New Roman" w:cs="Times New Roman" w:hint="eastAsia"/>
          <w:sz w:val="24"/>
          <w:szCs w:val="24"/>
        </w:rPr>
        <w:t xml:space="preserve">a </w:t>
      </w:r>
      <w:r w:rsidRPr="004469D5">
        <w:rPr>
          <w:rFonts w:ascii="Times New Roman" w:hAnsi="Times New Roman" w:cs="Times New Roman"/>
          <w:sz w:val="24"/>
          <w:szCs w:val="24"/>
        </w:rPr>
        <w:t xml:space="preserve">control for WB analysis. The data normalize with GAPDH RNA levels and </w:t>
      </w:r>
      <w:r w:rsidRPr="004469D5">
        <w:rPr>
          <w:rFonts w:ascii="Times New Roman" w:hAnsi="Times New Roman" w:cs="Times New Roman" w:hint="eastAsia"/>
          <w:sz w:val="24"/>
          <w:szCs w:val="24"/>
        </w:rPr>
        <w:t>represent</w:t>
      </w:r>
      <w:r w:rsidRPr="004469D5">
        <w:rPr>
          <w:rFonts w:ascii="Times New Roman" w:hAnsi="Times New Roman" w:cs="Times New Roman"/>
          <w:sz w:val="24"/>
          <w:szCs w:val="24"/>
        </w:rPr>
        <w:t xml:space="preserve"> </w:t>
      </w:r>
      <w:r w:rsidRPr="004469D5">
        <w:rPr>
          <w:rFonts w:ascii="Times New Roman" w:hAnsi="Times New Roman" w:cs="Times New Roman" w:hint="eastAsia"/>
          <w:sz w:val="24"/>
          <w:szCs w:val="24"/>
        </w:rPr>
        <w:t>the</w:t>
      </w:r>
      <w:r w:rsidRPr="004469D5">
        <w:rPr>
          <w:rFonts w:ascii="Times New Roman" w:hAnsi="Times New Roman" w:cs="Times New Roman"/>
          <w:sz w:val="24"/>
          <w:szCs w:val="24"/>
        </w:rPr>
        <w:t xml:space="preserve"> mean ± SEM (n=3; 2</w:t>
      </w:r>
      <w:r w:rsidRPr="004469D5">
        <w:rPr>
          <w:rFonts w:ascii="Times New Roman" w:hAnsi="Times New Roman" w:cs="Times New Roman" w:hint="eastAsia"/>
          <w:sz w:val="24"/>
          <w:szCs w:val="24"/>
        </w:rPr>
        <w:t>-</w:t>
      </w:r>
      <w:r w:rsidRPr="004469D5">
        <w:rPr>
          <w:rFonts w:ascii="Times New Roman" w:hAnsi="Times New Roman" w:cs="Times New Roman"/>
          <w:sz w:val="24"/>
          <w:szCs w:val="24"/>
        </w:rPr>
        <w:t xml:space="preserve">tailed t-test). </w:t>
      </w:r>
      <w:r w:rsidRPr="004469D5">
        <w:rPr>
          <w:rFonts w:ascii="Times New Roman" w:hAnsi="Times New Roman" w:cs="Times New Roman"/>
          <w:i/>
          <w:iCs/>
          <w:sz w:val="24"/>
          <w:szCs w:val="24"/>
        </w:rPr>
        <w:t>*p &lt; 0.05, **p &lt; 0.01</w:t>
      </w:r>
      <w:r w:rsidRPr="004469D5">
        <w:rPr>
          <w:rFonts w:ascii="Times New Roman" w:hAnsi="Times New Roman" w:cs="Times New Roman"/>
          <w:sz w:val="24"/>
          <w:szCs w:val="24"/>
        </w:rPr>
        <w:t xml:space="preserve">. Representative RNA expression profiles of one of at least 3 independent experiments are shown.  </w:t>
      </w:r>
    </w:p>
    <w:p w14:paraId="73DE42DD" w14:textId="77777777" w:rsidR="0039720F" w:rsidRPr="004469D5" w:rsidRDefault="00000000">
      <w:pPr>
        <w:widowControl/>
        <w:jc w:val="left"/>
        <w:rPr>
          <w:rFonts w:ascii="Times New Roman" w:hAnsi="Times New Roman" w:cs="Times New Roman"/>
          <w:sz w:val="24"/>
          <w:szCs w:val="24"/>
        </w:rPr>
      </w:pPr>
      <w:r w:rsidRPr="004469D5">
        <w:rPr>
          <w:rFonts w:ascii="Times New Roman" w:hAnsi="Times New Roman" w:cs="Times New Roman"/>
          <w:sz w:val="24"/>
          <w:szCs w:val="24"/>
        </w:rPr>
        <w:br w:type="page"/>
      </w:r>
    </w:p>
    <w:p w14:paraId="30B81BB6" w14:textId="77777777" w:rsidR="0039720F" w:rsidRDefault="00000000">
      <w:pPr>
        <w:rPr>
          <w:rFonts w:ascii="Times New Roman" w:hAnsi="Times New Roman" w:cs="Times New Roman"/>
        </w:rPr>
      </w:pPr>
      <w:r w:rsidRPr="003D7CC9">
        <w:rPr>
          <w:rFonts w:ascii="Times New Roman" w:hAnsi="Times New Roman" w:cs="Times New Roman"/>
          <w:noProof/>
        </w:rPr>
        <w:lastRenderedPageBreak/>
        <w:drawing>
          <wp:inline distT="0" distB="0" distL="0" distR="0" wp14:anchorId="319B861A" wp14:editId="36746199">
            <wp:extent cx="5274310" cy="2844800"/>
            <wp:effectExtent l="0" t="0" r="2540" b="0"/>
            <wp:docPr id="172564867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648676" name="图片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74310" cy="2844800"/>
                    </a:xfrm>
                    <a:prstGeom prst="rect">
                      <a:avLst/>
                    </a:prstGeom>
                    <a:noFill/>
                    <a:ln>
                      <a:noFill/>
                    </a:ln>
                  </pic:spPr>
                </pic:pic>
              </a:graphicData>
            </a:graphic>
          </wp:inline>
        </w:drawing>
      </w:r>
    </w:p>
    <w:p w14:paraId="220BDFAC" w14:textId="77777777" w:rsidR="0039720F" w:rsidRDefault="0039720F">
      <w:pPr>
        <w:rPr>
          <w:rFonts w:ascii="Times New Roman" w:hAnsi="Times New Roman" w:cs="Times New Roman"/>
        </w:rPr>
      </w:pPr>
    </w:p>
    <w:p w14:paraId="3C90990F" w14:textId="77777777" w:rsidR="0039720F" w:rsidRPr="004469D5" w:rsidRDefault="00000000">
      <w:pPr>
        <w:rPr>
          <w:rFonts w:ascii="Times New Roman" w:hAnsi="Times New Roman" w:cs="Times New Roman"/>
          <w:sz w:val="24"/>
          <w:szCs w:val="24"/>
        </w:rPr>
      </w:pPr>
      <w:r w:rsidRPr="004469D5">
        <w:rPr>
          <w:rFonts w:ascii="Times New Roman" w:hAnsi="Times New Roman" w:cs="Times New Roman"/>
          <w:sz w:val="24"/>
          <w:szCs w:val="24"/>
        </w:rPr>
        <w:t xml:space="preserve">Fig.S5 Statistical charts for Fig.4D. Compared with blank and vehicle groups, </w:t>
      </w:r>
      <w:r w:rsidRPr="004469D5">
        <w:rPr>
          <w:rFonts w:ascii="Times New Roman" w:hAnsi="Times New Roman" w:cs="Times New Roman"/>
          <w:i/>
          <w:iCs/>
          <w:sz w:val="24"/>
          <w:szCs w:val="24"/>
        </w:rPr>
        <w:t>*p &lt; 0.05, **p &lt; 0.01</w:t>
      </w:r>
      <w:r w:rsidRPr="004469D5">
        <w:rPr>
          <w:rFonts w:ascii="Times New Roman" w:hAnsi="Times New Roman" w:cs="Times New Roman"/>
          <w:sz w:val="24"/>
          <w:szCs w:val="24"/>
        </w:rPr>
        <w:t>.</w:t>
      </w:r>
    </w:p>
    <w:p w14:paraId="124CAA8C" w14:textId="77777777" w:rsidR="0039720F" w:rsidRDefault="0039720F">
      <w:pPr>
        <w:rPr>
          <w:rFonts w:ascii="Times New Roman" w:hAnsi="Times New Roman" w:cs="Times New Roman"/>
        </w:rPr>
      </w:pPr>
    </w:p>
    <w:p w14:paraId="22376506" w14:textId="77777777" w:rsidR="0039720F" w:rsidRDefault="00000000">
      <w:pPr>
        <w:widowControl/>
        <w:jc w:val="left"/>
        <w:rPr>
          <w:rFonts w:ascii="Times New Roman" w:hAnsi="Times New Roman" w:cs="Times New Roman"/>
        </w:rPr>
      </w:pPr>
      <w:r>
        <w:rPr>
          <w:rFonts w:ascii="Times New Roman" w:hAnsi="Times New Roman" w:cs="Times New Roman"/>
        </w:rPr>
        <w:br w:type="page"/>
      </w:r>
    </w:p>
    <w:p w14:paraId="422B5871" w14:textId="77777777" w:rsidR="0039720F" w:rsidRPr="003D7CC9" w:rsidRDefault="00000000">
      <w:pPr>
        <w:rPr>
          <w:rFonts w:ascii="Times New Roman" w:hAnsi="Times New Roman" w:cs="Times New Roman"/>
        </w:rPr>
      </w:pPr>
      <w:r w:rsidRPr="003D7CC9">
        <w:rPr>
          <w:rFonts w:ascii="Times New Roman" w:hAnsi="Times New Roman" w:cs="Times New Roman"/>
          <w:noProof/>
        </w:rPr>
        <w:lastRenderedPageBreak/>
        <w:drawing>
          <wp:inline distT="0" distB="0" distL="0" distR="0" wp14:anchorId="29D0EF5E" wp14:editId="4F7BB93F">
            <wp:extent cx="4089400" cy="3041650"/>
            <wp:effectExtent l="0" t="0" r="6350" b="6350"/>
            <wp:docPr id="11969641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64116" name="图片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089400" cy="3041650"/>
                    </a:xfrm>
                    <a:prstGeom prst="rect">
                      <a:avLst/>
                    </a:prstGeom>
                    <a:noFill/>
                    <a:ln>
                      <a:noFill/>
                    </a:ln>
                  </pic:spPr>
                </pic:pic>
              </a:graphicData>
            </a:graphic>
          </wp:inline>
        </w:drawing>
      </w:r>
    </w:p>
    <w:p w14:paraId="13ECC8E9" w14:textId="7B0D4930" w:rsidR="0039720F" w:rsidRPr="004469D5" w:rsidRDefault="00000000">
      <w:pPr>
        <w:rPr>
          <w:rFonts w:ascii="Times New Roman" w:hAnsi="Times New Roman" w:cs="Times New Roman"/>
          <w:sz w:val="24"/>
          <w:szCs w:val="24"/>
        </w:rPr>
      </w:pPr>
      <w:r w:rsidRPr="004469D5">
        <w:rPr>
          <w:rFonts w:ascii="Times New Roman" w:hAnsi="Times New Roman" w:cs="Times New Roman"/>
          <w:sz w:val="24"/>
          <w:szCs w:val="24"/>
        </w:rPr>
        <w:t xml:space="preserve">Fig.S6 SKOV3 cells were transfected with empty vector (pCDNA3.1-Flag-c) or FOXO3 expression vector (pCMV-FOXO3(human)-FLAG-N). The protein expression levels of FOXO3a(85KD) and β-actin (45KD) were analyzed by WB. Arrow represents FLAG-FOXO3a.  </w:t>
      </w:r>
    </w:p>
    <w:p w14:paraId="7DE44EA9" w14:textId="77777777" w:rsidR="0039720F" w:rsidRPr="004469D5" w:rsidRDefault="0039720F">
      <w:pPr>
        <w:rPr>
          <w:rFonts w:ascii="Times New Roman" w:hAnsi="Times New Roman" w:cs="Times New Roman"/>
          <w:sz w:val="24"/>
          <w:szCs w:val="24"/>
        </w:rPr>
      </w:pPr>
    </w:p>
    <w:p w14:paraId="3AAA9631" w14:textId="77777777" w:rsidR="0039720F" w:rsidRPr="003D7CC9" w:rsidRDefault="0039720F">
      <w:pPr>
        <w:rPr>
          <w:rFonts w:ascii="Times New Roman" w:hAnsi="Times New Roman" w:cs="Times New Roman"/>
        </w:rPr>
      </w:pPr>
    </w:p>
    <w:p w14:paraId="3D50A5C0" w14:textId="77777777" w:rsidR="0039720F" w:rsidRPr="003D7CC9" w:rsidRDefault="0039720F">
      <w:pPr>
        <w:rPr>
          <w:rFonts w:ascii="Times New Roman" w:hAnsi="Times New Roman" w:cs="Times New Roman"/>
        </w:rPr>
      </w:pPr>
    </w:p>
    <w:p w14:paraId="59F38952" w14:textId="77777777" w:rsidR="0039720F" w:rsidRPr="003D7CC9" w:rsidRDefault="00000000">
      <w:pPr>
        <w:widowControl/>
        <w:jc w:val="left"/>
        <w:rPr>
          <w:rFonts w:ascii="Times New Roman" w:hAnsi="Times New Roman" w:cs="Times New Roman"/>
        </w:rPr>
      </w:pPr>
      <w:r w:rsidRPr="003D7CC9">
        <w:rPr>
          <w:rFonts w:ascii="Times New Roman" w:hAnsi="Times New Roman" w:cs="Times New Roman"/>
        </w:rPr>
        <w:br w:type="page"/>
      </w:r>
    </w:p>
    <w:p w14:paraId="6EE7EF12" w14:textId="77777777" w:rsidR="0039720F" w:rsidRPr="003D7CC9" w:rsidRDefault="0039720F">
      <w:pPr>
        <w:rPr>
          <w:rFonts w:ascii="Times New Roman" w:hAnsi="Times New Roman" w:cs="Times New Roman"/>
        </w:rPr>
      </w:pPr>
    </w:p>
    <w:p w14:paraId="52CB6F0A" w14:textId="77777777" w:rsidR="0039720F" w:rsidRPr="003D7CC9" w:rsidRDefault="00000000">
      <w:pPr>
        <w:rPr>
          <w:rFonts w:ascii="Times New Roman" w:hAnsi="Times New Roman" w:cs="Times New Roman"/>
        </w:rPr>
      </w:pPr>
      <w:r w:rsidRPr="003D7CC9">
        <w:rPr>
          <w:rFonts w:ascii="Times New Roman" w:hAnsi="Times New Roman" w:cs="Times New Roman"/>
          <w:noProof/>
        </w:rPr>
        <w:drawing>
          <wp:inline distT="0" distB="0" distL="0" distR="0" wp14:anchorId="587E8665" wp14:editId="08F6A8BC">
            <wp:extent cx="5274310" cy="1704340"/>
            <wp:effectExtent l="0" t="0" r="2540" b="0"/>
            <wp:docPr id="195973468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34681" name="图片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4310" cy="1704340"/>
                    </a:xfrm>
                    <a:prstGeom prst="rect">
                      <a:avLst/>
                    </a:prstGeom>
                    <a:noFill/>
                    <a:ln>
                      <a:noFill/>
                    </a:ln>
                  </pic:spPr>
                </pic:pic>
              </a:graphicData>
            </a:graphic>
          </wp:inline>
        </w:drawing>
      </w:r>
      <w:r w:rsidRPr="003D7CC9">
        <w:rPr>
          <w:rFonts w:ascii="Times New Roman" w:hAnsi="Times New Roman" w:cs="Times New Roman"/>
        </w:rPr>
        <w:t xml:space="preserve"> </w:t>
      </w:r>
    </w:p>
    <w:p w14:paraId="616FA2E1" w14:textId="77777777" w:rsidR="0039720F" w:rsidRDefault="00000000">
      <w:pPr>
        <w:pStyle w:val="ab"/>
        <w:spacing w:before="0" w:beforeAutospacing="0" w:after="0" w:afterAutospacing="0"/>
        <w:rPr>
          <w:rFonts w:ascii="Times New Roman" w:hAnsi="Times New Roman" w:cs="Times New Roman"/>
        </w:rPr>
      </w:pPr>
      <w:r>
        <w:rPr>
          <w:rFonts w:ascii="Times New Roman" w:hAnsi="Times New Roman" w:cs="Times New Roman"/>
        </w:rPr>
        <w:t xml:space="preserve">Fig. S7 </w:t>
      </w:r>
      <w:r>
        <w:rPr>
          <w:rFonts w:ascii="Times New Roman" w:eastAsiaTheme="minorEastAsia" w:hAnsi="Times New Roman" w:cs="Times New Roman"/>
          <w:color w:val="000000" w:themeColor="text1"/>
          <w:kern w:val="24"/>
        </w:rPr>
        <w:t>H&amp;E staining of heart, liver, spleen, lung, and kidney in two groups. Scale bar is 50 μm</w:t>
      </w:r>
    </w:p>
    <w:p w14:paraId="12C88030" w14:textId="77777777" w:rsidR="0039720F" w:rsidRDefault="00000000">
      <w:pPr>
        <w:widowControl/>
        <w:jc w:val="left"/>
        <w:rPr>
          <w:rFonts w:ascii="Times New Roman" w:hAnsi="Times New Roman" w:cs="Times New Roman"/>
        </w:rPr>
      </w:pPr>
      <w:r>
        <w:rPr>
          <w:rFonts w:ascii="Times New Roman" w:hAnsi="Times New Roman" w:cs="Times New Roman"/>
        </w:rPr>
        <w:br w:type="page"/>
      </w:r>
    </w:p>
    <w:p w14:paraId="30EA5AE0" w14:textId="77777777" w:rsidR="0039720F" w:rsidRDefault="0039720F">
      <w:pPr>
        <w:rPr>
          <w:rFonts w:ascii="Times New Roman" w:hAnsi="Times New Roman" w:cs="Times New Roman"/>
        </w:rPr>
      </w:pPr>
    </w:p>
    <w:p w14:paraId="29AD0803" w14:textId="77777777" w:rsidR="0039720F" w:rsidRPr="003D7CC9" w:rsidRDefault="00000000">
      <w:pPr>
        <w:widowControl/>
        <w:jc w:val="left"/>
        <w:rPr>
          <w:rFonts w:ascii="Times New Roman" w:hAnsi="Times New Roman" w:cs="Times New Roman"/>
        </w:rPr>
      </w:pPr>
      <w:r w:rsidRPr="003D7CC9">
        <w:rPr>
          <w:rFonts w:ascii="Times New Roman" w:hAnsi="Times New Roman" w:cs="Times New Roman"/>
          <w:noProof/>
        </w:rPr>
        <w:drawing>
          <wp:inline distT="0" distB="0" distL="0" distR="0" wp14:anchorId="79B3F82E" wp14:editId="0844EC48">
            <wp:extent cx="5274310" cy="2905760"/>
            <wp:effectExtent l="0" t="0" r="2540" b="8890"/>
            <wp:docPr id="20570803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080360" name="图片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310" cy="2905760"/>
                    </a:xfrm>
                    <a:prstGeom prst="rect">
                      <a:avLst/>
                    </a:prstGeom>
                    <a:noFill/>
                    <a:ln>
                      <a:noFill/>
                    </a:ln>
                  </pic:spPr>
                </pic:pic>
              </a:graphicData>
            </a:graphic>
          </wp:inline>
        </w:drawing>
      </w:r>
    </w:p>
    <w:p w14:paraId="6E191D40" w14:textId="47BDA076" w:rsidR="0039720F" w:rsidRPr="004469D5" w:rsidRDefault="00000000">
      <w:pPr>
        <w:widowControl/>
        <w:jc w:val="left"/>
        <w:rPr>
          <w:rFonts w:ascii="Times New Roman" w:hAnsi="Times New Roman" w:cs="Times New Roman"/>
          <w:sz w:val="24"/>
          <w:szCs w:val="24"/>
        </w:rPr>
      </w:pPr>
      <w:r w:rsidRPr="004469D5">
        <w:rPr>
          <w:rFonts w:ascii="Times New Roman" w:hAnsi="Times New Roman" w:cs="Times New Roman"/>
          <w:sz w:val="24"/>
          <w:szCs w:val="24"/>
        </w:rPr>
        <w:t>Fig.S8 Blood routine and biochemical indicators of the mice</w:t>
      </w:r>
      <w:r w:rsidR="00AA5CE2" w:rsidRPr="004469D5">
        <w:rPr>
          <w:rFonts w:ascii="Times New Roman" w:hAnsi="Times New Roman" w:cs="Times New Roman"/>
          <w:sz w:val="24"/>
          <w:szCs w:val="24"/>
        </w:rPr>
        <w:t>.</w:t>
      </w:r>
      <w:r w:rsidRPr="004469D5">
        <w:rPr>
          <w:rFonts w:ascii="Times New Roman" w:hAnsi="Times New Roman" w:cs="Times New Roman"/>
          <w:sz w:val="24"/>
          <w:szCs w:val="24"/>
        </w:rPr>
        <w:t xml:space="preserve"> </w:t>
      </w:r>
    </w:p>
    <w:sectPr w:rsidR="0039720F" w:rsidRPr="004469D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12172" w14:textId="77777777" w:rsidR="00D1191E" w:rsidRDefault="00D1191E" w:rsidP="003D7CC9">
      <w:r>
        <w:separator/>
      </w:r>
    </w:p>
  </w:endnote>
  <w:endnote w:type="continuationSeparator" w:id="0">
    <w:p w14:paraId="761FA7CB" w14:textId="77777777" w:rsidR="00D1191E" w:rsidRDefault="00D1191E" w:rsidP="003D7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65BD4" w14:textId="77777777" w:rsidR="00D1191E" w:rsidRDefault="00D1191E" w:rsidP="003D7CC9">
      <w:r>
        <w:separator/>
      </w:r>
    </w:p>
  </w:footnote>
  <w:footnote w:type="continuationSeparator" w:id="0">
    <w:p w14:paraId="34157826" w14:textId="77777777" w:rsidR="00D1191E" w:rsidRDefault="00D1191E" w:rsidP="003D7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D4B76"/>
    <w:multiLevelType w:val="multilevel"/>
    <w:tmpl w:val="429D4B76"/>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num w:numId="1" w16cid:durableId="309675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kyZDQxNzNkNjkzODcwNmJhYjU0NDRiOTMxOTM5YTgifQ=="/>
    <w:docVar w:name="EN.InstantFormat" w:val="&lt;ENInstantFormat&gt;&lt;Enabled&gt;1&lt;/Enabled&gt;&lt;ScanUnformatted&gt;1&lt;/ScanUnformatted&gt;&lt;ScanChanges&gt;1&lt;/ScanChanges&gt;&lt;Suspended&gt;0&lt;/Suspended&gt;&lt;/ENInstantFormat&gt;"/>
    <w:docVar w:name="EN.Layout" w:val="&lt;ENLayout&gt;&lt;Style&gt;J Nanobiotechn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000BC5"/>
    <w:rsid w:val="000001A1"/>
    <w:rsid w:val="00000BC5"/>
    <w:rsid w:val="000028AF"/>
    <w:rsid w:val="00010CEE"/>
    <w:rsid w:val="00013E1A"/>
    <w:rsid w:val="00024925"/>
    <w:rsid w:val="0003111D"/>
    <w:rsid w:val="00031A51"/>
    <w:rsid w:val="0003580D"/>
    <w:rsid w:val="00035EBE"/>
    <w:rsid w:val="00043CBF"/>
    <w:rsid w:val="00053E1C"/>
    <w:rsid w:val="000717A0"/>
    <w:rsid w:val="000956F3"/>
    <w:rsid w:val="000B6D68"/>
    <w:rsid w:val="000C7EF1"/>
    <w:rsid w:val="000D79CE"/>
    <w:rsid w:val="000F2E9C"/>
    <w:rsid w:val="001066F7"/>
    <w:rsid w:val="00123B8C"/>
    <w:rsid w:val="00161DD6"/>
    <w:rsid w:val="00165672"/>
    <w:rsid w:val="00166E64"/>
    <w:rsid w:val="00182ED8"/>
    <w:rsid w:val="001937C7"/>
    <w:rsid w:val="001A1B8B"/>
    <w:rsid w:val="001A4924"/>
    <w:rsid w:val="001B36DF"/>
    <w:rsid w:val="001B465B"/>
    <w:rsid w:val="001E5F40"/>
    <w:rsid w:val="00207CAB"/>
    <w:rsid w:val="00214F15"/>
    <w:rsid w:val="002150D0"/>
    <w:rsid w:val="002231D4"/>
    <w:rsid w:val="00240F3D"/>
    <w:rsid w:val="002524AE"/>
    <w:rsid w:val="00261EA7"/>
    <w:rsid w:val="002658CD"/>
    <w:rsid w:val="00284129"/>
    <w:rsid w:val="002878A7"/>
    <w:rsid w:val="002901CB"/>
    <w:rsid w:val="002A1BC6"/>
    <w:rsid w:val="002C02F7"/>
    <w:rsid w:val="002F1351"/>
    <w:rsid w:val="002F7D24"/>
    <w:rsid w:val="0031582A"/>
    <w:rsid w:val="00315C3F"/>
    <w:rsid w:val="00316AA5"/>
    <w:rsid w:val="003312C1"/>
    <w:rsid w:val="00337FB1"/>
    <w:rsid w:val="00342E2D"/>
    <w:rsid w:val="003529F1"/>
    <w:rsid w:val="0035546A"/>
    <w:rsid w:val="00357688"/>
    <w:rsid w:val="00365ED9"/>
    <w:rsid w:val="0039503E"/>
    <w:rsid w:val="0039720F"/>
    <w:rsid w:val="003A229B"/>
    <w:rsid w:val="003A2C1A"/>
    <w:rsid w:val="003D12D8"/>
    <w:rsid w:val="003D3686"/>
    <w:rsid w:val="003D7CC9"/>
    <w:rsid w:val="003F238A"/>
    <w:rsid w:val="003F60A8"/>
    <w:rsid w:val="004024E7"/>
    <w:rsid w:val="0042602A"/>
    <w:rsid w:val="00436560"/>
    <w:rsid w:val="00441613"/>
    <w:rsid w:val="004469D5"/>
    <w:rsid w:val="00461608"/>
    <w:rsid w:val="00475035"/>
    <w:rsid w:val="00482B50"/>
    <w:rsid w:val="0048691C"/>
    <w:rsid w:val="004947D7"/>
    <w:rsid w:val="00496837"/>
    <w:rsid w:val="004A16E2"/>
    <w:rsid w:val="004C67E7"/>
    <w:rsid w:val="004D74F3"/>
    <w:rsid w:val="00506D8D"/>
    <w:rsid w:val="00514E9F"/>
    <w:rsid w:val="00521139"/>
    <w:rsid w:val="00521F8C"/>
    <w:rsid w:val="00556E6C"/>
    <w:rsid w:val="005B42BB"/>
    <w:rsid w:val="005B5AF3"/>
    <w:rsid w:val="005C17B3"/>
    <w:rsid w:val="005D6E75"/>
    <w:rsid w:val="005F2CD2"/>
    <w:rsid w:val="005F6825"/>
    <w:rsid w:val="00611876"/>
    <w:rsid w:val="00613991"/>
    <w:rsid w:val="00630AFD"/>
    <w:rsid w:val="00632B74"/>
    <w:rsid w:val="0064539A"/>
    <w:rsid w:val="00651619"/>
    <w:rsid w:val="0066541C"/>
    <w:rsid w:val="00666859"/>
    <w:rsid w:val="00676A9E"/>
    <w:rsid w:val="00696012"/>
    <w:rsid w:val="006B3410"/>
    <w:rsid w:val="006B3F15"/>
    <w:rsid w:val="006C3EB0"/>
    <w:rsid w:val="006C7B34"/>
    <w:rsid w:val="006D3E11"/>
    <w:rsid w:val="006D6FC4"/>
    <w:rsid w:val="006E57C0"/>
    <w:rsid w:val="006F7E3C"/>
    <w:rsid w:val="00702275"/>
    <w:rsid w:val="0070704A"/>
    <w:rsid w:val="00712062"/>
    <w:rsid w:val="007325EF"/>
    <w:rsid w:val="007431AC"/>
    <w:rsid w:val="00751520"/>
    <w:rsid w:val="00770B91"/>
    <w:rsid w:val="007727EC"/>
    <w:rsid w:val="00786EE6"/>
    <w:rsid w:val="0078756D"/>
    <w:rsid w:val="00792B84"/>
    <w:rsid w:val="007951FA"/>
    <w:rsid w:val="007A1184"/>
    <w:rsid w:val="007B2402"/>
    <w:rsid w:val="007C1871"/>
    <w:rsid w:val="007C73B6"/>
    <w:rsid w:val="007D0B9C"/>
    <w:rsid w:val="007D3493"/>
    <w:rsid w:val="00807BBA"/>
    <w:rsid w:val="00836473"/>
    <w:rsid w:val="00836859"/>
    <w:rsid w:val="00836E2A"/>
    <w:rsid w:val="00842173"/>
    <w:rsid w:val="0087200F"/>
    <w:rsid w:val="00892A2C"/>
    <w:rsid w:val="00895F7D"/>
    <w:rsid w:val="008A33C6"/>
    <w:rsid w:val="008A3C90"/>
    <w:rsid w:val="008A4BAE"/>
    <w:rsid w:val="008C1494"/>
    <w:rsid w:val="008D52EC"/>
    <w:rsid w:val="008E59E9"/>
    <w:rsid w:val="008F2342"/>
    <w:rsid w:val="00930E4F"/>
    <w:rsid w:val="00933065"/>
    <w:rsid w:val="00934962"/>
    <w:rsid w:val="00935C4D"/>
    <w:rsid w:val="009446EE"/>
    <w:rsid w:val="00980541"/>
    <w:rsid w:val="009840E6"/>
    <w:rsid w:val="009A221E"/>
    <w:rsid w:val="009C0AA4"/>
    <w:rsid w:val="009C1AE3"/>
    <w:rsid w:val="009D65B9"/>
    <w:rsid w:val="009D7A5A"/>
    <w:rsid w:val="009F4912"/>
    <w:rsid w:val="00A048C6"/>
    <w:rsid w:val="00A062C0"/>
    <w:rsid w:val="00A3201E"/>
    <w:rsid w:val="00A3799B"/>
    <w:rsid w:val="00A53C33"/>
    <w:rsid w:val="00A54C79"/>
    <w:rsid w:val="00A82290"/>
    <w:rsid w:val="00A83341"/>
    <w:rsid w:val="00A90AEC"/>
    <w:rsid w:val="00AA3517"/>
    <w:rsid w:val="00AA37C1"/>
    <w:rsid w:val="00AA5CE2"/>
    <w:rsid w:val="00AA69E6"/>
    <w:rsid w:val="00AC5141"/>
    <w:rsid w:val="00AD353E"/>
    <w:rsid w:val="00AD3B52"/>
    <w:rsid w:val="00AD649E"/>
    <w:rsid w:val="00AE0ED7"/>
    <w:rsid w:val="00B032A5"/>
    <w:rsid w:val="00B034A5"/>
    <w:rsid w:val="00B05838"/>
    <w:rsid w:val="00B067A4"/>
    <w:rsid w:val="00B10E18"/>
    <w:rsid w:val="00B20849"/>
    <w:rsid w:val="00B22D30"/>
    <w:rsid w:val="00B26594"/>
    <w:rsid w:val="00B50140"/>
    <w:rsid w:val="00B51FF8"/>
    <w:rsid w:val="00B80CAA"/>
    <w:rsid w:val="00B8264B"/>
    <w:rsid w:val="00B84955"/>
    <w:rsid w:val="00BA56C8"/>
    <w:rsid w:val="00BE36D0"/>
    <w:rsid w:val="00BE46F8"/>
    <w:rsid w:val="00BF18BE"/>
    <w:rsid w:val="00BF3AFF"/>
    <w:rsid w:val="00C14D62"/>
    <w:rsid w:val="00C22F29"/>
    <w:rsid w:val="00C36D47"/>
    <w:rsid w:val="00C374B0"/>
    <w:rsid w:val="00C5065F"/>
    <w:rsid w:val="00C65876"/>
    <w:rsid w:val="00C756C0"/>
    <w:rsid w:val="00C93F5C"/>
    <w:rsid w:val="00CD27F6"/>
    <w:rsid w:val="00CD7B62"/>
    <w:rsid w:val="00CE7B54"/>
    <w:rsid w:val="00CF3866"/>
    <w:rsid w:val="00D0384A"/>
    <w:rsid w:val="00D05B10"/>
    <w:rsid w:val="00D1191E"/>
    <w:rsid w:val="00D14F8F"/>
    <w:rsid w:val="00D16D9F"/>
    <w:rsid w:val="00D317D4"/>
    <w:rsid w:val="00D410F9"/>
    <w:rsid w:val="00D5489F"/>
    <w:rsid w:val="00D86C1C"/>
    <w:rsid w:val="00D86DF7"/>
    <w:rsid w:val="00DC5460"/>
    <w:rsid w:val="00DD4AFA"/>
    <w:rsid w:val="00E019F3"/>
    <w:rsid w:val="00E036D7"/>
    <w:rsid w:val="00E0636D"/>
    <w:rsid w:val="00E13CF2"/>
    <w:rsid w:val="00E21842"/>
    <w:rsid w:val="00E3710E"/>
    <w:rsid w:val="00E47C27"/>
    <w:rsid w:val="00E50AB5"/>
    <w:rsid w:val="00E6278D"/>
    <w:rsid w:val="00E66DE1"/>
    <w:rsid w:val="00E75D86"/>
    <w:rsid w:val="00E84CD5"/>
    <w:rsid w:val="00E9657B"/>
    <w:rsid w:val="00EA1159"/>
    <w:rsid w:val="00EA5AE3"/>
    <w:rsid w:val="00EB1ACE"/>
    <w:rsid w:val="00EC44EA"/>
    <w:rsid w:val="00EC7CCC"/>
    <w:rsid w:val="00ED1D18"/>
    <w:rsid w:val="00ED2F40"/>
    <w:rsid w:val="00EE128A"/>
    <w:rsid w:val="00EE1BFD"/>
    <w:rsid w:val="00EE6436"/>
    <w:rsid w:val="00F174D9"/>
    <w:rsid w:val="00F27A30"/>
    <w:rsid w:val="00F422D5"/>
    <w:rsid w:val="00F666A6"/>
    <w:rsid w:val="00F71165"/>
    <w:rsid w:val="00F71991"/>
    <w:rsid w:val="00F771DE"/>
    <w:rsid w:val="00F96B00"/>
    <w:rsid w:val="00FA0BFB"/>
    <w:rsid w:val="00FA23BB"/>
    <w:rsid w:val="00FA565F"/>
    <w:rsid w:val="00FF0405"/>
    <w:rsid w:val="27DB70C6"/>
    <w:rsid w:val="2DCC7BAB"/>
    <w:rsid w:val="44C15D46"/>
    <w:rsid w:val="6D7A7745"/>
    <w:rsid w:val="7AEE7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AC756"/>
  <w15:docId w15:val="{C3075178-83FD-4E5C-BCB5-1A39C7B0A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Emphasis"/>
    <w:basedOn w:val="a0"/>
    <w:uiPriority w:val="20"/>
    <w:qFormat/>
    <w:rPr>
      <w:i/>
      <w:iCs/>
    </w:rPr>
  </w:style>
  <w:style w:type="character" w:styleId="af1">
    <w:name w:val="Hyperlink"/>
    <w:basedOn w:val="a0"/>
    <w:uiPriority w:val="99"/>
    <w:semiHidden/>
    <w:unhideWhenUsed/>
    <w:qFormat/>
    <w:rPr>
      <w:color w:val="0000FF"/>
      <w:u w:val="single"/>
    </w:rPr>
  </w:style>
  <w:style w:type="character" w:styleId="af2">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RSCB02ArticleText">
    <w:name w:val="RSC B02 Article Text"/>
    <w:basedOn w:val="a"/>
    <w:link w:val="RSCB02ArticleTextChar"/>
    <w:qFormat/>
    <w:pPr>
      <w:widowControl/>
      <w:spacing w:line="240" w:lineRule="exact"/>
    </w:pPr>
    <w:rPr>
      <w:rFonts w:cs="Times New Roman"/>
      <w:w w:val="108"/>
      <w:kern w:val="0"/>
      <w:sz w:val="18"/>
      <w:szCs w:val="18"/>
      <w:lang w:val="en-GB" w:eastAsia="en-US"/>
    </w:rPr>
  </w:style>
  <w:style w:type="character" w:customStyle="1" w:styleId="RSCB02ArticleTextChar">
    <w:name w:val="RSC B02 Article Text Char"/>
    <w:basedOn w:val="a0"/>
    <w:link w:val="RSCB02ArticleText"/>
    <w:qFormat/>
    <w:rPr>
      <w:rFonts w:cs="Times New Roman"/>
      <w:w w:val="108"/>
      <w:kern w:val="0"/>
      <w:sz w:val="18"/>
      <w:szCs w:val="18"/>
      <w:lang w:val="en-GB" w:eastAsia="en-US"/>
    </w:rPr>
  </w:style>
  <w:style w:type="paragraph" w:customStyle="1" w:styleId="1">
    <w:name w:val="修订1"/>
    <w:hidden/>
    <w:uiPriority w:val="99"/>
    <w:semiHidden/>
    <w:qFormat/>
    <w:rPr>
      <w:kern w:val="2"/>
      <w:sz w:val="21"/>
      <w:szCs w:val="22"/>
    </w:rPr>
  </w:style>
  <w:style w:type="character" w:customStyle="1" w:styleId="a4">
    <w:name w:val="批注文字 字符"/>
    <w:basedOn w:val="a0"/>
    <w:link w:val="a3"/>
    <w:uiPriority w:val="99"/>
    <w:qFormat/>
  </w:style>
  <w:style w:type="character" w:customStyle="1" w:styleId="ad">
    <w:name w:val="批注主题 字符"/>
    <w:basedOn w:val="a4"/>
    <w:link w:val="ac"/>
    <w:uiPriority w:val="99"/>
    <w:semiHidden/>
    <w:qFormat/>
    <w:rPr>
      <w:b/>
      <w:bCs/>
    </w:rPr>
  </w:style>
  <w:style w:type="character" w:customStyle="1" w:styleId="skip">
    <w:name w:val="skip"/>
    <w:basedOn w:val="a0"/>
    <w:qFormat/>
  </w:style>
  <w:style w:type="character" w:customStyle="1" w:styleId="a6">
    <w:name w:val="批注框文本 字符"/>
    <w:basedOn w:val="a0"/>
    <w:link w:val="a5"/>
    <w:uiPriority w:val="99"/>
    <w:semiHidden/>
    <w:qFormat/>
    <w:rPr>
      <w:sz w:val="18"/>
      <w:szCs w:val="18"/>
    </w:rPr>
  </w:style>
  <w:style w:type="paragraph" w:customStyle="1" w:styleId="2">
    <w:name w:val="修订2"/>
    <w:hidden/>
    <w:uiPriority w:val="99"/>
    <w:unhideWhenUsed/>
    <w:qFormat/>
    <w:rPr>
      <w:kern w:val="2"/>
      <w:sz w:val="21"/>
      <w:szCs w:val="22"/>
    </w:rPr>
  </w:style>
  <w:style w:type="paragraph" w:customStyle="1" w:styleId="3">
    <w:name w:val="修订3"/>
    <w:hidden/>
    <w:uiPriority w:val="99"/>
    <w:unhideWhenUsed/>
    <w:qFormat/>
    <w:rPr>
      <w:kern w:val="2"/>
      <w:sz w:val="21"/>
      <w:szCs w:val="22"/>
    </w:rPr>
  </w:style>
  <w:style w:type="paragraph" w:customStyle="1" w:styleId="4">
    <w:name w:val="修订4"/>
    <w:hidden/>
    <w:uiPriority w:val="99"/>
    <w:unhideWhenUsed/>
    <w:qFormat/>
    <w:rPr>
      <w:kern w:val="2"/>
      <w:sz w:val="21"/>
      <w:szCs w:val="22"/>
    </w:rPr>
  </w:style>
  <w:style w:type="paragraph" w:styleId="af3">
    <w:name w:val="Revision"/>
    <w:hidden/>
    <w:uiPriority w:val="99"/>
    <w:unhideWhenUsed/>
    <w:rsid w:val="0083685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459E1-7214-43B3-A592-06E3E9F2B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2040</Words>
  <Characters>11634</Characters>
  <Application>Microsoft Office Word</Application>
  <DocSecurity>0</DocSecurity>
  <Lines>96</Lines>
  <Paragraphs>27</Paragraphs>
  <ScaleCrop>false</ScaleCrop>
  <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晶 王</dc:creator>
  <cp:lastModifiedBy>晶 王</cp:lastModifiedBy>
  <cp:revision>9</cp:revision>
  <dcterms:created xsi:type="dcterms:W3CDTF">2023-12-04T15:34:00Z</dcterms:created>
  <dcterms:modified xsi:type="dcterms:W3CDTF">2024-01-05T14:26:00Z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22fbeb0673557cb9c915478c90f20a120636261de858ebb3ec3adcd8c446f7a0</vt:lpwstr>
  </property>
  <property fmtid="{D5CDD505-2E9C-101B-9397-08002B2CF9AE}" pid="3" name="KSOProductBuildVer">
    <vt:lpwstr>2052-12.1.0.15990</vt:lpwstr>
  </property>
  <property fmtid="{D5CDD505-2E9C-101B-9397-08002B2CF9AE}" pid="4" name="ICV">
    <vt:lpwstr>F320E3E4629C4F8588477E3B9F0045A2_12</vt:lpwstr>
  </property>
</Properties>
</file>