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2F1A" w14:textId="3CF62D64" w:rsidR="0092330D" w:rsidRDefault="0092330D" w:rsidP="0092330D">
      <w:pPr>
        <w:keepNext/>
        <w:keepLines/>
        <w:spacing w:before="40" w:after="0" w:line="240" w:lineRule="auto"/>
        <w:jc w:val="both"/>
        <w:outlineLvl w:val="2"/>
        <w:rPr>
          <w:rFonts w:ascii="Times New Roman" w:eastAsia="Calibri" w:hAnsi="Times New Roman" w:cs="Times New Roman"/>
          <w:sz w:val="24"/>
          <w:szCs w:val="24"/>
          <w:lang w:val="en-US"/>
        </w:rPr>
      </w:pPr>
      <w:r>
        <w:rPr>
          <w:rFonts w:ascii="Times New Roman" w:hAnsi="Times New Roman" w:cs="Times New Roman"/>
          <w:b/>
          <w:bCs/>
          <w:sz w:val="24"/>
          <w:szCs w:val="24"/>
          <w:lang w:val="en-US"/>
        </w:rPr>
        <w:t>Additional</w:t>
      </w:r>
      <w:r w:rsidDel="00DC3355">
        <w:rPr>
          <w:rFonts w:ascii="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Fi</w:t>
      </w:r>
      <w:r w:rsidR="00557946">
        <w:rPr>
          <w:rFonts w:ascii="Times New Roman" w:eastAsia="Times New Roman" w:hAnsi="Times New Roman" w:cs="Times New Roman"/>
          <w:b/>
          <w:bCs/>
          <w:sz w:val="24"/>
          <w:szCs w:val="24"/>
          <w:lang w:val="en-US"/>
        </w:rPr>
        <w:t>le</w:t>
      </w:r>
      <w:r>
        <w:rPr>
          <w:rFonts w:ascii="Times New Roman" w:eastAsia="Times New Roman" w:hAnsi="Times New Roman" w:cs="Times New Roman"/>
          <w:b/>
          <w:bCs/>
          <w:sz w:val="24"/>
          <w:szCs w:val="24"/>
          <w:lang w:val="en-US"/>
        </w:rPr>
        <w:t xml:space="preserve"> 1. Dose constraints for long-course CRT (1.8-2 </w:t>
      </w:r>
      <w:proofErr w:type="spellStart"/>
      <w:r>
        <w:rPr>
          <w:rFonts w:ascii="Times New Roman" w:eastAsia="Times New Roman" w:hAnsi="Times New Roman" w:cs="Times New Roman"/>
          <w:b/>
          <w:bCs/>
          <w:sz w:val="24"/>
          <w:szCs w:val="24"/>
          <w:lang w:val="en-US"/>
        </w:rPr>
        <w:t>Gy</w:t>
      </w:r>
      <w:proofErr w:type="spellEnd"/>
      <w:r>
        <w:rPr>
          <w:rFonts w:ascii="Times New Roman" w:eastAsia="Times New Roman" w:hAnsi="Times New Roman" w:cs="Times New Roman"/>
          <w:b/>
          <w:bCs/>
          <w:sz w:val="24"/>
          <w:szCs w:val="24"/>
          <w:lang w:val="en-US"/>
        </w:rPr>
        <w:t xml:space="preserve">/fraction) from ESTRO ACROP guidelines 2020 </w:t>
      </w:r>
      <w:r>
        <w:rPr>
          <w:rFonts w:ascii="Times New Roman" w:eastAsia="Times New Roman" w:hAnsi="Times New Roman" w:cs="Times New Roman"/>
          <w:sz w:val="24"/>
          <w:szCs w:val="24"/>
          <w:lang w:val="en-US"/>
        </w:rPr>
        <w:fldChar w:fldCharType="begin"/>
      </w:r>
      <w:r>
        <w:rPr>
          <w:rFonts w:ascii="Times New Roman" w:eastAsia="Times New Roman" w:hAnsi="Times New Roman" w:cs="Times New Roman"/>
          <w:sz w:val="24"/>
          <w:szCs w:val="24"/>
          <w:lang w:val="en-US"/>
        </w:rPr>
        <w:instrText xml:space="preserve"> ADDIN ZOTERO_ITEM CSL_CITATION {"citationID":"4RQMrikT","properties":{"formattedCitation":"(14)","plainCitation":"(14)","noteIndex":0},"citationItems":[{"id":50,"uris":["http://zotero.org/users/7223302/items/VXUER7P4"],"itemData":{"id":50,"type":"article-journal","abstract":"Despite of the predominant role of chemotherapy and surgery in pancreatic ductal adenocarcinoma (PDAC), radiotherapy (RT) still has a place in multimodal management of this disease where local tumour sequelae are fatal in about 40% of the patients. RT (chemoradiotherapy and stereotactic body radiotherapy) is used and investigated in the non-metastatic setting as part of definitive treatment strategies, in (neo)adjuvant settings and for locally recurrent disease. The ACROP committee was delegated by ESTRO to recommend target volume delineation for these clinical situations. The guidelines of this document are a result of a structured evaluation of the best available evidence by a panel of international experts in the field. Guidance for treatment planning including diagnostic imaging is provided. Recommendations are given for GTV delineation. The role and the definition of CTV volumes are critically discussed. Aspects of motion management and patient positioning are taken into account for PTV definition. Furthermore, aspects of delineation of organs at risk and of dose constraints are described in both, standard and hypofractionated, settings. This guideline has the purpose to support standardised and optimised processes of RT treatment planning for both, clinical practice and prospective studies.","container-title":"Radiotherapy and Oncology: Journal of the European Society for Therapeutic Radiology and Oncology","DOI":"10.1016/j.radonc.2020.07.052","ISSN":"1879-0887","journalAbbreviation":"Radiother Oncol","language":"eng","note":"PMID: 32861703","page":"60-69","source":"PubMed","title":"ESTRO ACROP guidelines for target volume definition in pancreatic cancer","volume":"154","author":[{"family":"Brunner","given":"Thomas B."},{"family":"Haustermans","given":"Karin"},{"family":"Huguet","given":"Florence"},{"family":"Morganti","given":"Alessio G."},{"family":"Mukherjee","given":"Somnath"},{"family":"Belka","given":"Claus"},{"family":"Krempien","given":"Robert"},{"family":"Hawkins","given":"Maria A."},{"family":"Valentini","given":"Vincenzo"},{"family":"Roeder","given":"Falk"}],"issued":{"date-parts":[["2021",1]]}}}],"schema":"https://github.com/citation-style-language/schema/raw/master/csl-citation.json"} </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(14)</w:t>
      </w:r>
      <w:r>
        <w:rPr>
          <w:rFonts w:ascii="Times New Roman" w:eastAsia="Times New Roman" w:hAnsi="Times New Roman" w:cs="Times New Roman"/>
          <w:sz w:val="24"/>
          <w:szCs w:val="24"/>
          <w:lang w:val="en-US"/>
        </w:rPr>
        <w:fldChar w:fldCharType="end"/>
      </w:r>
    </w:p>
    <w:p w14:paraId="671ABD3A" w14:textId="77777777" w:rsidR="0092330D" w:rsidRDefault="0092330D" w:rsidP="0092330D">
      <w:pPr>
        <w:spacing w:after="0" w:line="480" w:lineRule="auto"/>
        <w:jc w:val="both"/>
        <w:rPr>
          <w:rFonts w:ascii="Times New Roman" w:hAnsi="Times New Roman" w:cs="Times New Roman"/>
          <w:b/>
          <w:bCs/>
          <w:sz w:val="24"/>
          <w:szCs w:val="24"/>
          <w:lang w:val="en-US"/>
        </w:rPr>
      </w:pPr>
    </w:p>
    <w:p w14:paraId="07DA5089" w14:textId="77777777" w:rsidR="0092330D" w:rsidRDefault="0092330D" w:rsidP="0092330D">
      <w:pPr>
        <w:spacing w:line="480" w:lineRule="auto"/>
        <w:jc w:val="both"/>
        <w:rPr>
          <w:rFonts w:ascii="Times New Roman" w:eastAsia="Calibri" w:hAnsi="Times New Roman" w:cs="Times New Roman"/>
          <w:sz w:val="24"/>
          <w:szCs w:val="24"/>
          <w:lang w:val="en-US"/>
        </w:rPr>
      </w:pPr>
      <w:r>
        <w:rPr>
          <w:rFonts w:ascii="Times New Roman" w:eastAsia="Calibri" w:hAnsi="Times New Roman" w:cs="Times New Roman"/>
          <w:noProof/>
          <w:sz w:val="24"/>
          <w:szCs w:val="24"/>
          <w:lang w:val="en-US"/>
        </w:rPr>
        <w:drawing>
          <wp:inline distT="0" distB="0" distL="0" distR="0" wp14:anchorId="6D63560C" wp14:editId="16E8F49C">
            <wp:extent cx="4521200" cy="2476500"/>
            <wp:effectExtent l="0" t="0" r="0" b="0"/>
            <wp:docPr id="14" name="Image 1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able&#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4521200" cy="2476500"/>
                    </a:xfrm>
                    <a:prstGeom prst="rect">
                      <a:avLst/>
                    </a:prstGeom>
                  </pic:spPr>
                </pic:pic>
              </a:graphicData>
            </a:graphic>
          </wp:inline>
        </w:drawing>
      </w:r>
    </w:p>
    <w:p w14:paraId="5D5051EA" w14:textId="77777777" w:rsidR="0092330D" w:rsidRDefault="0092330D" w:rsidP="0092330D">
      <w:pPr>
        <w:spacing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Circumferential dose means that the dose not only at the adjacent side of the hollow organ wall next to the PTV but also at the opposite aspect of the wall, </w:t>
      </w:r>
      <w:proofErr w:type="gramStart"/>
      <w:r>
        <w:rPr>
          <w:rFonts w:ascii="Times New Roman" w:eastAsia="Calibri" w:hAnsi="Times New Roman" w:cs="Times New Roman"/>
          <w:sz w:val="24"/>
          <w:szCs w:val="24"/>
          <w:lang w:val="en-US"/>
        </w:rPr>
        <w:t>i.e.</w:t>
      </w:r>
      <w:proofErr w:type="gramEnd"/>
      <w:r>
        <w:rPr>
          <w:rFonts w:ascii="Times New Roman" w:eastAsia="Calibri" w:hAnsi="Times New Roman" w:cs="Times New Roman"/>
          <w:sz w:val="24"/>
          <w:szCs w:val="24"/>
          <w:lang w:val="en-US"/>
        </w:rPr>
        <w:t xml:space="preserve"> the dose is applied to the entire circumference of a segment of the hollow organ. </w:t>
      </w:r>
    </w:p>
    <w:p w14:paraId="451646B4" w14:textId="77777777" w:rsidR="00C269F3" w:rsidRPr="0092330D" w:rsidRDefault="00C269F3">
      <w:pPr>
        <w:rPr>
          <w:lang w:val="en-US"/>
        </w:rPr>
      </w:pPr>
    </w:p>
    <w:sectPr w:rsidR="00C269F3" w:rsidRPr="00923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0D"/>
    <w:rsid w:val="00557946"/>
    <w:rsid w:val="0092330D"/>
    <w:rsid w:val="00C269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CDC1CAA"/>
  <w15:chartTrackingRefBased/>
  <w15:docId w15:val="{64201B0E-25CE-3145-A300-AF2819CD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30D"/>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2444</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Zaidi</dc:creator>
  <cp:keywords/>
  <dc:description/>
  <cp:lastModifiedBy>Fabien Zaidi</cp:lastModifiedBy>
  <cp:revision>2</cp:revision>
  <dcterms:created xsi:type="dcterms:W3CDTF">2024-01-06T13:45:00Z</dcterms:created>
  <dcterms:modified xsi:type="dcterms:W3CDTF">2024-01-06T13:57:00Z</dcterms:modified>
</cp:coreProperties>
</file>