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11C5A" w14:textId="0C7CB6C2" w:rsidR="005001AC" w:rsidRDefault="00BB2D2A" w:rsidP="00A451B8">
      <w:pPr>
        <w:jc w:val="both"/>
        <w:rPr>
          <w:b/>
          <w:sz w:val="28"/>
          <w:szCs w:val="36"/>
        </w:rPr>
      </w:pPr>
      <w:r w:rsidRPr="00A451B8">
        <w:rPr>
          <w:b/>
          <w:sz w:val="28"/>
          <w:szCs w:val="36"/>
        </w:rPr>
        <w:t xml:space="preserve">Supplementary </w:t>
      </w:r>
      <w:r w:rsidR="00435EE8">
        <w:rPr>
          <w:b/>
          <w:sz w:val="28"/>
          <w:szCs w:val="36"/>
        </w:rPr>
        <w:t>I</w:t>
      </w:r>
      <w:r w:rsidR="00435EE8">
        <w:rPr>
          <w:rFonts w:hint="eastAsia"/>
          <w:b/>
          <w:sz w:val="28"/>
          <w:szCs w:val="36"/>
          <w:lang w:eastAsia="zh-CN"/>
        </w:rPr>
        <w:t>n</w:t>
      </w:r>
      <w:r w:rsidR="00435EE8">
        <w:rPr>
          <w:b/>
          <w:sz w:val="28"/>
          <w:szCs w:val="36"/>
        </w:rPr>
        <w:t>formation</w:t>
      </w:r>
    </w:p>
    <w:p w14:paraId="670A4331" w14:textId="77777777" w:rsidR="00A451B8" w:rsidRPr="00A451B8" w:rsidRDefault="00A451B8" w:rsidP="00A451B8">
      <w:pPr>
        <w:jc w:val="both"/>
        <w:rPr>
          <w:b/>
          <w:sz w:val="28"/>
          <w:szCs w:val="36"/>
        </w:rPr>
      </w:pPr>
    </w:p>
    <w:p w14:paraId="41E970DA" w14:textId="245D098B" w:rsidR="002C030F" w:rsidRDefault="001D638E" w:rsidP="00A451B8">
      <w:pPr>
        <w:spacing w:line="360" w:lineRule="auto"/>
        <w:jc w:val="both"/>
        <w:rPr>
          <w:b/>
          <w:bCs/>
          <w:sz w:val="28"/>
          <w:szCs w:val="28"/>
        </w:rPr>
      </w:pPr>
      <w:r>
        <w:rPr>
          <w:b/>
          <w:bCs/>
          <w:sz w:val="28"/>
          <w:szCs w:val="28"/>
        </w:rPr>
        <w:t>Earlier peak photosynthesis timin</w:t>
      </w:r>
      <w:r w:rsidR="00A451B8">
        <w:rPr>
          <w:b/>
          <w:bCs/>
          <w:sz w:val="28"/>
          <w:szCs w:val="28"/>
        </w:rPr>
        <w:t>g</w:t>
      </w:r>
      <w:r>
        <w:rPr>
          <w:b/>
          <w:bCs/>
          <w:sz w:val="28"/>
          <w:szCs w:val="28"/>
        </w:rPr>
        <w:t xml:space="preserve"> </w:t>
      </w:r>
      <w:r w:rsidR="005E1883">
        <w:rPr>
          <w:b/>
          <w:bCs/>
          <w:sz w:val="28"/>
          <w:szCs w:val="28"/>
        </w:rPr>
        <w:t>escalates global wildfires</w:t>
      </w:r>
    </w:p>
    <w:p w14:paraId="599A3C57" w14:textId="752E1714" w:rsidR="00A451B8" w:rsidRPr="00A451B8" w:rsidRDefault="00A451B8" w:rsidP="00DE5034">
      <w:pPr>
        <w:pStyle w:val="Authors"/>
        <w:spacing w:line="360" w:lineRule="exact"/>
        <w:jc w:val="both"/>
      </w:pPr>
      <w:r>
        <w:t>Gengke Lai</w:t>
      </w:r>
      <w:r w:rsidRPr="006F4A9F">
        <w:rPr>
          <w:vertAlign w:val="superscript"/>
        </w:rPr>
        <w:t>1,2</w:t>
      </w:r>
      <w:r w:rsidRPr="004554E8">
        <w:rPr>
          <w:rFonts w:hint="eastAsia"/>
          <w:vertAlign w:val="superscript"/>
        </w:rPr>
        <w:t>†</w:t>
      </w:r>
      <w:r>
        <w:t>, Jialing Li</w:t>
      </w:r>
      <w:r w:rsidRPr="006F4A9F">
        <w:rPr>
          <w:vertAlign w:val="superscript"/>
        </w:rPr>
        <w:t>1,2</w:t>
      </w:r>
      <w:r w:rsidRPr="004554E8">
        <w:rPr>
          <w:rFonts w:eastAsia="Arial Unicode MS"/>
          <w:vertAlign w:val="superscript"/>
        </w:rPr>
        <w:t>†</w:t>
      </w:r>
      <w:r>
        <w:t>, Jun Wang</w:t>
      </w:r>
      <w:r>
        <w:rPr>
          <w:vertAlign w:val="superscript"/>
        </w:rPr>
        <w:t>3</w:t>
      </w:r>
      <w:r w:rsidRPr="004554E8">
        <w:rPr>
          <w:rFonts w:eastAsia="Arial Unicode MS"/>
          <w:vertAlign w:val="superscript"/>
        </w:rPr>
        <w:t>†</w:t>
      </w:r>
      <w:r>
        <w:t>, Chaoyang Wu</w:t>
      </w:r>
      <w:r>
        <w:rPr>
          <w:vertAlign w:val="superscript"/>
        </w:rPr>
        <w:t>3</w:t>
      </w:r>
      <w:r w:rsidRPr="006F4A9F">
        <w:rPr>
          <w:vertAlign w:val="superscript"/>
        </w:rPr>
        <w:t>*</w:t>
      </w:r>
      <w:r>
        <w:t xml:space="preserve">, </w:t>
      </w:r>
      <w:proofErr w:type="spellStart"/>
      <w:r>
        <w:t>Yongguang</w:t>
      </w:r>
      <w:proofErr w:type="spellEnd"/>
      <w:r>
        <w:t xml:space="preserve"> Zhang</w:t>
      </w:r>
      <w:r w:rsidRPr="006F4A9F">
        <w:rPr>
          <w:vertAlign w:val="superscript"/>
        </w:rPr>
        <w:t>1,2,</w:t>
      </w:r>
      <w:r>
        <w:rPr>
          <w:vertAlign w:val="superscript"/>
        </w:rPr>
        <w:t>4</w:t>
      </w:r>
      <w:r w:rsidRPr="006F4A9F">
        <w:rPr>
          <w:vertAlign w:val="superscript"/>
        </w:rPr>
        <w:t>,</w:t>
      </w:r>
      <w:r>
        <w:rPr>
          <w:vertAlign w:val="superscript"/>
        </w:rPr>
        <w:t>8</w:t>
      </w:r>
      <w:r w:rsidRPr="006F4A9F">
        <w:rPr>
          <w:vertAlign w:val="superscript"/>
        </w:rPr>
        <w:t>*</w:t>
      </w:r>
      <w:r>
        <w:t>, Constantin M. Zohner</w:t>
      </w:r>
      <w:r w:rsidRPr="006F4A9F">
        <w:rPr>
          <w:vertAlign w:val="superscript"/>
        </w:rPr>
        <w:t>5</w:t>
      </w:r>
      <w:r>
        <w:t xml:space="preserve">, </w:t>
      </w:r>
      <w:proofErr w:type="spellStart"/>
      <w:r w:rsidRPr="006F4A9F">
        <w:t>Josep</w:t>
      </w:r>
      <w:proofErr w:type="spellEnd"/>
      <w:r w:rsidRPr="006F4A9F">
        <w:t xml:space="preserve"> Peñuelas</w:t>
      </w:r>
      <w:r w:rsidRPr="006F4A9F">
        <w:rPr>
          <w:vertAlign w:val="superscript"/>
        </w:rPr>
        <w:t>6,7</w:t>
      </w:r>
      <w:r>
        <w:rPr>
          <w:vertAlign w:val="superscript"/>
        </w:rPr>
        <w:t>,8</w:t>
      </w:r>
    </w:p>
    <w:p w14:paraId="0D09C8D9" w14:textId="77777777" w:rsidR="00A451B8" w:rsidRPr="00264168" w:rsidRDefault="00A451B8" w:rsidP="00DE5034">
      <w:pPr>
        <w:pStyle w:val="Paragraph"/>
        <w:spacing w:line="360" w:lineRule="exact"/>
        <w:ind w:left="357" w:firstLine="0"/>
        <w:jc w:val="both"/>
      </w:pPr>
      <w:r w:rsidRPr="00264168">
        <w:rPr>
          <w:vertAlign w:val="superscript"/>
        </w:rPr>
        <w:t>1</w:t>
      </w:r>
      <w:bookmarkStart w:id="0" w:name="_Hlk62201602"/>
      <w:r w:rsidRPr="00264168">
        <w:t xml:space="preserve">International Institute for Earth System Sciences, Jiangsu Center for Collaborative Innovation in Geographical Information Resource Development and Application, Nanjing University, Nanjing, Jiangsu 210023, China. </w:t>
      </w:r>
      <w:bookmarkEnd w:id="0"/>
    </w:p>
    <w:p w14:paraId="4B6AEE3E" w14:textId="77777777" w:rsidR="00A451B8" w:rsidRPr="00264168" w:rsidRDefault="00A451B8" w:rsidP="00DE5034">
      <w:pPr>
        <w:pStyle w:val="Paragraph"/>
        <w:spacing w:line="360" w:lineRule="exact"/>
        <w:ind w:left="357" w:firstLine="0"/>
        <w:jc w:val="both"/>
      </w:pPr>
      <w:r w:rsidRPr="00264168">
        <w:rPr>
          <w:vertAlign w:val="superscript"/>
        </w:rPr>
        <w:t>2</w:t>
      </w:r>
      <w:r w:rsidRPr="00264168">
        <w:t>Jiangsu Provincial Key Laboratory of Geographic Information Science and Technology, Key Laboratory for Land Satellite Remote Sensing Applications of Ministry of Natural Resources, School of Geography and Ocean Science, Nanjing University, Nanjing, Jiangsu 210023, China.</w:t>
      </w:r>
    </w:p>
    <w:p w14:paraId="6042B051" w14:textId="77777777" w:rsidR="00A451B8" w:rsidRPr="00264168" w:rsidRDefault="00A451B8" w:rsidP="00DE5034">
      <w:pPr>
        <w:pStyle w:val="Paragraph"/>
        <w:spacing w:line="360" w:lineRule="exact"/>
        <w:ind w:left="357" w:firstLine="0"/>
        <w:jc w:val="both"/>
      </w:pPr>
      <w:r w:rsidRPr="00264168">
        <w:rPr>
          <w:vertAlign w:val="superscript"/>
        </w:rPr>
        <w:t>3</w:t>
      </w:r>
      <w:r w:rsidRPr="00264168">
        <w:t>The Key Laboratory of Land Surface Pattern and Simulation, Institute of Geographic Sciences and Natural Resources Research, Chinese Academy of Sciences, Beijing 100101, China.</w:t>
      </w:r>
    </w:p>
    <w:p w14:paraId="7972ED90" w14:textId="77777777" w:rsidR="00A451B8" w:rsidRPr="00264168" w:rsidRDefault="00A451B8" w:rsidP="00DE5034">
      <w:pPr>
        <w:pStyle w:val="Paragraph"/>
        <w:spacing w:line="360" w:lineRule="exact"/>
        <w:ind w:left="357" w:firstLine="0"/>
        <w:jc w:val="both"/>
      </w:pPr>
      <w:bookmarkStart w:id="1" w:name="_Hlk62201618"/>
      <w:r w:rsidRPr="00264168">
        <w:rPr>
          <w:vertAlign w:val="superscript"/>
        </w:rPr>
        <w:t>4</w:t>
      </w:r>
      <w:r w:rsidRPr="00264168">
        <w:t>Huangshan National Park Ecosystem Field Scientific Observation and Research Station of the Ministry of Education, Nanjing, Jiangsu 210023, China.</w:t>
      </w:r>
    </w:p>
    <w:p w14:paraId="49109ADC" w14:textId="77777777" w:rsidR="00A451B8" w:rsidRPr="00264168" w:rsidRDefault="00A451B8" w:rsidP="00DE5034">
      <w:pPr>
        <w:pStyle w:val="Paragraph"/>
        <w:spacing w:line="360" w:lineRule="exact"/>
        <w:ind w:left="357" w:firstLine="0"/>
        <w:jc w:val="both"/>
      </w:pPr>
      <w:r w:rsidRPr="00264168">
        <w:rPr>
          <w:vertAlign w:val="superscript"/>
        </w:rPr>
        <w:t>5</w:t>
      </w:r>
      <w:r w:rsidRPr="00264168">
        <w:t>Department of Environmental Systems Science, Institute of Integrative Biology, ETH Zurich, Zurich 8092, Switzerland.</w:t>
      </w:r>
    </w:p>
    <w:p w14:paraId="1D11B2FB" w14:textId="77777777" w:rsidR="00A451B8" w:rsidRPr="00264168" w:rsidRDefault="00A451B8" w:rsidP="00DE5034">
      <w:pPr>
        <w:pStyle w:val="Paragraph"/>
        <w:spacing w:line="360" w:lineRule="exact"/>
        <w:ind w:left="357" w:firstLine="0"/>
        <w:jc w:val="both"/>
      </w:pPr>
      <w:r w:rsidRPr="00264168">
        <w:rPr>
          <w:vertAlign w:val="superscript"/>
        </w:rPr>
        <w:t>6</w:t>
      </w:r>
      <w:r w:rsidRPr="00264168">
        <w:t xml:space="preserve">CSIC, Global Ecology Unit CREAF-CSIC-UAB, </w:t>
      </w:r>
      <w:proofErr w:type="spellStart"/>
      <w:r w:rsidRPr="00264168">
        <w:t>Bellaterra</w:t>
      </w:r>
      <w:proofErr w:type="spellEnd"/>
      <w:r w:rsidRPr="00264168">
        <w:t>, Barcelona 08193, Catalonia, Spain.</w:t>
      </w:r>
    </w:p>
    <w:p w14:paraId="4B0BFE7B" w14:textId="77777777" w:rsidR="00A451B8" w:rsidRPr="00264168" w:rsidRDefault="00A451B8" w:rsidP="00DE5034">
      <w:pPr>
        <w:pStyle w:val="Paragraph"/>
        <w:spacing w:line="360" w:lineRule="exact"/>
        <w:ind w:left="357" w:firstLine="0"/>
        <w:jc w:val="both"/>
      </w:pPr>
      <w:r w:rsidRPr="00264168">
        <w:rPr>
          <w:vertAlign w:val="superscript"/>
        </w:rPr>
        <w:t>7</w:t>
      </w:r>
      <w:r w:rsidRPr="00264168">
        <w:t xml:space="preserve">CREAF, </w:t>
      </w:r>
      <w:proofErr w:type="spellStart"/>
      <w:r w:rsidRPr="00264168">
        <w:t>Cerdanyola</w:t>
      </w:r>
      <w:proofErr w:type="spellEnd"/>
      <w:r w:rsidRPr="00264168">
        <w:t xml:space="preserve"> del Valles, Barcelona 08193, Catalonia, Spain.</w:t>
      </w:r>
    </w:p>
    <w:p w14:paraId="262E9079" w14:textId="77777777" w:rsidR="00A451B8" w:rsidRPr="00264168" w:rsidRDefault="00A451B8" w:rsidP="00DE5034">
      <w:pPr>
        <w:pStyle w:val="Paragraph"/>
        <w:spacing w:line="360" w:lineRule="exact"/>
        <w:ind w:left="357" w:firstLine="0"/>
        <w:jc w:val="both"/>
      </w:pPr>
      <w:r w:rsidRPr="00264168">
        <w:rPr>
          <w:vertAlign w:val="superscript"/>
        </w:rPr>
        <w:t>8</w:t>
      </w:r>
      <w:r>
        <w:t>Jiangsu I</w:t>
      </w:r>
      <w:r w:rsidRPr="00264168">
        <w:t>nternational Joint Carbon Neutrality Laboratory, Nanjing University, Nanjing, Jiangsu 210023, China.</w:t>
      </w:r>
    </w:p>
    <w:p w14:paraId="636938FD" w14:textId="77777777" w:rsidR="00A451B8" w:rsidRPr="00264168" w:rsidRDefault="00A451B8" w:rsidP="00A451B8">
      <w:pPr>
        <w:pStyle w:val="Paragraph"/>
        <w:ind w:left="360" w:firstLine="0"/>
        <w:jc w:val="both"/>
      </w:pPr>
    </w:p>
    <w:p w14:paraId="56BC233E" w14:textId="77777777" w:rsidR="00A451B8" w:rsidRPr="00264168" w:rsidRDefault="00A451B8" w:rsidP="00A451B8">
      <w:pPr>
        <w:pStyle w:val="Paragraph"/>
        <w:ind w:left="360" w:firstLine="0"/>
        <w:jc w:val="both"/>
      </w:pPr>
      <w:bookmarkStart w:id="2" w:name="_Hlk62201654"/>
      <w:bookmarkEnd w:id="1"/>
      <w:r w:rsidRPr="00264168">
        <w:t>*Correspondence to:</w:t>
      </w:r>
    </w:p>
    <w:p w14:paraId="34D67477" w14:textId="47C41E98" w:rsidR="004779CB" w:rsidRDefault="00A451B8" w:rsidP="00B900F2">
      <w:pPr>
        <w:pStyle w:val="Paragraph"/>
        <w:ind w:left="360" w:firstLine="0"/>
        <w:jc w:val="both"/>
      </w:pPr>
      <w:r w:rsidRPr="00264168">
        <w:t>Chaoyang Wu (</w:t>
      </w:r>
      <w:hyperlink r:id="rId8" w:history="1">
        <w:r w:rsidRPr="00264168">
          <w:rPr>
            <w:rStyle w:val="affff5"/>
          </w:rPr>
          <w:t>wucy@igsnrr.ac.cn</w:t>
        </w:r>
      </w:hyperlink>
      <w:r w:rsidRPr="00264168">
        <w:t>)</w:t>
      </w:r>
      <w:bookmarkEnd w:id="2"/>
      <w:r w:rsidRPr="00264168">
        <w:t xml:space="preserve"> and </w:t>
      </w:r>
      <w:proofErr w:type="spellStart"/>
      <w:r w:rsidRPr="00264168">
        <w:t>Yongguang</w:t>
      </w:r>
      <w:proofErr w:type="spellEnd"/>
      <w:r w:rsidRPr="00264168">
        <w:t xml:space="preserve"> Zhang (</w:t>
      </w:r>
      <w:hyperlink r:id="rId9" w:history="1">
        <w:r w:rsidRPr="00264168">
          <w:rPr>
            <w:rStyle w:val="affff5"/>
          </w:rPr>
          <w:t>yongguang_zhang@nju.edu.cn</w:t>
        </w:r>
      </w:hyperlink>
      <w:r w:rsidRPr="00264168">
        <w:t>)</w:t>
      </w:r>
      <w:r w:rsidR="00B900F2">
        <w:t xml:space="preserve"> </w:t>
      </w:r>
      <w:r w:rsidRPr="00264168">
        <w:rPr>
          <w:rFonts w:hint="eastAsia"/>
          <w:vertAlign w:val="superscript"/>
        </w:rPr>
        <w:t>†</w:t>
      </w:r>
      <w:r w:rsidRPr="00264168">
        <w:t xml:space="preserve"> These authors contributed equally</w:t>
      </w:r>
    </w:p>
    <w:p w14:paraId="223EBBEB" w14:textId="448F2823" w:rsidR="002C030F" w:rsidRDefault="002C030F"/>
    <w:p w14:paraId="43038FEC" w14:textId="77777777" w:rsidR="00DE5034" w:rsidRDefault="00DE5034"/>
    <w:p w14:paraId="6B069C4B" w14:textId="09FA32FD" w:rsidR="002C030F" w:rsidRPr="00DE5034" w:rsidRDefault="009743A9">
      <w:pPr>
        <w:rPr>
          <w:b/>
        </w:rPr>
      </w:pPr>
      <w:r>
        <w:rPr>
          <w:b/>
        </w:rPr>
        <w:t>Th</w:t>
      </w:r>
      <w:r w:rsidR="006B024D">
        <w:rPr>
          <w:b/>
        </w:rPr>
        <w:t>e</w:t>
      </w:r>
      <w:r>
        <w:rPr>
          <w:b/>
        </w:rPr>
        <w:t xml:space="preserve"> </w:t>
      </w:r>
      <w:r w:rsidR="00FF3896">
        <w:rPr>
          <w:b/>
        </w:rPr>
        <w:t>supplement</w:t>
      </w:r>
      <w:r>
        <w:rPr>
          <w:b/>
        </w:rPr>
        <w:t xml:space="preserve"> file </w:t>
      </w:r>
      <w:r w:rsidR="002C030F" w:rsidRPr="00262D72">
        <w:rPr>
          <w:b/>
        </w:rPr>
        <w:t>includes</w:t>
      </w:r>
      <w:bookmarkStart w:id="3" w:name="_GoBack"/>
      <w:bookmarkEnd w:id="3"/>
      <w:r w:rsidR="002C030F" w:rsidRPr="00262D72">
        <w:rPr>
          <w:b/>
        </w:rPr>
        <w:t>:</w:t>
      </w:r>
    </w:p>
    <w:p w14:paraId="7FC81517" w14:textId="4080633A" w:rsidR="002C030F" w:rsidRDefault="00C10A32" w:rsidP="00774E5E">
      <w:pPr>
        <w:spacing w:line="360" w:lineRule="exact"/>
        <w:ind w:left="720"/>
        <w:rPr>
          <w:lang w:eastAsia="zh-CN"/>
        </w:rPr>
      </w:pPr>
      <w:r>
        <w:t xml:space="preserve">Supplementary </w:t>
      </w:r>
      <w:r w:rsidR="002C030F">
        <w:t>Fig</w:t>
      </w:r>
      <w:r w:rsidR="00422ACF">
        <w:t>ures</w:t>
      </w:r>
      <w:r>
        <w:t xml:space="preserve"> </w:t>
      </w:r>
      <w:r w:rsidR="002C030F">
        <w:t>1</w:t>
      </w:r>
      <w:r w:rsidR="00A3403B">
        <w:t xml:space="preserve"> to </w:t>
      </w:r>
      <w:r w:rsidR="00B900F2">
        <w:t>1</w:t>
      </w:r>
      <w:r w:rsidR="00254DD1">
        <w:t>6</w:t>
      </w:r>
    </w:p>
    <w:p w14:paraId="39DE064C" w14:textId="6A284783" w:rsidR="002C030F" w:rsidRDefault="002C030F" w:rsidP="00774E5E">
      <w:pPr>
        <w:spacing w:line="360" w:lineRule="exact"/>
        <w:ind w:left="720"/>
      </w:pPr>
      <w:r>
        <w:t>Tables S1</w:t>
      </w:r>
      <w:r w:rsidR="00A3403B">
        <w:t xml:space="preserve"> to </w:t>
      </w:r>
      <w:r>
        <w:t>S</w:t>
      </w:r>
      <w:r w:rsidR="00BF6427">
        <w:t>2</w:t>
      </w:r>
    </w:p>
    <w:p w14:paraId="4DABBE64" w14:textId="150B294A" w:rsidR="00EF0DD7" w:rsidRDefault="00C7512D" w:rsidP="00AE15BD">
      <w:pPr>
        <w:jc w:val="center"/>
      </w:pPr>
      <w:bookmarkStart w:id="4" w:name="Tables"/>
      <w:bookmarkStart w:id="5" w:name="MaterialsMethods"/>
      <w:bookmarkEnd w:id="4"/>
      <w:bookmarkEnd w:id="5"/>
      <w:r>
        <w:rPr>
          <w:noProof/>
        </w:rPr>
        <w:lastRenderedPageBreak/>
        <w:drawing>
          <wp:inline distT="0" distB="0" distL="0" distR="0" wp14:anchorId="2FF533FA" wp14:editId="360AA854">
            <wp:extent cx="5072933" cy="476651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1_annual_mean_BF_after_PPT_FP_clip.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82387" cy="4775398"/>
                    </a:xfrm>
                    <a:prstGeom prst="rect">
                      <a:avLst/>
                    </a:prstGeom>
                  </pic:spPr>
                </pic:pic>
              </a:graphicData>
            </a:graphic>
          </wp:inline>
        </w:drawing>
      </w:r>
    </w:p>
    <w:p w14:paraId="683BC54F" w14:textId="1D1A718B" w:rsidR="00C7512D" w:rsidRDefault="00620B27" w:rsidP="00206FCB">
      <w:pPr>
        <w:spacing w:before="120" w:after="120" w:line="360" w:lineRule="exact"/>
        <w:jc w:val="both"/>
      </w:pPr>
      <w:r>
        <w:rPr>
          <w:b/>
        </w:rPr>
        <w:t xml:space="preserve">Supplementary </w:t>
      </w:r>
      <w:r w:rsidR="00C7512D" w:rsidRPr="00176C31">
        <w:rPr>
          <w:b/>
        </w:rPr>
        <w:t xml:space="preserve">Fig. </w:t>
      </w:r>
      <w:r w:rsidR="00127848">
        <w:rPr>
          <w:b/>
        </w:rPr>
        <w:t>1</w:t>
      </w:r>
      <w:r>
        <w:rPr>
          <w:b/>
        </w:rPr>
        <w:t xml:space="preserve"> |</w:t>
      </w:r>
      <w:r w:rsidR="00C7512D">
        <w:rPr>
          <w:b/>
        </w:rPr>
        <w:t xml:space="preserve"> A</w:t>
      </w:r>
      <w:r w:rsidR="00C7512D">
        <w:rPr>
          <w:rFonts w:hint="eastAsia"/>
          <w:b/>
          <w:lang w:eastAsia="zh-CN"/>
        </w:rPr>
        <w:t>nnu</w:t>
      </w:r>
      <w:r w:rsidR="00C7512D">
        <w:rPr>
          <w:b/>
        </w:rPr>
        <w:t>al mean burned area after</w:t>
      </w:r>
      <w:r w:rsidR="007E7707">
        <w:rPr>
          <w:b/>
        </w:rPr>
        <w:t xml:space="preserve"> CSIF-derived</w:t>
      </w:r>
      <w:r w:rsidR="00C7512D">
        <w:rPr>
          <w:b/>
        </w:rPr>
        <w:t xml:space="preserve"> peak photosynthesis timing (PPT) from 2002 to 2018</w:t>
      </w:r>
      <w:r w:rsidR="00206FCB">
        <w:rPr>
          <w:b/>
        </w:rPr>
        <w:t xml:space="preserve"> </w:t>
      </w:r>
      <w:r w:rsidR="00206FCB">
        <w:rPr>
          <w:rFonts w:hint="eastAsia"/>
          <w:b/>
          <w:lang w:eastAsia="zh-CN"/>
        </w:rPr>
        <w:t>for</w:t>
      </w:r>
      <w:r w:rsidR="00206FCB">
        <w:rPr>
          <w:b/>
        </w:rPr>
        <w:t xml:space="preserve"> fire perimeters data</w:t>
      </w:r>
      <w:r w:rsidR="00C7512D" w:rsidRPr="00176C31">
        <w:rPr>
          <w:b/>
        </w:rPr>
        <w:t xml:space="preserve">. </w:t>
      </w:r>
      <w:r w:rsidR="00206FCB">
        <w:t>Fire perimeters data include the National Burned Area Composite (NBAC) for Canada, and Monitoring Trend</w:t>
      </w:r>
      <w:r w:rsidR="005058D0">
        <w:t>s</w:t>
      </w:r>
      <w:r w:rsidR="00206FCB">
        <w:t xml:space="preserve"> in Burn Severity (MTBS) for </w:t>
      </w:r>
      <w:r w:rsidR="00924A88">
        <w:t xml:space="preserve">the </w:t>
      </w:r>
      <w:r w:rsidR="00206FCB">
        <w:t>US</w:t>
      </w:r>
      <w:r w:rsidR="00C7512D" w:rsidRPr="004B7443">
        <w:t>. Burned area was expressed as the fraction of a grid cell that burns at 0.25°</w:t>
      </w:r>
      <w:r w:rsidR="007E7AD3">
        <w:t xml:space="preserve"> </w:t>
      </w:r>
      <w:r w:rsidR="00C7512D" w:rsidRPr="004B7443">
        <w:t>resolution.</w:t>
      </w:r>
    </w:p>
    <w:p w14:paraId="2B88B484" w14:textId="77777777" w:rsidR="00ED4DB7" w:rsidRDefault="00ED4DB7" w:rsidP="00206FCB">
      <w:pPr>
        <w:spacing w:before="120" w:after="120" w:line="360" w:lineRule="exact"/>
        <w:jc w:val="both"/>
      </w:pPr>
    </w:p>
    <w:p w14:paraId="29EF3836" w14:textId="77777777" w:rsidR="00EF0DD7" w:rsidRDefault="00EF0DD7" w:rsidP="00AE15BD">
      <w:pPr>
        <w:jc w:val="center"/>
        <w:sectPr w:rsidR="00EF0DD7" w:rsidSect="00B63B5C">
          <w:headerReference w:type="default" r:id="rId11"/>
          <w:footerReference w:type="default" r:id="rId12"/>
          <w:pgSz w:w="12240" w:h="15840"/>
          <w:pgMar w:top="1440" w:right="1440" w:bottom="1440" w:left="1440" w:header="720" w:footer="720" w:gutter="0"/>
          <w:lnNumType w:countBy="1" w:restart="continuous"/>
          <w:cols w:space="720"/>
          <w:docGrid w:linePitch="360"/>
        </w:sectPr>
      </w:pPr>
    </w:p>
    <w:p w14:paraId="25E44266" w14:textId="7F3AC3EE" w:rsidR="00E770E2" w:rsidRDefault="004D5509" w:rsidP="00AE15BD">
      <w:pPr>
        <w:jc w:val="center"/>
      </w:pPr>
      <w:r>
        <w:rPr>
          <w:noProof/>
        </w:rPr>
        <w:lastRenderedPageBreak/>
        <w:drawing>
          <wp:inline distT="0" distB="0" distL="0" distR="0" wp14:anchorId="0C7B6EC9" wp14:editId="14B8F94F">
            <wp:extent cx="5931673" cy="360958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2_annual_mean_BF_after_PPT_MODIS_v2_clip_noNDVI_ncc.png"/>
                    <pic:cNvPicPr/>
                  </pic:nvPicPr>
                  <pic:blipFill>
                    <a:blip r:embed="rId13"/>
                    <a:stretch>
                      <a:fillRect/>
                    </a:stretch>
                  </pic:blipFill>
                  <pic:spPr>
                    <a:xfrm>
                      <a:off x="0" y="0"/>
                      <a:ext cx="5957261" cy="3625155"/>
                    </a:xfrm>
                    <a:prstGeom prst="rect">
                      <a:avLst/>
                    </a:prstGeom>
                  </pic:spPr>
                </pic:pic>
              </a:graphicData>
            </a:graphic>
          </wp:inline>
        </w:drawing>
      </w:r>
    </w:p>
    <w:p w14:paraId="3DE1AE37" w14:textId="1F100FDD" w:rsidR="00AE15BD" w:rsidRDefault="00864E30" w:rsidP="00E122F4">
      <w:pPr>
        <w:spacing w:before="120" w:after="120" w:line="360" w:lineRule="exact"/>
        <w:jc w:val="both"/>
      </w:pPr>
      <w:r>
        <w:rPr>
          <w:b/>
        </w:rPr>
        <w:t xml:space="preserve">Supplementary </w:t>
      </w:r>
      <w:r w:rsidR="00176C31" w:rsidRPr="00176C31">
        <w:rPr>
          <w:b/>
        </w:rPr>
        <w:t xml:space="preserve">Fig. </w:t>
      </w:r>
      <w:r w:rsidR="00EF0DD7">
        <w:rPr>
          <w:b/>
        </w:rPr>
        <w:t>2</w:t>
      </w:r>
      <w:r>
        <w:rPr>
          <w:b/>
        </w:rPr>
        <w:t xml:space="preserve"> |</w:t>
      </w:r>
      <w:r w:rsidR="004B7443">
        <w:rPr>
          <w:b/>
        </w:rPr>
        <w:t xml:space="preserve"> A</w:t>
      </w:r>
      <w:r w:rsidR="004B7443">
        <w:rPr>
          <w:rFonts w:hint="eastAsia"/>
          <w:b/>
          <w:lang w:eastAsia="zh-CN"/>
        </w:rPr>
        <w:t>nnu</w:t>
      </w:r>
      <w:r w:rsidR="004B7443">
        <w:rPr>
          <w:b/>
        </w:rPr>
        <w:t xml:space="preserve">al mean </w:t>
      </w:r>
      <w:r w:rsidR="00576073">
        <w:rPr>
          <w:b/>
        </w:rPr>
        <w:t xml:space="preserve">global </w:t>
      </w:r>
      <w:r w:rsidR="004B7443">
        <w:rPr>
          <w:b/>
        </w:rPr>
        <w:t>burned area after peak photosynthesis timing (PPT) from 2002 to 2018</w:t>
      </w:r>
      <w:r w:rsidR="00176C31" w:rsidRPr="00176C31">
        <w:rPr>
          <w:b/>
        </w:rPr>
        <w:t xml:space="preserve">. </w:t>
      </w:r>
      <w:r w:rsidR="004B7443" w:rsidRPr="004B7443">
        <w:t xml:space="preserve">PPT was derived from </w:t>
      </w:r>
      <w:r w:rsidR="00FA0F0F">
        <w:t>CSIF (</w:t>
      </w:r>
      <w:r w:rsidR="00B973CB">
        <w:rPr>
          <w:b/>
        </w:rPr>
        <w:t>a</w:t>
      </w:r>
      <w:r w:rsidR="00FA0F0F">
        <w:t xml:space="preserve">), </w:t>
      </w:r>
      <w:r w:rsidR="004B7443" w:rsidRPr="004B7443">
        <w:t>GOSIF (</w:t>
      </w:r>
      <w:r w:rsidR="00B973CB">
        <w:rPr>
          <w:b/>
        </w:rPr>
        <w:t>b</w:t>
      </w:r>
      <w:r w:rsidR="004B7443" w:rsidRPr="004B7443">
        <w:t>), LCSIF (</w:t>
      </w:r>
      <w:r w:rsidR="00B973CB">
        <w:rPr>
          <w:b/>
        </w:rPr>
        <w:t>c</w:t>
      </w:r>
      <w:r w:rsidR="004B7443" w:rsidRPr="004B7443">
        <w:t>),</w:t>
      </w:r>
      <w:r w:rsidR="00FB441B">
        <w:t xml:space="preserve"> and</w:t>
      </w:r>
      <w:r w:rsidR="004B7443" w:rsidRPr="004B7443">
        <w:t xml:space="preserve"> </w:t>
      </w:r>
      <w:proofErr w:type="spellStart"/>
      <w:r w:rsidR="004B7443" w:rsidRPr="004B7443">
        <w:t>LT</w:t>
      </w:r>
      <w:r w:rsidR="00B15EB0">
        <w:t>_</w:t>
      </w:r>
      <w:r w:rsidR="004B7443" w:rsidRPr="004B7443">
        <w:t>SIFc</w:t>
      </w:r>
      <w:proofErr w:type="spellEnd"/>
      <w:r w:rsidR="004B7443" w:rsidRPr="004B7443">
        <w:t xml:space="preserve"> (</w:t>
      </w:r>
      <w:r w:rsidR="00B973CB">
        <w:rPr>
          <w:b/>
        </w:rPr>
        <w:t>d</w:t>
      </w:r>
      <w:r w:rsidR="004B7443" w:rsidRPr="004B7443">
        <w:t>). Burned area was derived from MCD64A1 V6. Burned area was expressed as the fraction of a grid cell that burns at 0.25°</w:t>
      </w:r>
      <w:r w:rsidR="001E02B5">
        <w:t xml:space="preserve"> </w:t>
      </w:r>
      <w:r w:rsidR="004B7443" w:rsidRPr="004B7443">
        <w:t>resolution.</w:t>
      </w:r>
    </w:p>
    <w:p w14:paraId="6AC01BA0" w14:textId="5A70C6BC" w:rsidR="00176C31" w:rsidRDefault="00176C31" w:rsidP="00E122F4">
      <w:pPr>
        <w:spacing w:before="120" w:after="120" w:line="360" w:lineRule="exact"/>
        <w:jc w:val="both"/>
      </w:pPr>
      <w:r>
        <w:br w:type="page"/>
      </w:r>
    </w:p>
    <w:p w14:paraId="3384F38A" w14:textId="78733387" w:rsidR="00176C31" w:rsidRDefault="003E7671" w:rsidP="00176C31">
      <w:pPr>
        <w:spacing w:before="120" w:after="120" w:line="360" w:lineRule="auto"/>
        <w:jc w:val="center"/>
      </w:pPr>
      <w:r>
        <w:rPr>
          <w:noProof/>
        </w:rPr>
        <w:lastRenderedPageBreak/>
        <w:drawing>
          <wp:inline distT="0" distB="0" distL="0" distR="0" wp14:anchorId="768CC683" wp14:editId="6EE9A8A7">
            <wp:extent cx="5891917" cy="644695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_annual_mean_std_PPT_clip_noNDVI_ncc.png"/>
                    <pic:cNvPicPr/>
                  </pic:nvPicPr>
                  <pic:blipFill>
                    <a:blip r:embed="rId14"/>
                    <a:stretch>
                      <a:fillRect/>
                    </a:stretch>
                  </pic:blipFill>
                  <pic:spPr>
                    <a:xfrm>
                      <a:off x="0" y="0"/>
                      <a:ext cx="5904336" cy="6460541"/>
                    </a:xfrm>
                    <a:prstGeom prst="rect">
                      <a:avLst/>
                    </a:prstGeom>
                  </pic:spPr>
                </pic:pic>
              </a:graphicData>
            </a:graphic>
          </wp:inline>
        </w:drawing>
      </w:r>
    </w:p>
    <w:p w14:paraId="4E3AC7F9" w14:textId="2453A152" w:rsidR="00176C31" w:rsidRDefault="006204B8" w:rsidP="00413B30">
      <w:pPr>
        <w:spacing w:before="120" w:after="120" w:line="360" w:lineRule="exact"/>
        <w:jc w:val="both"/>
        <w:rPr>
          <w:b/>
        </w:rPr>
      </w:pPr>
      <w:r>
        <w:rPr>
          <w:b/>
          <w:bCs/>
        </w:rPr>
        <w:t xml:space="preserve">Supplementary </w:t>
      </w:r>
      <w:r w:rsidR="00176C31">
        <w:rPr>
          <w:b/>
          <w:bCs/>
        </w:rPr>
        <w:t>Fig.</w:t>
      </w:r>
      <w:r>
        <w:rPr>
          <w:b/>
          <w:bCs/>
        </w:rPr>
        <w:t xml:space="preserve"> </w:t>
      </w:r>
      <w:r w:rsidR="00EF0DD7">
        <w:rPr>
          <w:b/>
          <w:bCs/>
        </w:rPr>
        <w:t>3</w:t>
      </w:r>
      <w:r>
        <w:rPr>
          <w:b/>
          <w:bCs/>
        </w:rPr>
        <w:t xml:space="preserve"> |</w:t>
      </w:r>
      <w:r w:rsidR="00176C31">
        <w:rPr>
          <w:b/>
          <w:bCs/>
        </w:rPr>
        <w:t xml:space="preserve"> Annual mean</w:t>
      </w:r>
      <w:r w:rsidR="005C2093">
        <w:rPr>
          <w:b/>
          <w:bCs/>
        </w:rPr>
        <w:t xml:space="preserve"> (left)</w:t>
      </w:r>
      <w:r w:rsidR="00176C31">
        <w:rPr>
          <w:b/>
          <w:bCs/>
        </w:rPr>
        <w:t xml:space="preserve"> and</w:t>
      </w:r>
      <w:r w:rsidR="005C2093">
        <w:rPr>
          <w:b/>
          <w:bCs/>
        </w:rPr>
        <w:t xml:space="preserve"> standard deviation (right) of </w:t>
      </w:r>
      <w:r w:rsidR="00062C3F">
        <w:rPr>
          <w:b/>
          <w:bCs/>
        </w:rPr>
        <w:t xml:space="preserve">global </w:t>
      </w:r>
      <w:r w:rsidR="005C2093">
        <w:rPr>
          <w:b/>
          <w:bCs/>
        </w:rPr>
        <w:t>PPT</w:t>
      </w:r>
      <w:r w:rsidR="00176C31">
        <w:rPr>
          <w:b/>
          <w:bCs/>
        </w:rPr>
        <w:t xml:space="preserve"> over </w:t>
      </w:r>
      <w:r w:rsidR="00176C31" w:rsidRPr="0077182B">
        <w:rPr>
          <w:b/>
          <w:bCs/>
        </w:rPr>
        <w:t>2002</w:t>
      </w:r>
      <w:r w:rsidR="00176C31" w:rsidRPr="0077182B">
        <w:rPr>
          <w:b/>
        </w:rPr>
        <w:t>–20</w:t>
      </w:r>
      <w:r w:rsidR="005C2093">
        <w:rPr>
          <w:b/>
        </w:rPr>
        <w:t>18 for CSIF (</w:t>
      </w:r>
      <w:r w:rsidR="003E7671">
        <w:rPr>
          <w:b/>
        </w:rPr>
        <w:t>a</w:t>
      </w:r>
      <w:r w:rsidR="005C2093">
        <w:rPr>
          <w:b/>
        </w:rPr>
        <w:t>-</w:t>
      </w:r>
      <w:r w:rsidR="003E7671">
        <w:rPr>
          <w:b/>
        </w:rPr>
        <w:t>b</w:t>
      </w:r>
      <w:r w:rsidR="005C2093">
        <w:rPr>
          <w:b/>
        </w:rPr>
        <w:t>), GOSIF (</w:t>
      </w:r>
      <w:r w:rsidR="003E7671">
        <w:rPr>
          <w:b/>
        </w:rPr>
        <w:t>c</w:t>
      </w:r>
      <w:r w:rsidR="005C2093">
        <w:rPr>
          <w:b/>
        </w:rPr>
        <w:t>-</w:t>
      </w:r>
      <w:r w:rsidR="003E7671">
        <w:rPr>
          <w:b/>
        </w:rPr>
        <w:t>d</w:t>
      </w:r>
      <w:r w:rsidR="005C2093">
        <w:rPr>
          <w:b/>
        </w:rPr>
        <w:t>), LCSIF (</w:t>
      </w:r>
      <w:r w:rsidR="003E7671">
        <w:rPr>
          <w:b/>
        </w:rPr>
        <w:t>e</w:t>
      </w:r>
      <w:r w:rsidR="005C2093">
        <w:rPr>
          <w:b/>
        </w:rPr>
        <w:t>-</w:t>
      </w:r>
      <w:r w:rsidR="003E7671">
        <w:rPr>
          <w:b/>
        </w:rPr>
        <w:t>f</w:t>
      </w:r>
      <w:r w:rsidR="005C2093">
        <w:rPr>
          <w:b/>
        </w:rPr>
        <w:t>),</w:t>
      </w:r>
      <w:r w:rsidR="00116451">
        <w:rPr>
          <w:b/>
        </w:rPr>
        <w:t xml:space="preserve"> and</w:t>
      </w:r>
      <w:r w:rsidR="005C2093">
        <w:rPr>
          <w:b/>
        </w:rPr>
        <w:t xml:space="preserve"> </w:t>
      </w:r>
      <w:proofErr w:type="spellStart"/>
      <w:r w:rsidR="005C2093">
        <w:rPr>
          <w:b/>
        </w:rPr>
        <w:t>LT</w:t>
      </w:r>
      <w:r w:rsidR="00062C3F">
        <w:rPr>
          <w:b/>
        </w:rPr>
        <w:t>_</w:t>
      </w:r>
      <w:r w:rsidR="005C2093">
        <w:rPr>
          <w:b/>
        </w:rPr>
        <w:t>SIFc</w:t>
      </w:r>
      <w:proofErr w:type="spellEnd"/>
      <w:r w:rsidR="005C2093">
        <w:rPr>
          <w:b/>
        </w:rPr>
        <w:t xml:space="preserve"> (</w:t>
      </w:r>
      <w:r w:rsidR="003E7671">
        <w:rPr>
          <w:b/>
        </w:rPr>
        <w:t>g</w:t>
      </w:r>
      <w:r w:rsidR="005C2093">
        <w:rPr>
          <w:b/>
        </w:rPr>
        <w:t>-</w:t>
      </w:r>
      <w:r w:rsidR="003E7671">
        <w:rPr>
          <w:b/>
        </w:rPr>
        <w:t>h</w:t>
      </w:r>
      <w:r w:rsidR="005C2093">
        <w:rPr>
          <w:b/>
        </w:rPr>
        <w:t>)</w:t>
      </w:r>
      <w:r w:rsidR="00176C31" w:rsidRPr="0077182B">
        <w:rPr>
          <w:b/>
        </w:rPr>
        <w:t>.</w:t>
      </w:r>
    </w:p>
    <w:p w14:paraId="36D2460B" w14:textId="027C1EA6" w:rsidR="00176C31" w:rsidRDefault="00176C31" w:rsidP="00176C31">
      <w:pPr>
        <w:spacing w:before="120" w:after="120" w:line="360" w:lineRule="auto"/>
        <w:jc w:val="both"/>
      </w:pPr>
      <w:r>
        <w:br w:type="page"/>
      </w:r>
    </w:p>
    <w:p w14:paraId="3650B070" w14:textId="29333CEA" w:rsidR="003026D1" w:rsidRDefault="000A78A1" w:rsidP="003026D1">
      <w:pPr>
        <w:spacing w:before="120" w:after="120" w:line="360" w:lineRule="auto"/>
        <w:jc w:val="center"/>
      </w:pPr>
      <w:r>
        <w:rPr>
          <w:noProof/>
        </w:rPr>
        <w:lastRenderedPageBreak/>
        <w:drawing>
          <wp:inline distT="0" distB="0" distL="0" distR="0" wp14:anchorId="2DB4ACF5" wp14:editId="0209B9F2">
            <wp:extent cx="5748794" cy="6371487"/>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4_trend_PPT_MAX_v2_clip_noNDVI_ncc.png"/>
                    <pic:cNvPicPr/>
                  </pic:nvPicPr>
                  <pic:blipFill>
                    <a:blip r:embed="rId15"/>
                    <a:stretch>
                      <a:fillRect/>
                    </a:stretch>
                  </pic:blipFill>
                  <pic:spPr>
                    <a:xfrm>
                      <a:off x="0" y="0"/>
                      <a:ext cx="5764494" cy="6388887"/>
                    </a:xfrm>
                    <a:prstGeom prst="rect">
                      <a:avLst/>
                    </a:prstGeom>
                  </pic:spPr>
                </pic:pic>
              </a:graphicData>
            </a:graphic>
          </wp:inline>
        </w:drawing>
      </w:r>
    </w:p>
    <w:p w14:paraId="508D9838" w14:textId="1267AE37" w:rsidR="003026D1" w:rsidRPr="00A206D9" w:rsidRDefault="009D1B0A" w:rsidP="003026D1">
      <w:pPr>
        <w:spacing w:before="120" w:after="120" w:line="360" w:lineRule="auto"/>
        <w:jc w:val="both"/>
      </w:pPr>
      <w:r>
        <w:rPr>
          <w:b/>
          <w:bCs/>
        </w:rPr>
        <w:t xml:space="preserve">Supplementary </w:t>
      </w:r>
      <w:r w:rsidR="003026D1">
        <w:rPr>
          <w:b/>
          <w:bCs/>
        </w:rPr>
        <w:t xml:space="preserve">Fig. </w:t>
      </w:r>
      <w:r w:rsidR="00EF0DD7">
        <w:rPr>
          <w:b/>
          <w:bCs/>
        </w:rPr>
        <w:t>4</w:t>
      </w:r>
      <w:r>
        <w:rPr>
          <w:b/>
          <w:bCs/>
        </w:rPr>
        <w:t xml:space="preserve"> |</w:t>
      </w:r>
      <w:r w:rsidR="003026D1">
        <w:rPr>
          <w:b/>
          <w:bCs/>
        </w:rPr>
        <w:t xml:space="preserve"> </w:t>
      </w:r>
      <w:r w:rsidR="00571ED4">
        <w:rPr>
          <w:b/>
          <w:bCs/>
        </w:rPr>
        <w:t>T</w:t>
      </w:r>
      <w:r w:rsidR="00571ED4">
        <w:rPr>
          <w:rFonts w:hint="eastAsia"/>
          <w:b/>
          <w:bCs/>
          <w:lang w:eastAsia="zh-CN"/>
        </w:rPr>
        <w:t>re</w:t>
      </w:r>
      <w:r w:rsidR="00571ED4">
        <w:rPr>
          <w:b/>
          <w:bCs/>
        </w:rPr>
        <w:t>nds in peak photosynthesis timing (PPT; left) and max</w:t>
      </w:r>
      <w:r w:rsidR="00E969DE">
        <w:rPr>
          <w:b/>
          <w:bCs/>
        </w:rPr>
        <w:t>imum</w:t>
      </w:r>
      <w:r w:rsidR="00571ED4">
        <w:rPr>
          <w:b/>
          <w:bCs/>
        </w:rPr>
        <w:t xml:space="preserve"> photosynthesis (</w:t>
      </w:r>
      <w:proofErr w:type="spellStart"/>
      <w:r w:rsidR="00B40FD2">
        <w:rPr>
          <w:b/>
          <w:bCs/>
        </w:rPr>
        <w:t>SIF</w:t>
      </w:r>
      <w:r w:rsidR="00B40FD2" w:rsidRPr="00B40FD2">
        <w:rPr>
          <w:b/>
          <w:bCs/>
          <w:vertAlign w:val="subscript"/>
        </w:rPr>
        <w:t>max</w:t>
      </w:r>
      <w:proofErr w:type="spellEnd"/>
      <w:r w:rsidR="00571ED4">
        <w:rPr>
          <w:b/>
          <w:bCs/>
        </w:rPr>
        <w:t>; right)</w:t>
      </w:r>
      <w:r w:rsidR="003026D1">
        <w:rPr>
          <w:b/>
          <w:bCs/>
        </w:rPr>
        <w:t xml:space="preserve"> over 2002-20</w:t>
      </w:r>
      <w:r w:rsidR="00571ED4">
        <w:rPr>
          <w:b/>
          <w:bCs/>
        </w:rPr>
        <w:t>18 for CSIF (</w:t>
      </w:r>
      <w:r w:rsidR="00704857">
        <w:rPr>
          <w:b/>
          <w:bCs/>
        </w:rPr>
        <w:t>a</w:t>
      </w:r>
      <w:r w:rsidR="00571ED4">
        <w:rPr>
          <w:b/>
          <w:bCs/>
        </w:rPr>
        <w:t>-</w:t>
      </w:r>
      <w:r w:rsidR="00704857">
        <w:rPr>
          <w:b/>
          <w:bCs/>
        </w:rPr>
        <w:t>b</w:t>
      </w:r>
      <w:r w:rsidR="00571ED4">
        <w:rPr>
          <w:b/>
          <w:bCs/>
        </w:rPr>
        <w:t>), GOSIF (</w:t>
      </w:r>
      <w:r w:rsidR="00704857">
        <w:rPr>
          <w:b/>
          <w:bCs/>
        </w:rPr>
        <w:t>c</w:t>
      </w:r>
      <w:r w:rsidR="00571ED4">
        <w:rPr>
          <w:b/>
          <w:bCs/>
        </w:rPr>
        <w:t>-</w:t>
      </w:r>
      <w:r w:rsidR="00704857">
        <w:rPr>
          <w:b/>
          <w:bCs/>
        </w:rPr>
        <w:t>d</w:t>
      </w:r>
      <w:r w:rsidR="00571ED4">
        <w:rPr>
          <w:b/>
          <w:bCs/>
        </w:rPr>
        <w:t>), LCSIF (</w:t>
      </w:r>
      <w:r w:rsidR="00704857">
        <w:rPr>
          <w:b/>
          <w:bCs/>
        </w:rPr>
        <w:t>e</w:t>
      </w:r>
      <w:r w:rsidR="00571ED4">
        <w:rPr>
          <w:b/>
          <w:bCs/>
        </w:rPr>
        <w:t>-</w:t>
      </w:r>
      <w:r w:rsidR="00704857">
        <w:rPr>
          <w:b/>
          <w:bCs/>
        </w:rPr>
        <w:t>f</w:t>
      </w:r>
      <w:r w:rsidR="00571ED4">
        <w:rPr>
          <w:b/>
          <w:bCs/>
        </w:rPr>
        <w:t xml:space="preserve">), </w:t>
      </w:r>
      <w:r w:rsidR="002D5C16">
        <w:rPr>
          <w:b/>
          <w:bCs/>
        </w:rPr>
        <w:t xml:space="preserve">and </w:t>
      </w:r>
      <w:proofErr w:type="spellStart"/>
      <w:r w:rsidR="00571ED4">
        <w:rPr>
          <w:b/>
          <w:bCs/>
        </w:rPr>
        <w:t>LT</w:t>
      </w:r>
      <w:r w:rsidR="004E688A">
        <w:rPr>
          <w:b/>
          <w:bCs/>
        </w:rPr>
        <w:t>_</w:t>
      </w:r>
      <w:r w:rsidR="00571ED4">
        <w:rPr>
          <w:b/>
          <w:bCs/>
        </w:rPr>
        <w:t>SIFc</w:t>
      </w:r>
      <w:proofErr w:type="spellEnd"/>
      <w:r w:rsidR="00571ED4">
        <w:rPr>
          <w:b/>
          <w:bCs/>
        </w:rPr>
        <w:t xml:space="preserve"> (</w:t>
      </w:r>
      <w:r w:rsidR="00704857">
        <w:rPr>
          <w:b/>
          <w:bCs/>
        </w:rPr>
        <w:t>g</w:t>
      </w:r>
      <w:r w:rsidR="00571ED4">
        <w:rPr>
          <w:b/>
          <w:bCs/>
        </w:rPr>
        <w:t>-</w:t>
      </w:r>
      <w:r w:rsidR="00704857">
        <w:rPr>
          <w:b/>
          <w:bCs/>
        </w:rPr>
        <w:t>h</w:t>
      </w:r>
      <w:r w:rsidR="00571ED4">
        <w:rPr>
          <w:b/>
          <w:bCs/>
        </w:rPr>
        <w:t>).</w:t>
      </w:r>
      <w:r w:rsidR="00A206D9">
        <w:rPr>
          <w:b/>
          <w:bCs/>
        </w:rPr>
        <w:t xml:space="preserve"> </w:t>
      </w:r>
      <w:r w:rsidR="007A355C" w:rsidRPr="007A355C">
        <w:rPr>
          <w:bCs/>
        </w:rPr>
        <w:t xml:space="preserve">Labels in </w:t>
      </w:r>
      <w:r w:rsidR="007A355C">
        <w:rPr>
          <w:bCs/>
        </w:rPr>
        <w:t>the left</w:t>
      </w:r>
      <w:r w:rsidR="007A355C" w:rsidRPr="007A355C">
        <w:rPr>
          <w:bCs/>
        </w:rPr>
        <w:t xml:space="preserve"> indicate the percentage of areas shown delayed and advanced PPT.</w:t>
      </w:r>
      <w:r w:rsidR="007A355C">
        <w:rPr>
          <w:b/>
          <w:bCs/>
        </w:rPr>
        <w:t xml:space="preserve"> </w:t>
      </w:r>
      <w:r w:rsidR="00A206D9" w:rsidRPr="00A206D9">
        <w:rPr>
          <w:bCs/>
        </w:rPr>
        <w:t xml:space="preserve">P and N indicate </w:t>
      </w:r>
      <w:r w:rsidR="009A28F4">
        <w:rPr>
          <w:bCs/>
        </w:rPr>
        <w:t xml:space="preserve">the percentage of </w:t>
      </w:r>
      <w:r w:rsidR="00A206D9" w:rsidRPr="00A206D9">
        <w:rPr>
          <w:bCs/>
        </w:rPr>
        <w:t>increased and decreased max</w:t>
      </w:r>
      <w:r w:rsidR="00E969DE">
        <w:rPr>
          <w:bCs/>
        </w:rPr>
        <w:t>imum</w:t>
      </w:r>
      <w:r w:rsidR="00A206D9" w:rsidRPr="00A206D9">
        <w:rPr>
          <w:bCs/>
        </w:rPr>
        <w:t xml:space="preserve"> photosynthesis, respectively.</w:t>
      </w:r>
      <w:r w:rsidR="004D38F3">
        <w:rPr>
          <w:bCs/>
        </w:rPr>
        <w:t xml:space="preserve"> Black dots indicate regions with significant trends (</w:t>
      </w:r>
      <w:r w:rsidR="004D38F3" w:rsidRPr="004D38F3">
        <w:rPr>
          <w:bCs/>
          <w:i/>
        </w:rPr>
        <w:t>p</w:t>
      </w:r>
      <w:r w:rsidR="004D38F3">
        <w:rPr>
          <w:bCs/>
        </w:rPr>
        <w:t>-value &lt; 0.05).</w:t>
      </w:r>
    </w:p>
    <w:p w14:paraId="5C85CB5B" w14:textId="0A02758B" w:rsidR="003026D1" w:rsidRDefault="003026D1" w:rsidP="003026D1">
      <w:pPr>
        <w:spacing w:before="120" w:after="120" w:line="360" w:lineRule="auto"/>
        <w:jc w:val="both"/>
      </w:pPr>
      <w:r>
        <w:br w:type="page"/>
      </w:r>
    </w:p>
    <w:p w14:paraId="76E3A8DF" w14:textId="586C4684" w:rsidR="00A27214" w:rsidRDefault="00471600" w:rsidP="008D2843">
      <w:pPr>
        <w:spacing w:before="120" w:after="120" w:line="360" w:lineRule="auto"/>
        <w:jc w:val="center"/>
      </w:pPr>
      <w:r>
        <w:rPr>
          <w:noProof/>
        </w:rPr>
        <w:lastRenderedPageBreak/>
        <w:drawing>
          <wp:inline distT="0" distB="0" distL="0" distR="0" wp14:anchorId="4CDA2BF7" wp14:editId="41A168DF">
            <wp:extent cx="5955225" cy="3029447"/>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9_PPT_vs_BF_robust_clip_noNDVI_ncc.png"/>
                    <pic:cNvPicPr/>
                  </pic:nvPicPr>
                  <pic:blipFill>
                    <a:blip r:embed="rId16"/>
                    <a:stretch>
                      <a:fillRect/>
                    </a:stretch>
                  </pic:blipFill>
                  <pic:spPr>
                    <a:xfrm>
                      <a:off x="0" y="0"/>
                      <a:ext cx="5994002" cy="3049173"/>
                    </a:xfrm>
                    <a:prstGeom prst="rect">
                      <a:avLst/>
                    </a:prstGeom>
                  </pic:spPr>
                </pic:pic>
              </a:graphicData>
            </a:graphic>
          </wp:inline>
        </w:drawing>
      </w:r>
    </w:p>
    <w:p w14:paraId="1057C1D9" w14:textId="01ACF91E" w:rsidR="00734E0F" w:rsidRDefault="00136DA9" w:rsidP="00734E0F">
      <w:pPr>
        <w:spacing w:before="120" w:after="120" w:line="360" w:lineRule="auto"/>
        <w:jc w:val="both"/>
      </w:pPr>
      <w:r>
        <w:rPr>
          <w:b/>
          <w:bCs/>
        </w:rPr>
        <w:t xml:space="preserve">Supplementary </w:t>
      </w:r>
      <w:r w:rsidR="00734E0F">
        <w:rPr>
          <w:b/>
          <w:bCs/>
        </w:rPr>
        <w:t xml:space="preserve">Fig. </w:t>
      </w:r>
      <w:r>
        <w:rPr>
          <w:b/>
          <w:bCs/>
        </w:rPr>
        <w:t>5 |</w:t>
      </w:r>
      <w:r w:rsidR="00734E0F">
        <w:rPr>
          <w:b/>
          <w:bCs/>
        </w:rPr>
        <w:t xml:space="preserve"> Robustness of the relationship between peak photosynthesis timing (PPT) and </w:t>
      </w:r>
      <w:r w:rsidR="004D38F3">
        <w:rPr>
          <w:b/>
          <w:bCs/>
        </w:rPr>
        <w:t xml:space="preserve">subsequent </w:t>
      </w:r>
      <w:r w:rsidR="00734E0F">
        <w:rPr>
          <w:b/>
          <w:bCs/>
        </w:rPr>
        <w:t xml:space="preserve">burned area. </w:t>
      </w:r>
      <w:r w:rsidR="00734E0F" w:rsidRPr="00FE5FDE">
        <w:rPr>
          <w:bCs/>
        </w:rPr>
        <w:t>PPT w</w:t>
      </w:r>
      <w:r w:rsidR="00E96230">
        <w:rPr>
          <w:bCs/>
        </w:rPr>
        <w:t>as</w:t>
      </w:r>
      <w:r w:rsidR="00734E0F" w:rsidRPr="00FE5FDE">
        <w:rPr>
          <w:bCs/>
        </w:rPr>
        <w:t xml:space="preserve"> derived from GOSIF (</w:t>
      </w:r>
      <w:r w:rsidR="00DA166E">
        <w:rPr>
          <w:b/>
          <w:bCs/>
        </w:rPr>
        <w:t>a</w:t>
      </w:r>
      <w:r w:rsidR="00734E0F" w:rsidRPr="00FE5FDE">
        <w:rPr>
          <w:bCs/>
        </w:rPr>
        <w:t>), LCSIF (</w:t>
      </w:r>
      <w:r w:rsidR="00DA166E">
        <w:rPr>
          <w:b/>
          <w:bCs/>
        </w:rPr>
        <w:t>b</w:t>
      </w:r>
      <w:r w:rsidR="00734E0F" w:rsidRPr="00FE5FDE">
        <w:rPr>
          <w:bCs/>
        </w:rPr>
        <w:t xml:space="preserve">), </w:t>
      </w:r>
      <w:r w:rsidR="008D0AB0">
        <w:rPr>
          <w:bCs/>
        </w:rPr>
        <w:t xml:space="preserve">and </w:t>
      </w:r>
      <w:proofErr w:type="spellStart"/>
      <w:r w:rsidR="00734E0F" w:rsidRPr="00FE5FDE">
        <w:rPr>
          <w:bCs/>
        </w:rPr>
        <w:t>LT</w:t>
      </w:r>
      <w:r w:rsidR="00E96230">
        <w:rPr>
          <w:bCs/>
        </w:rPr>
        <w:t>_</w:t>
      </w:r>
      <w:r w:rsidR="00734E0F" w:rsidRPr="00FE5FDE">
        <w:rPr>
          <w:bCs/>
        </w:rPr>
        <w:t>SIFc</w:t>
      </w:r>
      <w:proofErr w:type="spellEnd"/>
      <w:r w:rsidR="00734E0F" w:rsidRPr="00FE5FDE">
        <w:rPr>
          <w:bCs/>
        </w:rPr>
        <w:t xml:space="preserve"> (</w:t>
      </w:r>
      <w:r w:rsidR="00DA166E">
        <w:rPr>
          <w:b/>
          <w:bCs/>
        </w:rPr>
        <w:t>c</w:t>
      </w:r>
      <w:r w:rsidR="00734E0F" w:rsidRPr="00FE5FDE">
        <w:rPr>
          <w:bCs/>
        </w:rPr>
        <w:t>).</w:t>
      </w:r>
      <w:r w:rsidR="00734E0F">
        <w:rPr>
          <w:bCs/>
        </w:rPr>
        <w:t xml:space="preserve"> P and N indicate the percentage of positive and negative correlation, respectively.</w:t>
      </w:r>
      <w:r w:rsidR="004D38F3">
        <w:rPr>
          <w:bCs/>
        </w:rPr>
        <w:t xml:space="preserve"> Black dots indicate</w:t>
      </w:r>
      <w:r w:rsidR="00F705BE">
        <w:rPr>
          <w:bCs/>
        </w:rPr>
        <w:t xml:space="preserve"> </w:t>
      </w:r>
      <w:r w:rsidR="004D38F3">
        <w:rPr>
          <w:bCs/>
        </w:rPr>
        <w:t xml:space="preserve">regions with significant </w:t>
      </w:r>
      <w:r w:rsidR="00F705BE">
        <w:rPr>
          <w:bCs/>
        </w:rPr>
        <w:t xml:space="preserve">partial </w:t>
      </w:r>
      <w:r w:rsidR="004D38F3">
        <w:rPr>
          <w:bCs/>
        </w:rPr>
        <w:t>correlations (</w:t>
      </w:r>
      <w:r w:rsidR="004D38F3" w:rsidRPr="004D38F3">
        <w:rPr>
          <w:bCs/>
          <w:i/>
        </w:rPr>
        <w:t>p</w:t>
      </w:r>
      <w:r w:rsidR="004D38F3">
        <w:rPr>
          <w:bCs/>
        </w:rPr>
        <w:t>-value &lt; 0.05).</w:t>
      </w:r>
    </w:p>
    <w:p w14:paraId="586456EF" w14:textId="77777777" w:rsidR="00A27214" w:rsidRDefault="00A27214" w:rsidP="008D2843">
      <w:pPr>
        <w:spacing w:before="120" w:after="120" w:line="360" w:lineRule="auto"/>
        <w:jc w:val="center"/>
        <w:sectPr w:rsidR="00A27214" w:rsidSect="00B63B5C">
          <w:pgSz w:w="12240" w:h="15840"/>
          <w:pgMar w:top="1440" w:right="1440" w:bottom="1440" w:left="1440" w:header="720" w:footer="720" w:gutter="0"/>
          <w:lnNumType w:countBy="1" w:restart="continuous"/>
          <w:cols w:space="720"/>
          <w:docGrid w:linePitch="360"/>
        </w:sectPr>
      </w:pPr>
    </w:p>
    <w:p w14:paraId="0D4575F0" w14:textId="640E814F" w:rsidR="003A3501" w:rsidRDefault="00C9336B" w:rsidP="003A3501">
      <w:pPr>
        <w:spacing w:before="120" w:after="120" w:line="360" w:lineRule="auto"/>
        <w:jc w:val="center"/>
      </w:pPr>
      <w:r>
        <w:rPr>
          <w:noProof/>
        </w:rPr>
        <w:lastRenderedPageBreak/>
        <w:drawing>
          <wp:inline distT="0" distB="0" distL="0" distR="0" wp14:anchorId="1B839ABA" wp14:editId="0B2C6DD8">
            <wp:extent cx="5274425" cy="5947576"/>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12_mechenisms_par_corr_robust_GOSIF_LCSIF_LTSIFc_clip_ncc.png"/>
                    <pic:cNvPicPr/>
                  </pic:nvPicPr>
                  <pic:blipFill>
                    <a:blip r:embed="rId17"/>
                    <a:stretch>
                      <a:fillRect/>
                    </a:stretch>
                  </pic:blipFill>
                  <pic:spPr>
                    <a:xfrm>
                      <a:off x="0" y="0"/>
                      <a:ext cx="5285534" cy="5960102"/>
                    </a:xfrm>
                    <a:prstGeom prst="rect">
                      <a:avLst/>
                    </a:prstGeom>
                  </pic:spPr>
                </pic:pic>
              </a:graphicData>
            </a:graphic>
          </wp:inline>
        </w:drawing>
      </w:r>
    </w:p>
    <w:p w14:paraId="3CCA3807" w14:textId="68A19A88" w:rsidR="003A3501" w:rsidRPr="009764DF" w:rsidRDefault="00314D31" w:rsidP="003A3501">
      <w:pPr>
        <w:spacing w:before="120" w:after="120" w:line="360" w:lineRule="auto"/>
        <w:jc w:val="both"/>
      </w:pPr>
      <w:r>
        <w:rPr>
          <w:b/>
        </w:rPr>
        <w:t xml:space="preserve">Supplementary </w:t>
      </w:r>
      <w:r w:rsidR="003A3501" w:rsidRPr="00320BF3">
        <w:rPr>
          <w:b/>
        </w:rPr>
        <w:t xml:space="preserve">Fig. </w:t>
      </w:r>
      <w:r>
        <w:rPr>
          <w:b/>
        </w:rPr>
        <w:t>6 |</w:t>
      </w:r>
      <w:r w:rsidR="003A3501">
        <w:rPr>
          <w:b/>
        </w:rPr>
        <w:t xml:space="preserve"> Robustness of the underlying mechanisms linking peak photosynthesis timing (PPT)</w:t>
      </w:r>
      <w:r w:rsidR="00D221F8">
        <w:rPr>
          <w:b/>
        </w:rPr>
        <w:t xml:space="preserve"> and burned area</w:t>
      </w:r>
      <w:r w:rsidR="00EC6FCB">
        <w:rPr>
          <w:b/>
        </w:rPr>
        <w:t xml:space="preserve">. </w:t>
      </w:r>
      <w:r w:rsidR="00EC6FCB" w:rsidRPr="00EC6FCB">
        <w:t>PPT was derived from</w:t>
      </w:r>
      <w:r w:rsidR="003A3501" w:rsidRPr="00EC6FCB">
        <w:t xml:space="preserve"> GOSIF (</w:t>
      </w:r>
      <w:r>
        <w:rPr>
          <w:b/>
        </w:rPr>
        <w:t>a</w:t>
      </w:r>
      <w:r w:rsidR="003A3501" w:rsidRPr="00EC6FCB">
        <w:rPr>
          <w:b/>
        </w:rPr>
        <w:t>-</w:t>
      </w:r>
      <w:r>
        <w:rPr>
          <w:b/>
        </w:rPr>
        <w:t>f</w:t>
      </w:r>
      <w:r w:rsidR="003A3501" w:rsidRPr="00EC6FCB">
        <w:t>)</w:t>
      </w:r>
      <w:r w:rsidR="00622552" w:rsidRPr="00EC6FCB">
        <w:t>,</w:t>
      </w:r>
      <w:r w:rsidR="003A3501" w:rsidRPr="00EC6FCB">
        <w:t xml:space="preserve"> LCSIF (</w:t>
      </w:r>
      <w:r>
        <w:rPr>
          <w:b/>
        </w:rPr>
        <w:t>g</w:t>
      </w:r>
      <w:r w:rsidR="003A3501" w:rsidRPr="00EC6FCB">
        <w:rPr>
          <w:b/>
        </w:rPr>
        <w:t>-</w:t>
      </w:r>
      <w:r>
        <w:rPr>
          <w:b/>
        </w:rPr>
        <w:t>l</w:t>
      </w:r>
      <w:r w:rsidR="003A3501" w:rsidRPr="00EC6FCB">
        <w:t>)</w:t>
      </w:r>
      <w:r w:rsidR="00622552" w:rsidRPr="00EC6FCB">
        <w:t xml:space="preserve">, and </w:t>
      </w:r>
      <w:proofErr w:type="spellStart"/>
      <w:r w:rsidR="00622552" w:rsidRPr="00EC6FCB">
        <w:t>LT_SIFc</w:t>
      </w:r>
      <w:proofErr w:type="spellEnd"/>
      <w:r w:rsidR="00622552" w:rsidRPr="00EC6FCB">
        <w:t xml:space="preserve"> (</w:t>
      </w:r>
      <w:r>
        <w:rPr>
          <w:b/>
        </w:rPr>
        <w:t>m</w:t>
      </w:r>
      <w:r w:rsidR="00622552" w:rsidRPr="00EC6FCB">
        <w:rPr>
          <w:b/>
        </w:rPr>
        <w:t>-</w:t>
      </w:r>
      <w:r>
        <w:rPr>
          <w:b/>
        </w:rPr>
        <w:t>r</w:t>
      </w:r>
      <w:r w:rsidR="00622552" w:rsidRPr="00EC6FCB">
        <w:t>)</w:t>
      </w:r>
      <w:r w:rsidR="003A3501" w:rsidRPr="00EC6FCB">
        <w:t>.</w:t>
      </w:r>
      <w:r w:rsidR="003A3501">
        <w:t xml:space="preserve"> </w:t>
      </w:r>
      <w:r w:rsidR="003A3501" w:rsidRPr="009764DF">
        <w:rPr>
          <w:bCs/>
        </w:rPr>
        <w:t>Global patterns of partial correlations between PPT and factors (VPD, CWD, and BUI</w:t>
      </w:r>
      <w:r w:rsidR="009A4278">
        <w:rPr>
          <w:bCs/>
        </w:rPr>
        <w:t xml:space="preserve"> during the potential fire season after PPT</w:t>
      </w:r>
      <w:r w:rsidR="003A3501" w:rsidRPr="009764DF">
        <w:rPr>
          <w:bCs/>
        </w:rPr>
        <w:t xml:space="preserve">), and </w:t>
      </w:r>
      <w:r w:rsidR="00C12B83">
        <w:rPr>
          <w:bCs/>
        </w:rPr>
        <w:t xml:space="preserve">then </w:t>
      </w:r>
      <w:r w:rsidR="003A3501" w:rsidRPr="009764DF">
        <w:rPr>
          <w:bCs/>
        </w:rPr>
        <w:t>between factors and burned area</w:t>
      </w:r>
      <w:r w:rsidR="003A3501" w:rsidRPr="009764DF">
        <w:t>.</w:t>
      </w:r>
      <w:r w:rsidR="003A3501">
        <w:t xml:space="preserve"> Black dots indicate regions with significant partial correlations (</w:t>
      </w:r>
      <w:r w:rsidR="003A3501" w:rsidRPr="00C6154A">
        <w:rPr>
          <w:i/>
        </w:rPr>
        <w:t>p</w:t>
      </w:r>
      <w:r w:rsidR="003A3501">
        <w:t>-value &lt; 0.05). P and N indicate the percentage of positive and negative correlations, respectively.</w:t>
      </w:r>
    </w:p>
    <w:p w14:paraId="2AF3F195" w14:textId="6B87B2CC" w:rsidR="003A3501" w:rsidRDefault="003A3501" w:rsidP="0054592D">
      <w:pPr>
        <w:spacing w:before="120" w:after="120" w:line="360" w:lineRule="auto"/>
        <w:jc w:val="center"/>
      </w:pPr>
    </w:p>
    <w:p w14:paraId="3D2871D6" w14:textId="77777777" w:rsidR="003A3501" w:rsidRDefault="003A3501" w:rsidP="0054592D">
      <w:pPr>
        <w:spacing w:before="120" w:after="120" w:line="360" w:lineRule="auto"/>
        <w:jc w:val="center"/>
        <w:sectPr w:rsidR="003A3501" w:rsidSect="00B63B5C">
          <w:pgSz w:w="12240" w:h="15840"/>
          <w:pgMar w:top="1440" w:right="1440" w:bottom="1440" w:left="1440" w:header="720" w:footer="720" w:gutter="0"/>
          <w:lnNumType w:countBy="1" w:restart="continuous"/>
          <w:cols w:space="720"/>
          <w:docGrid w:linePitch="360"/>
        </w:sectPr>
      </w:pPr>
    </w:p>
    <w:p w14:paraId="04FA78F1" w14:textId="2EF9BE3A" w:rsidR="00410A20" w:rsidRDefault="004F6A29" w:rsidP="00410A20">
      <w:pPr>
        <w:spacing w:before="120" w:after="120" w:line="360" w:lineRule="auto"/>
        <w:jc w:val="center"/>
      </w:pPr>
      <w:r>
        <w:rPr>
          <w:noProof/>
        </w:rPr>
        <w:lastRenderedPageBreak/>
        <w:drawing>
          <wp:inline distT="0" distB="0" distL="0" distR="0" wp14:anchorId="3E038E70" wp14:editId="16298032">
            <wp:extent cx="2417196" cy="6202365"/>
            <wp:effectExtent l="0" t="0" r="254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S14_factor_BA_FP_clip_ncc.png"/>
                    <pic:cNvPicPr/>
                  </pic:nvPicPr>
                  <pic:blipFill>
                    <a:blip r:embed="rId18"/>
                    <a:stretch>
                      <a:fillRect/>
                    </a:stretch>
                  </pic:blipFill>
                  <pic:spPr>
                    <a:xfrm>
                      <a:off x="0" y="0"/>
                      <a:ext cx="2419984" cy="6209520"/>
                    </a:xfrm>
                    <a:prstGeom prst="rect">
                      <a:avLst/>
                    </a:prstGeom>
                  </pic:spPr>
                </pic:pic>
              </a:graphicData>
            </a:graphic>
          </wp:inline>
        </w:drawing>
      </w:r>
    </w:p>
    <w:p w14:paraId="4E950C91" w14:textId="606C7139" w:rsidR="00321EE8" w:rsidRDefault="0038496A" w:rsidP="00254DD1">
      <w:pPr>
        <w:spacing w:before="120" w:after="120" w:line="360" w:lineRule="auto"/>
        <w:jc w:val="both"/>
        <w:sectPr w:rsidR="00321EE8" w:rsidSect="00B63B5C">
          <w:pgSz w:w="12240" w:h="15840"/>
          <w:pgMar w:top="1440" w:right="1440" w:bottom="1440" w:left="1440" w:header="720" w:footer="720" w:gutter="0"/>
          <w:lnNumType w:countBy="1" w:restart="continuous"/>
          <w:cols w:space="720"/>
          <w:docGrid w:linePitch="360"/>
        </w:sectPr>
      </w:pPr>
      <w:r>
        <w:rPr>
          <w:b/>
          <w:bCs/>
        </w:rPr>
        <w:t xml:space="preserve">Supplementary </w:t>
      </w:r>
      <w:r w:rsidR="00410A20">
        <w:rPr>
          <w:b/>
          <w:bCs/>
        </w:rPr>
        <w:t xml:space="preserve">Fig. </w:t>
      </w:r>
      <w:r>
        <w:rPr>
          <w:b/>
          <w:bCs/>
        </w:rPr>
        <w:t>7 |</w:t>
      </w:r>
      <w:r w:rsidR="00410A20">
        <w:rPr>
          <w:b/>
          <w:bCs/>
        </w:rPr>
        <w:t xml:space="preserve"> Relationships between explainable factors and burned area (BA) for fire perimeters data. </w:t>
      </w:r>
      <w:r w:rsidR="00410A20" w:rsidRPr="0091318E">
        <w:rPr>
          <w:bCs/>
        </w:rPr>
        <w:t>Partial correlations of VPD versus BA (</w:t>
      </w:r>
      <w:r w:rsidR="00F5060C">
        <w:rPr>
          <w:b/>
          <w:bCs/>
        </w:rPr>
        <w:t>a</w:t>
      </w:r>
      <w:r w:rsidR="00410A20" w:rsidRPr="0091318E">
        <w:rPr>
          <w:bCs/>
        </w:rPr>
        <w:t>), CWD versus BA (</w:t>
      </w:r>
      <w:r w:rsidR="00F5060C">
        <w:rPr>
          <w:b/>
          <w:bCs/>
        </w:rPr>
        <w:t>b</w:t>
      </w:r>
      <w:r w:rsidR="00410A20" w:rsidRPr="0091318E">
        <w:rPr>
          <w:bCs/>
        </w:rPr>
        <w:t>), and BUI versus BA (</w:t>
      </w:r>
      <w:r w:rsidR="00F5060C">
        <w:rPr>
          <w:b/>
          <w:bCs/>
        </w:rPr>
        <w:t>c</w:t>
      </w:r>
      <w:r w:rsidR="00410A20" w:rsidRPr="0091318E">
        <w:rPr>
          <w:bCs/>
        </w:rPr>
        <w:t xml:space="preserve">). </w:t>
      </w:r>
      <w:r w:rsidR="009A4278">
        <w:rPr>
          <w:bCs/>
        </w:rPr>
        <w:t xml:space="preserve">The explainable factors indicate the climate conditions during the potential fire season after </w:t>
      </w:r>
      <w:r w:rsidR="00534DB2">
        <w:rPr>
          <w:bCs/>
        </w:rPr>
        <w:t xml:space="preserve">CSIF-derived </w:t>
      </w:r>
      <w:r w:rsidR="009A4278">
        <w:rPr>
          <w:bCs/>
        </w:rPr>
        <w:t xml:space="preserve">PPT. </w:t>
      </w:r>
      <w:r w:rsidR="00410A20">
        <w:t>Black dots indicate regions with significant partial correlations (</w:t>
      </w:r>
      <w:r w:rsidR="00410A20" w:rsidRPr="00C6154A">
        <w:rPr>
          <w:i/>
        </w:rPr>
        <w:t>p</w:t>
      </w:r>
      <w:r w:rsidR="00410A20">
        <w:t xml:space="preserve">-value &lt; 0.05). </w:t>
      </w:r>
      <w:r w:rsidR="00410A20">
        <w:rPr>
          <w:bCs/>
        </w:rPr>
        <w:t>P</w:t>
      </w:r>
      <w:r w:rsidR="00410A20" w:rsidRPr="0091318E">
        <w:rPr>
          <w:bCs/>
        </w:rPr>
        <w:t xml:space="preserve"> and N indicate the percentage of positive and negative correlations, respectively.</w:t>
      </w:r>
      <w:r w:rsidR="00254DD1">
        <w:t xml:space="preserve"> </w:t>
      </w:r>
    </w:p>
    <w:p w14:paraId="64762F63" w14:textId="7DC5CD23" w:rsidR="008249C4" w:rsidRDefault="006066DF" w:rsidP="008249C4">
      <w:pPr>
        <w:spacing w:before="120" w:after="120" w:line="360" w:lineRule="auto"/>
        <w:jc w:val="center"/>
      </w:pPr>
      <w:r>
        <w:rPr>
          <w:noProof/>
        </w:rPr>
        <w:lastRenderedPageBreak/>
        <w:drawing>
          <wp:inline distT="0" distB="0" distL="0" distR="0" wp14:anchorId="19D979F1" wp14:editId="52B5D28B">
            <wp:extent cx="5950467" cy="2727297"/>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S18_robust_SEM_clip_noNDVI_ncc.png"/>
                    <pic:cNvPicPr/>
                  </pic:nvPicPr>
                  <pic:blipFill>
                    <a:blip r:embed="rId19"/>
                    <a:stretch>
                      <a:fillRect/>
                    </a:stretch>
                  </pic:blipFill>
                  <pic:spPr>
                    <a:xfrm>
                      <a:off x="0" y="0"/>
                      <a:ext cx="5971550" cy="2736960"/>
                    </a:xfrm>
                    <a:prstGeom prst="rect">
                      <a:avLst/>
                    </a:prstGeom>
                  </pic:spPr>
                </pic:pic>
              </a:graphicData>
            </a:graphic>
          </wp:inline>
        </w:drawing>
      </w:r>
    </w:p>
    <w:p w14:paraId="2504D889" w14:textId="68320C3B" w:rsidR="008249C4" w:rsidRPr="00732EDF" w:rsidRDefault="00AA0EA6" w:rsidP="008249C4">
      <w:pPr>
        <w:spacing w:before="120" w:after="120" w:line="360" w:lineRule="auto"/>
        <w:jc w:val="both"/>
      </w:pPr>
      <w:r>
        <w:rPr>
          <w:b/>
          <w:bCs/>
        </w:rPr>
        <w:t xml:space="preserve">Supplementary </w:t>
      </w:r>
      <w:r w:rsidR="008249C4">
        <w:rPr>
          <w:b/>
          <w:bCs/>
        </w:rPr>
        <w:t xml:space="preserve">Fig. </w:t>
      </w:r>
      <w:r w:rsidR="00254DD1">
        <w:rPr>
          <w:b/>
          <w:bCs/>
        </w:rPr>
        <w:t>8</w:t>
      </w:r>
      <w:r>
        <w:rPr>
          <w:b/>
          <w:bCs/>
        </w:rPr>
        <w:t xml:space="preserve"> |</w:t>
      </w:r>
      <w:r w:rsidR="008249C4">
        <w:rPr>
          <w:b/>
          <w:bCs/>
        </w:rPr>
        <w:t xml:space="preserve"> Robustness of </w:t>
      </w:r>
      <w:r w:rsidR="008249C4">
        <w:rPr>
          <w:b/>
        </w:rPr>
        <w:t xml:space="preserve">the underlying mechanisms linking peak photosynthesis timing (PPT) </w:t>
      </w:r>
      <w:r w:rsidR="00DB7974">
        <w:rPr>
          <w:b/>
        </w:rPr>
        <w:t xml:space="preserve">and subsequent burned area </w:t>
      </w:r>
      <w:r w:rsidR="008249C4">
        <w:rPr>
          <w:b/>
        </w:rPr>
        <w:t>using structural equation model (SEM) for GOSIF (</w:t>
      </w:r>
      <w:r>
        <w:rPr>
          <w:b/>
        </w:rPr>
        <w:t>a</w:t>
      </w:r>
      <w:r w:rsidR="008249C4">
        <w:rPr>
          <w:b/>
        </w:rPr>
        <w:t>), LCSIF (</w:t>
      </w:r>
      <w:r>
        <w:rPr>
          <w:b/>
        </w:rPr>
        <w:t>b</w:t>
      </w:r>
      <w:r w:rsidR="008249C4">
        <w:rPr>
          <w:b/>
        </w:rPr>
        <w:t xml:space="preserve">), </w:t>
      </w:r>
      <w:proofErr w:type="spellStart"/>
      <w:r w:rsidR="008249C4">
        <w:rPr>
          <w:b/>
        </w:rPr>
        <w:t>LT_SIFc</w:t>
      </w:r>
      <w:proofErr w:type="spellEnd"/>
      <w:r w:rsidR="008249C4">
        <w:rPr>
          <w:b/>
        </w:rPr>
        <w:t xml:space="preserve"> (</w:t>
      </w:r>
      <w:r>
        <w:rPr>
          <w:b/>
        </w:rPr>
        <w:t>c</w:t>
      </w:r>
      <w:r w:rsidR="008249C4">
        <w:rPr>
          <w:b/>
        </w:rPr>
        <w:t>), and fire perimeters (</w:t>
      </w:r>
      <w:r>
        <w:rPr>
          <w:b/>
        </w:rPr>
        <w:t>d</w:t>
      </w:r>
      <w:r w:rsidR="008249C4">
        <w:rPr>
          <w:b/>
        </w:rPr>
        <w:t xml:space="preserve">). </w:t>
      </w:r>
      <w:r w:rsidR="008249C4" w:rsidRPr="00732EDF">
        <w:t>Path diagrams and path effects for the mechanisms are shown. The numbers in the path diagram represent the global means and 95% confidence intervals of standardized path coefficients,</w:t>
      </w:r>
      <w:r w:rsidR="00DB7974">
        <w:t xml:space="preserve"> the</w:t>
      </w:r>
      <w:r w:rsidR="008249C4" w:rsidRPr="00732EDF">
        <w:t xml:space="preserve"> asterisks indicate the path coefficients are significant (</w:t>
      </w:r>
      <w:r w:rsidR="008249C4" w:rsidRPr="0015226C">
        <w:rPr>
          <w:i/>
        </w:rPr>
        <w:t>p</w:t>
      </w:r>
      <w:r w:rsidR="008249C4" w:rsidRPr="00732EDF">
        <w:t>-value &lt; 0.05) and the colors (red and blue arrows represent positive and negative effects, respectively) and widths of the arrows represent the signs and magnitudes of the path coefficients, respectively.</w:t>
      </w:r>
      <w:r w:rsidR="008249C4">
        <w:t xml:space="preserve"> The color of bar represents positive (red) and negative (blue) path effect, respectively.</w:t>
      </w:r>
    </w:p>
    <w:p w14:paraId="49E9A5BC" w14:textId="238802FA" w:rsidR="00C3351A" w:rsidRDefault="00C3351A" w:rsidP="00826F51">
      <w:pPr>
        <w:spacing w:before="120" w:after="120" w:line="360" w:lineRule="auto"/>
      </w:pPr>
    </w:p>
    <w:p w14:paraId="1FDAE753" w14:textId="77777777" w:rsidR="00C3351A" w:rsidRDefault="00C3351A" w:rsidP="0054592D">
      <w:pPr>
        <w:spacing w:before="120" w:after="120" w:line="360" w:lineRule="auto"/>
        <w:jc w:val="center"/>
        <w:sectPr w:rsidR="00C3351A" w:rsidSect="00B63B5C">
          <w:pgSz w:w="12240" w:h="15840"/>
          <w:pgMar w:top="1440" w:right="1440" w:bottom="1440" w:left="1440" w:header="720" w:footer="720" w:gutter="0"/>
          <w:lnNumType w:countBy="1" w:restart="continuous"/>
          <w:cols w:space="720"/>
          <w:docGrid w:linePitch="360"/>
        </w:sectPr>
      </w:pPr>
    </w:p>
    <w:p w14:paraId="12FA9AE3" w14:textId="2AD14E72" w:rsidR="006374AD" w:rsidRDefault="00DC1BA3" w:rsidP="006374AD">
      <w:pPr>
        <w:spacing w:before="120" w:after="120" w:line="360" w:lineRule="auto"/>
        <w:jc w:val="center"/>
      </w:pPr>
      <w:r>
        <w:rPr>
          <w:noProof/>
        </w:rPr>
        <w:lastRenderedPageBreak/>
        <w:drawing>
          <wp:inline distT="0" distB="0" distL="0" distR="0" wp14:anchorId="3ABB2AA7" wp14:editId="1027358F">
            <wp:extent cx="5915580" cy="377687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S21_PPT_month_clip_noNDVI_ncc.png"/>
                    <pic:cNvPicPr/>
                  </pic:nvPicPr>
                  <pic:blipFill>
                    <a:blip r:embed="rId20"/>
                    <a:stretch>
                      <a:fillRect/>
                    </a:stretch>
                  </pic:blipFill>
                  <pic:spPr>
                    <a:xfrm>
                      <a:off x="0" y="0"/>
                      <a:ext cx="5934950" cy="3789237"/>
                    </a:xfrm>
                    <a:prstGeom prst="rect">
                      <a:avLst/>
                    </a:prstGeom>
                  </pic:spPr>
                </pic:pic>
              </a:graphicData>
            </a:graphic>
          </wp:inline>
        </w:drawing>
      </w:r>
    </w:p>
    <w:p w14:paraId="3314C2BE" w14:textId="02C7F34F" w:rsidR="006374AD" w:rsidRPr="00D52DA2" w:rsidRDefault="00670AF5" w:rsidP="006374AD">
      <w:pPr>
        <w:spacing w:before="120" w:after="120" w:line="360" w:lineRule="auto"/>
        <w:jc w:val="both"/>
        <w:rPr>
          <w:bCs/>
        </w:rPr>
      </w:pPr>
      <w:r>
        <w:rPr>
          <w:b/>
          <w:bCs/>
        </w:rPr>
        <w:t xml:space="preserve">Supplementary </w:t>
      </w:r>
      <w:r w:rsidR="006374AD" w:rsidRPr="00E454BB">
        <w:rPr>
          <w:b/>
          <w:bCs/>
        </w:rPr>
        <w:t xml:space="preserve">Fig. </w:t>
      </w:r>
      <w:r w:rsidR="00254DD1">
        <w:rPr>
          <w:b/>
          <w:bCs/>
        </w:rPr>
        <w:t>9</w:t>
      </w:r>
      <w:r>
        <w:rPr>
          <w:b/>
          <w:bCs/>
        </w:rPr>
        <w:t xml:space="preserve"> |</w:t>
      </w:r>
      <w:r w:rsidR="006374AD" w:rsidRPr="00E454BB">
        <w:rPr>
          <w:b/>
          <w:bCs/>
        </w:rPr>
        <w:t xml:space="preserve"> The</w:t>
      </w:r>
      <w:r w:rsidR="006374AD">
        <w:rPr>
          <w:b/>
          <w:bCs/>
        </w:rPr>
        <w:t xml:space="preserve"> </w:t>
      </w:r>
      <w:r w:rsidR="006374AD" w:rsidRPr="000C5A69">
        <w:rPr>
          <w:b/>
          <w:bCs/>
        </w:rPr>
        <w:t>months of peak photosynthesis timing</w:t>
      </w:r>
      <w:r w:rsidR="006374AD">
        <w:rPr>
          <w:b/>
          <w:bCs/>
        </w:rPr>
        <w:t xml:space="preserve"> for CSIF (</w:t>
      </w:r>
      <w:r w:rsidR="003A0B1B">
        <w:rPr>
          <w:b/>
          <w:bCs/>
        </w:rPr>
        <w:t>a</w:t>
      </w:r>
      <w:r w:rsidR="006374AD">
        <w:rPr>
          <w:b/>
          <w:bCs/>
        </w:rPr>
        <w:t>), GOSIF (</w:t>
      </w:r>
      <w:r w:rsidR="003A0B1B">
        <w:rPr>
          <w:b/>
          <w:bCs/>
        </w:rPr>
        <w:t>b</w:t>
      </w:r>
      <w:r w:rsidR="006374AD">
        <w:rPr>
          <w:b/>
          <w:bCs/>
        </w:rPr>
        <w:t>), LCSIF (</w:t>
      </w:r>
      <w:r w:rsidR="003A0B1B">
        <w:rPr>
          <w:b/>
          <w:bCs/>
        </w:rPr>
        <w:t>c</w:t>
      </w:r>
      <w:r w:rsidR="006374AD">
        <w:rPr>
          <w:b/>
          <w:bCs/>
        </w:rPr>
        <w:t xml:space="preserve">), and </w:t>
      </w:r>
      <w:proofErr w:type="spellStart"/>
      <w:r w:rsidR="006374AD">
        <w:rPr>
          <w:b/>
          <w:bCs/>
        </w:rPr>
        <w:t>LT_SIFc</w:t>
      </w:r>
      <w:proofErr w:type="spellEnd"/>
      <w:r w:rsidR="006374AD">
        <w:rPr>
          <w:b/>
          <w:bCs/>
        </w:rPr>
        <w:t xml:space="preserve"> (</w:t>
      </w:r>
      <w:r w:rsidR="003A0B1B">
        <w:rPr>
          <w:b/>
          <w:bCs/>
        </w:rPr>
        <w:t>d</w:t>
      </w:r>
      <w:r w:rsidR="006374AD">
        <w:rPr>
          <w:b/>
          <w:bCs/>
        </w:rPr>
        <w:t xml:space="preserve">). </w:t>
      </w:r>
      <w:r w:rsidR="006374AD" w:rsidRPr="00AB2723">
        <w:rPr>
          <w:bCs/>
        </w:rPr>
        <w:t xml:space="preserve">The colored labels indicate the </w:t>
      </w:r>
      <w:r w:rsidR="006374AD">
        <w:rPr>
          <w:bCs/>
        </w:rPr>
        <w:t>percentages</w:t>
      </w:r>
      <w:r w:rsidR="006374AD" w:rsidRPr="00AB2723">
        <w:rPr>
          <w:bCs/>
        </w:rPr>
        <w:t xml:space="preserve"> of months in spring (green), summer (blue), and autumn (orange).</w:t>
      </w:r>
      <w:r w:rsidR="006374AD">
        <w:rPr>
          <w:b/>
          <w:bCs/>
        </w:rPr>
        <w:t xml:space="preserve"> </w:t>
      </w:r>
      <w:r w:rsidR="006374AD" w:rsidRPr="00D52DA2">
        <w:rPr>
          <w:bCs/>
        </w:rPr>
        <w:t>It shows that for the majority of areas</w:t>
      </w:r>
      <w:r w:rsidR="00705836">
        <w:rPr>
          <w:bCs/>
        </w:rPr>
        <w:t xml:space="preserve"> (&gt; 80%)</w:t>
      </w:r>
      <w:r w:rsidR="006374AD" w:rsidRPr="00D52DA2">
        <w:rPr>
          <w:bCs/>
        </w:rPr>
        <w:t xml:space="preserve">, PPT </w:t>
      </w:r>
      <w:r w:rsidR="006374AD">
        <w:rPr>
          <w:bCs/>
        </w:rPr>
        <w:t>occurs in summer.</w:t>
      </w:r>
    </w:p>
    <w:p w14:paraId="33E6F6F4" w14:textId="3E9CC914" w:rsidR="00C3351A" w:rsidRDefault="00C3351A" w:rsidP="0054592D">
      <w:pPr>
        <w:spacing w:before="120" w:after="120" w:line="360" w:lineRule="auto"/>
        <w:jc w:val="center"/>
      </w:pPr>
    </w:p>
    <w:p w14:paraId="10B3878D" w14:textId="77777777" w:rsidR="006374AD" w:rsidRDefault="006374AD" w:rsidP="0054592D">
      <w:pPr>
        <w:spacing w:before="120" w:after="120" w:line="360" w:lineRule="auto"/>
        <w:jc w:val="center"/>
        <w:sectPr w:rsidR="006374AD" w:rsidSect="00B63B5C">
          <w:pgSz w:w="12240" w:h="15840"/>
          <w:pgMar w:top="1440" w:right="1440" w:bottom="1440" w:left="1440" w:header="720" w:footer="720" w:gutter="0"/>
          <w:lnNumType w:countBy="1" w:restart="continuous"/>
          <w:cols w:space="720"/>
          <w:docGrid w:linePitch="360"/>
        </w:sectPr>
      </w:pPr>
    </w:p>
    <w:p w14:paraId="7426A15C" w14:textId="6728E9E5" w:rsidR="0054592D" w:rsidRDefault="005616C1" w:rsidP="0054592D">
      <w:pPr>
        <w:spacing w:before="120" w:after="120" w:line="360" w:lineRule="auto"/>
        <w:jc w:val="center"/>
      </w:pPr>
      <w:r>
        <w:rPr>
          <w:noProof/>
        </w:rPr>
        <w:lastRenderedPageBreak/>
        <w:drawing>
          <wp:inline distT="0" distB="0" distL="0" distR="0" wp14:anchorId="081A5747" wp14:editId="0BC89E93">
            <wp:extent cx="5915769" cy="2910177"/>
            <wp:effectExtent l="0" t="0" r="0"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S10_climate_zone_clip.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50033" cy="2927033"/>
                    </a:xfrm>
                    <a:prstGeom prst="rect">
                      <a:avLst/>
                    </a:prstGeom>
                  </pic:spPr>
                </pic:pic>
              </a:graphicData>
            </a:graphic>
          </wp:inline>
        </w:drawing>
      </w:r>
    </w:p>
    <w:p w14:paraId="4AAF3109" w14:textId="240D61A9" w:rsidR="0054592D" w:rsidRDefault="001D64DC" w:rsidP="0054592D">
      <w:pPr>
        <w:spacing w:before="120" w:after="120" w:line="360" w:lineRule="auto"/>
        <w:jc w:val="both"/>
      </w:pPr>
      <w:r>
        <w:rPr>
          <w:b/>
          <w:bCs/>
        </w:rPr>
        <w:t xml:space="preserve">Supplementary </w:t>
      </w:r>
      <w:r w:rsidR="0054592D">
        <w:rPr>
          <w:b/>
          <w:bCs/>
        </w:rPr>
        <w:t xml:space="preserve">Fig. </w:t>
      </w:r>
      <w:r>
        <w:rPr>
          <w:b/>
          <w:bCs/>
        </w:rPr>
        <w:t>1</w:t>
      </w:r>
      <w:r w:rsidR="00254DD1">
        <w:rPr>
          <w:b/>
          <w:bCs/>
        </w:rPr>
        <w:t>0</w:t>
      </w:r>
      <w:r>
        <w:rPr>
          <w:b/>
          <w:bCs/>
        </w:rPr>
        <w:t xml:space="preserve"> |</w:t>
      </w:r>
      <w:r w:rsidR="0054592D">
        <w:rPr>
          <w:b/>
          <w:bCs/>
        </w:rPr>
        <w:t xml:space="preserve"> </w:t>
      </w:r>
      <w:r w:rsidR="0077377E">
        <w:rPr>
          <w:b/>
          <w:bCs/>
        </w:rPr>
        <w:t xml:space="preserve">Global map of tropical, arid, temperate, and cold regions derived from </w:t>
      </w:r>
      <w:proofErr w:type="spellStart"/>
      <w:r w:rsidR="0077377E">
        <w:rPr>
          <w:b/>
          <w:bCs/>
        </w:rPr>
        <w:t>K</w:t>
      </w:r>
      <w:r w:rsidR="0077377E" w:rsidRPr="00F95486">
        <w:rPr>
          <w:rFonts w:eastAsia="等线"/>
          <w:b/>
          <w:bCs/>
        </w:rPr>
        <w:t>ö</w:t>
      </w:r>
      <w:r w:rsidR="0077377E">
        <w:rPr>
          <w:b/>
          <w:bCs/>
        </w:rPr>
        <w:t>ppen</w:t>
      </w:r>
      <w:proofErr w:type="spellEnd"/>
      <w:r w:rsidR="0077377E">
        <w:rPr>
          <w:b/>
          <w:bCs/>
        </w:rPr>
        <w:t>-Geiger climate classification map.</w:t>
      </w:r>
      <w:r w:rsidR="0012427E">
        <w:rPr>
          <w:b/>
          <w:bCs/>
        </w:rPr>
        <w:t xml:space="preserve"> </w:t>
      </w:r>
      <w:r w:rsidR="0012427E" w:rsidRPr="0012427E">
        <w:rPr>
          <w:bCs/>
        </w:rPr>
        <w:t>P</w:t>
      </w:r>
      <w:r w:rsidR="0012427E" w:rsidRPr="0012427E">
        <w:rPr>
          <w:rFonts w:hint="eastAsia"/>
          <w:bCs/>
          <w:lang w:eastAsia="zh-CN"/>
        </w:rPr>
        <w:t>olar</w:t>
      </w:r>
      <w:r w:rsidR="0012427E" w:rsidRPr="0012427E">
        <w:rPr>
          <w:bCs/>
        </w:rPr>
        <w:t xml:space="preserve"> </w:t>
      </w:r>
      <w:r w:rsidR="009E4B15">
        <w:rPr>
          <w:bCs/>
        </w:rPr>
        <w:t>was</w:t>
      </w:r>
      <w:r w:rsidR="0012427E" w:rsidRPr="0012427E">
        <w:rPr>
          <w:bCs/>
        </w:rPr>
        <w:t xml:space="preserve"> excluded in our study.</w:t>
      </w:r>
    </w:p>
    <w:p w14:paraId="5AB0A38F" w14:textId="2DDDC2FC" w:rsidR="0054592D" w:rsidRDefault="0054592D" w:rsidP="0054592D">
      <w:pPr>
        <w:spacing w:before="120" w:after="120" w:line="360" w:lineRule="auto"/>
        <w:jc w:val="both"/>
      </w:pPr>
      <w:r>
        <w:br w:type="page"/>
      </w:r>
    </w:p>
    <w:p w14:paraId="3B3258E0" w14:textId="5B10203B" w:rsidR="008D2843" w:rsidRDefault="008A7249" w:rsidP="008D2843">
      <w:pPr>
        <w:spacing w:before="120" w:after="120" w:line="360" w:lineRule="auto"/>
        <w:jc w:val="center"/>
      </w:pPr>
      <w:r>
        <w:rPr>
          <w:noProof/>
        </w:rPr>
        <w:lastRenderedPageBreak/>
        <w:drawing>
          <wp:inline distT="0" distB="0" distL="0" distR="0" wp14:anchorId="14B15B64" wp14:editId="4754E86B">
            <wp:extent cx="5926024" cy="3212327"/>
            <wp:effectExtent l="0" t="0" r="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S11_biome_clip.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53097" cy="3227002"/>
                    </a:xfrm>
                    <a:prstGeom prst="rect">
                      <a:avLst/>
                    </a:prstGeom>
                  </pic:spPr>
                </pic:pic>
              </a:graphicData>
            </a:graphic>
          </wp:inline>
        </w:drawing>
      </w:r>
    </w:p>
    <w:p w14:paraId="02E377B7" w14:textId="3D26AB5B" w:rsidR="008D2843" w:rsidRDefault="001D64DC" w:rsidP="008D2843">
      <w:pPr>
        <w:spacing w:before="120" w:after="120" w:line="360" w:lineRule="auto"/>
        <w:jc w:val="both"/>
      </w:pPr>
      <w:r>
        <w:rPr>
          <w:b/>
          <w:bCs/>
        </w:rPr>
        <w:t>Supplementary</w:t>
      </w:r>
      <w:r w:rsidR="00B95966">
        <w:rPr>
          <w:b/>
          <w:bCs/>
        </w:rPr>
        <w:t xml:space="preserve"> </w:t>
      </w:r>
      <w:r w:rsidR="008D2843">
        <w:rPr>
          <w:b/>
          <w:bCs/>
        </w:rPr>
        <w:t xml:space="preserve">Fig. </w:t>
      </w:r>
      <w:r w:rsidR="00B95966">
        <w:rPr>
          <w:b/>
          <w:bCs/>
        </w:rPr>
        <w:t>1</w:t>
      </w:r>
      <w:r w:rsidR="00254DD1">
        <w:rPr>
          <w:b/>
          <w:bCs/>
        </w:rPr>
        <w:t>1</w:t>
      </w:r>
      <w:r w:rsidR="00B95966">
        <w:rPr>
          <w:b/>
          <w:bCs/>
        </w:rPr>
        <w:t xml:space="preserve"> |</w:t>
      </w:r>
      <w:r w:rsidR="008D2843">
        <w:rPr>
          <w:b/>
          <w:bCs/>
        </w:rPr>
        <w:t xml:space="preserve"> </w:t>
      </w:r>
      <w:r w:rsidR="009E4B15">
        <w:rPr>
          <w:b/>
          <w:bCs/>
        </w:rPr>
        <w:t xml:space="preserve">Global map of biomes derived from </w:t>
      </w:r>
      <w:r w:rsidR="00A0540C">
        <w:rPr>
          <w:b/>
          <w:bCs/>
        </w:rPr>
        <w:t>the Terrestrial Ecoregions of the World</w:t>
      </w:r>
      <w:r w:rsidR="009E4B15">
        <w:rPr>
          <w:b/>
          <w:bCs/>
        </w:rPr>
        <w:t>.</w:t>
      </w:r>
      <w:r w:rsidR="008D2843">
        <w:rPr>
          <w:b/>
          <w:bCs/>
        </w:rPr>
        <w:t xml:space="preserve"> </w:t>
      </w:r>
      <w:proofErr w:type="spellStart"/>
      <w:r w:rsidR="00AE5A10" w:rsidRPr="00FD53BA">
        <w:rPr>
          <w:bCs/>
        </w:rPr>
        <w:t>TrMBF</w:t>
      </w:r>
      <w:proofErr w:type="spellEnd"/>
      <w:r w:rsidR="00AE5A10" w:rsidRPr="00FD53BA">
        <w:rPr>
          <w:bCs/>
        </w:rPr>
        <w:t xml:space="preserve">: Tropical and Subtropical Moist Broadleaf Forests; </w:t>
      </w:r>
      <w:proofErr w:type="spellStart"/>
      <w:r w:rsidR="00AE5A10" w:rsidRPr="00FD53BA">
        <w:rPr>
          <w:bCs/>
        </w:rPr>
        <w:t>TrDBF</w:t>
      </w:r>
      <w:proofErr w:type="spellEnd"/>
      <w:r w:rsidR="00AE5A10" w:rsidRPr="00FD53BA">
        <w:rPr>
          <w:bCs/>
        </w:rPr>
        <w:t xml:space="preserve">: Tropical and Subtropical Dry Broadleaf Forests; </w:t>
      </w:r>
      <w:proofErr w:type="spellStart"/>
      <w:r w:rsidR="00AE5A10" w:rsidRPr="00FD53BA">
        <w:rPr>
          <w:bCs/>
        </w:rPr>
        <w:t>TrCF</w:t>
      </w:r>
      <w:proofErr w:type="spellEnd"/>
      <w:r w:rsidR="00AE5A10" w:rsidRPr="00FD53BA">
        <w:rPr>
          <w:bCs/>
        </w:rPr>
        <w:t>: Tropical and Subtropical Con</w:t>
      </w:r>
      <w:r w:rsidR="00FD53BA" w:rsidRPr="00FD53BA">
        <w:rPr>
          <w:bCs/>
        </w:rPr>
        <w:t xml:space="preserve">iferous Forests; </w:t>
      </w:r>
      <w:proofErr w:type="spellStart"/>
      <w:r w:rsidR="00FD53BA" w:rsidRPr="00FD53BA">
        <w:rPr>
          <w:bCs/>
        </w:rPr>
        <w:t>TeBF</w:t>
      </w:r>
      <w:proofErr w:type="spellEnd"/>
      <w:r w:rsidR="00FD53BA" w:rsidRPr="00FD53BA">
        <w:rPr>
          <w:bCs/>
        </w:rPr>
        <w:t xml:space="preserve">: Temperate Broadleaf and Mixed Forests; </w:t>
      </w:r>
      <w:proofErr w:type="spellStart"/>
      <w:r w:rsidR="00FD53BA" w:rsidRPr="00FD53BA">
        <w:rPr>
          <w:bCs/>
        </w:rPr>
        <w:t>TeCF</w:t>
      </w:r>
      <w:proofErr w:type="spellEnd"/>
      <w:r w:rsidR="00FD53BA" w:rsidRPr="00FD53BA">
        <w:rPr>
          <w:bCs/>
        </w:rPr>
        <w:t xml:space="preserve">: Temperate Coniferous Forests; </w:t>
      </w:r>
      <w:proofErr w:type="spellStart"/>
      <w:r w:rsidR="00FD53BA" w:rsidRPr="00FD53BA">
        <w:rPr>
          <w:bCs/>
        </w:rPr>
        <w:t>BoFT</w:t>
      </w:r>
      <w:proofErr w:type="spellEnd"/>
      <w:r w:rsidR="00FD53BA" w:rsidRPr="00FD53BA">
        <w:rPr>
          <w:bCs/>
        </w:rPr>
        <w:t xml:space="preserve">: Boreal Forests/Taiga; </w:t>
      </w:r>
      <w:proofErr w:type="spellStart"/>
      <w:r w:rsidR="00FD53BA" w:rsidRPr="00FD53BA">
        <w:rPr>
          <w:bCs/>
        </w:rPr>
        <w:t>TrG</w:t>
      </w:r>
      <w:proofErr w:type="spellEnd"/>
      <w:r w:rsidR="00FD53BA" w:rsidRPr="00FD53BA">
        <w:rPr>
          <w:bCs/>
        </w:rPr>
        <w:t xml:space="preserve">: Tropical and Subtropical Grasslands, Savannas and Shrublands; </w:t>
      </w:r>
      <w:proofErr w:type="spellStart"/>
      <w:r w:rsidR="00FD53BA" w:rsidRPr="00FD53BA">
        <w:rPr>
          <w:bCs/>
        </w:rPr>
        <w:t>TeG</w:t>
      </w:r>
      <w:proofErr w:type="spellEnd"/>
      <w:r w:rsidR="00FD53BA" w:rsidRPr="00FD53BA">
        <w:rPr>
          <w:bCs/>
        </w:rPr>
        <w:t xml:space="preserve">: Temperate Grasslands, Savannas and Shrublands; Tu: Tundra; </w:t>
      </w:r>
      <w:proofErr w:type="spellStart"/>
      <w:r w:rsidR="00FD53BA" w:rsidRPr="00FD53BA">
        <w:rPr>
          <w:bCs/>
        </w:rPr>
        <w:t>MeF</w:t>
      </w:r>
      <w:proofErr w:type="spellEnd"/>
      <w:r w:rsidR="00FD53BA" w:rsidRPr="00FD53BA">
        <w:rPr>
          <w:bCs/>
        </w:rPr>
        <w:t>: Mediterranean Forests, Woodlands and Scrub; DXS: Deserts and Xeric Shrublands.</w:t>
      </w:r>
    </w:p>
    <w:p w14:paraId="2DD69204" w14:textId="07F01EAC" w:rsidR="00B25C80" w:rsidRDefault="007230B4" w:rsidP="006374AD">
      <w:pPr>
        <w:spacing w:before="120" w:after="120" w:line="360" w:lineRule="auto"/>
        <w:jc w:val="both"/>
      </w:pPr>
      <w:r>
        <w:br w:type="page"/>
      </w:r>
    </w:p>
    <w:p w14:paraId="7BD09197" w14:textId="77777777" w:rsidR="00B25C80" w:rsidRDefault="00B25C80" w:rsidP="0004501D">
      <w:pPr>
        <w:spacing w:before="120" w:after="120" w:line="360" w:lineRule="auto"/>
        <w:jc w:val="center"/>
        <w:sectPr w:rsidR="00B25C80" w:rsidSect="00B63B5C">
          <w:pgSz w:w="12240" w:h="15840"/>
          <w:pgMar w:top="1440" w:right="1440" w:bottom="1440" w:left="1440" w:header="720" w:footer="720" w:gutter="0"/>
          <w:lnNumType w:countBy="1" w:restart="continuous"/>
          <w:cols w:space="720"/>
          <w:docGrid w:linePitch="360"/>
        </w:sectPr>
      </w:pPr>
    </w:p>
    <w:p w14:paraId="3F39634B" w14:textId="128F9DEB" w:rsidR="0004501D" w:rsidRDefault="002F70BD" w:rsidP="0004501D">
      <w:pPr>
        <w:spacing w:before="120" w:after="120" w:line="360" w:lineRule="auto"/>
        <w:jc w:val="center"/>
      </w:pPr>
      <w:r>
        <w:rPr>
          <w:noProof/>
        </w:rPr>
        <w:lastRenderedPageBreak/>
        <w:drawing>
          <wp:inline distT="0" distB="0" distL="0" distR="0" wp14:anchorId="2AAA036F" wp14:editId="7E18946D">
            <wp:extent cx="5852160" cy="4052479"/>
            <wp:effectExtent l="0" t="0" r="0" b="571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S19_rh_shap_robust_v2_clip_noNDVI_ncc.png"/>
                    <pic:cNvPicPr/>
                  </pic:nvPicPr>
                  <pic:blipFill>
                    <a:blip r:embed="rId23"/>
                    <a:stretch>
                      <a:fillRect/>
                    </a:stretch>
                  </pic:blipFill>
                  <pic:spPr>
                    <a:xfrm>
                      <a:off x="0" y="0"/>
                      <a:ext cx="5868187" cy="4063577"/>
                    </a:xfrm>
                    <a:prstGeom prst="rect">
                      <a:avLst/>
                    </a:prstGeom>
                  </pic:spPr>
                </pic:pic>
              </a:graphicData>
            </a:graphic>
          </wp:inline>
        </w:drawing>
      </w:r>
    </w:p>
    <w:p w14:paraId="17A315E1" w14:textId="343AAA36" w:rsidR="0004501D" w:rsidRDefault="00B95966" w:rsidP="0004501D">
      <w:pPr>
        <w:spacing w:before="120" w:after="120" w:line="360" w:lineRule="auto"/>
        <w:jc w:val="both"/>
      </w:pPr>
      <w:r>
        <w:rPr>
          <w:b/>
          <w:bCs/>
        </w:rPr>
        <w:t xml:space="preserve">Supplementary </w:t>
      </w:r>
      <w:r w:rsidR="0004501D">
        <w:rPr>
          <w:b/>
          <w:bCs/>
        </w:rPr>
        <w:t>Fig. 1</w:t>
      </w:r>
      <w:r w:rsidR="00254DD1">
        <w:rPr>
          <w:b/>
          <w:bCs/>
        </w:rPr>
        <w:t>2</w:t>
      </w:r>
      <w:r>
        <w:rPr>
          <w:b/>
          <w:bCs/>
        </w:rPr>
        <w:t xml:space="preserve"> |</w:t>
      </w:r>
      <w:r w:rsidR="0004501D">
        <w:rPr>
          <w:b/>
          <w:bCs/>
        </w:rPr>
        <w:t xml:space="preserve"> Robustness of </w:t>
      </w:r>
      <w:r w:rsidR="0004501D">
        <w:rPr>
          <w:rFonts w:eastAsia="微软雅黑"/>
          <w:b/>
          <w:bCs/>
        </w:rPr>
        <w:t xml:space="preserve">the </w:t>
      </w:r>
      <w:r w:rsidR="0004501D" w:rsidRPr="00FE6474">
        <w:rPr>
          <w:rFonts w:eastAsia="微软雅黑"/>
          <w:b/>
          <w:bCs/>
        </w:rPr>
        <w:t>sensi</w:t>
      </w:r>
      <w:r w:rsidR="0004501D">
        <w:rPr>
          <w:rFonts w:eastAsia="微软雅黑"/>
          <w:b/>
          <w:bCs/>
        </w:rPr>
        <w:t>tivity of burned area to peak photosynthesis timing (PPT) for GOSIF (</w:t>
      </w:r>
      <w:r>
        <w:rPr>
          <w:rFonts w:eastAsia="微软雅黑"/>
          <w:b/>
          <w:bCs/>
        </w:rPr>
        <w:t>a</w:t>
      </w:r>
      <w:r w:rsidR="0004501D">
        <w:rPr>
          <w:rFonts w:eastAsia="微软雅黑"/>
          <w:b/>
          <w:bCs/>
        </w:rPr>
        <w:t>), LCSIF (</w:t>
      </w:r>
      <w:r>
        <w:rPr>
          <w:rFonts w:eastAsia="微软雅黑"/>
          <w:b/>
          <w:bCs/>
        </w:rPr>
        <w:t>b</w:t>
      </w:r>
      <w:r w:rsidR="0004501D">
        <w:rPr>
          <w:rFonts w:eastAsia="微软雅黑"/>
          <w:b/>
          <w:bCs/>
        </w:rPr>
        <w:t xml:space="preserve">), </w:t>
      </w:r>
      <w:proofErr w:type="spellStart"/>
      <w:r w:rsidR="0004501D">
        <w:rPr>
          <w:rFonts w:eastAsia="微软雅黑"/>
          <w:b/>
          <w:bCs/>
        </w:rPr>
        <w:t>LTSIFc</w:t>
      </w:r>
      <w:proofErr w:type="spellEnd"/>
      <w:r w:rsidR="0004501D">
        <w:rPr>
          <w:rFonts w:eastAsia="微软雅黑"/>
          <w:b/>
          <w:bCs/>
        </w:rPr>
        <w:t xml:space="preserve"> (</w:t>
      </w:r>
      <w:r>
        <w:rPr>
          <w:rFonts w:eastAsia="微软雅黑"/>
          <w:b/>
          <w:bCs/>
        </w:rPr>
        <w:t>c</w:t>
      </w:r>
      <w:r w:rsidR="0004501D">
        <w:rPr>
          <w:rFonts w:eastAsia="微软雅黑"/>
          <w:b/>
          <w:bCs/>
        </w:rPr>
        <w:t>)</w:t>
      </w:r>
      <w:r w:rsidR="0004501D">
        <w:rPr>
          <w:rFonts w:eastAsia="微软雅黑"/>
          <w:b/>
          <w:bCs/>
          <w:lang w:eastAsia="zh-CN"/>
        </w:rPr>
        <w:t>, and fire perimeters (</w:t>
      </w:r>
      <w:r>
        <w:rPr>
          <w:rFonts w:eastAsia="微软雅黑"/>
          <w:b/>
          <w:bCs/>
          <w:lang w:eastAsia="zh-CN"/>
        </w:rPr>
        <w:t>d</w:t>
      </w:r>
      <w:r w:rsidR="0004501D">
        <w:rPr>
          <w:rFonts w:eastAsia="微软雅黑"/>
          <w:b/>
          <w:bCs/>
          <w:lang w:eastAsia="zh-CN"/>
        </w:rPr>
        <w:t>)</w:t>
      </w:r>
      <w:r w:rsidR="0004501D">
        <w:rPr>
          <w:rFonts w:eastAsia="微软雅黑"/>
          <w:b/>
          <w:bCs/>
        </w:rPr>
        <w:t xml:space="preserve"> based on random forest and explainable machine learning (SHAP) methods. </w:t>
      </w:r>
      <w:r w:rsidR="0004501D" w:rsidRPr="004F43AD">
        <w:rPr>
          <w:rFonts w:eastAsia="微软雅黑"/>
          <w:bCs/>
        </w:rPr>
        <w:t>Gray area indicates the sensitivity is not statistically significant (</w:t>
      </w:r>
      <w:r w:rsidR="0004501D" w:rsidRPr="004F43AD">
        <w:rPr>
          <w:rFonts w:eastAsia="微软雅黑"/>
          <w:bCs/>
          <w:i/>
        </w:rPr>
        <w:t>p</w:t>
      </w:r>
      <w:r w:rsidR="0004501D" w:rsidRPr="004F43AD">
        <w:rPr>
          <w:rFonts w:eastAsia="微软雅黑"/>
          <w:bCs/>
        </w:rPr>
        <w:t>-value &gt; 0.05). Red label indicates the area-weighted mean of global sensitivity.</w:t>
      </w:r>
    </w:p>
    <w:p w14:paraId="6437CB30" w14:textId="4B7AD058" w:rsidR="0004501D" w:rsidRDefault="0004501D" w:rsidP="00320C57">
      <w:pPr>
        <w:spacing w:before="120" w:after="120" w:line="360" w:lineRule="auto"/>
        <w:jc w:val="center"/>
      </w:pPr>
    </w:p>
    <w:p w14:paraId="55450769" w14:textId="77777777" w:rsidR="0004501D" w:rsidRDefault="0004501D" w:rsidP="00320C57">
      <w:pPr>
        <w:spacing w:before="120" w:after="120" w:line="360" w:lineRule="auto"/>
        <w:jc w:val="center"/>
        <w:sectPr w:rsidR="0004501D" w:rsidSect="00B63B5C">
          <w:pgSz w:w="12240" w:h="15840"/>
          <w:pgMar w:top="1440" w:right="1440" w:bottom="1440" w:left="1440" w:header="720" w:footer="720" w:gutter="0"/>
          <w:lnNumType w:countBy="1" w:restart="continuous"/>
          <w:cols w:space="720"/>
          <w:docGrid w:linePitch="360"/>
        </w:sectPr>
      </w:pPr>
    </w:p>
    <w:p w14:paraId="0BD3C955" w14:textId="230AA964" w:rsidR="00217BFD" w:rsidRDefault="0033327A" w:rsidP="00217BFD">
      <w:pPr>
        <w:spacing w:before="120" w:after="120" w:line="360" w:lineRule="auto"/>
        <w:jc w:val="center"/>
      </w:pPr>
      <w:r>
        <w:rPr>
          <w:noProof/>
        </w:rPr>
        <w:lastRenderedPageBreak/>
        <w:drawing>
          <wp:inline distT="0" distB="0" distL="0" distR="0" wp14:anchorId="6B111BFF" wp14:editId="621B818A">
            <wp:extent cx="5923722" cy="6194100"/>
            <wp:effectExtent l="0" t="0" r="127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O2_after_PPT_clip_ncc.png"/>
                    <pic:cNvPicPr/>
                  </pic:nvPicPr>
                  <pic:blipFill>
                    <a:blip r:embed="rId24"/>
                    <a:stretch>
                      <a:fillRect/>
                    </a:stretch>
                  </pic:blipFill>
                  <pic:spPr>
                    <a:xfrm>
                      <a:off x="0" y="0"/>
                      <a:ext cx="5938675" cy="6209736"/>
                    </a:xfrm>
                    <a:prstGeom prst="rect">
                      <a:avLst/>
                    </a:prstGeom>
                  </pic:spPr>
                </pic:pic>
              </a:graphicData>
            </a:graphic>
          </wp:inline>
        </w:drawing>
      </w:r>
    </w:p>
    <w:p w14:paraId="56DF8371" w14:textId="740E8384" w:rsidR="00217BFD" w:rsidRDefault="00584CEC" w:rsidP="00217BFD">
      <w:pPr>
        <w:spacing w:before="120" w:after="120" w:line="360" w:lineRule="auto"/>
        <w:jc w:val="both"/>
      </w:pPr>
      <w:r>
        <w:rPr>
          <w:b/>
          <w:bCs/>
        </w:rPr>
        <w:t xml:space="preserve">Supplementary </w:t>
      </w:r>
      <w:r w:rsidR="00217BFD">
        <w:rPr>
          <w:b/>
          <w:bCs/>
        </w:rPr>
        <w:t xml:space="preserve">Fig. </w:t>
      </w:r>
      <w:r>
        <w:rPr>
          <w:b/>
          <w:bCs/>
        </w:rPr>
        <w:t>1</w:t>
      </w:r>
      <w:r w:rsidR="00254DD1">
        <w:rPr>
          <w:b/>
          <w:bCs/>
        </w:rPr>
        <w:t>3</w:t>
      </w:r>
      <w:r>
        <w:rPr>
          <w:b/>
          <w:bCs/>
        </w:rPr>
        <w:t xml:space="preserve"> |</w:t>
      </w:r>
      <w:r w:rsidR="00217BFD">
        <w:rPr>
          <w:b/>
          <w:bCs/>
        </w:rPr>
        <w:t xml:space="preserve"> </w:t>
      </w:r>
      <w:r w:rsidR="00217BFD" w:rsidRPr="00FF190F">
        <w:rPr>
          <w:b/>
          <w:bCs/>
        </w:rPr>
        <w:t>Annual fractions (blue lines) of wildfire CO</w:t>
      </w:r>
      <w:r w:rsidR="00217BFD" w:rsidRPr="00CA3B75">
        <w:rPr>
          <w:b/>
          <w:bCs/>
          <w:vertAlign w:val="subscript"/>
        </w:rPr>
        <w:t>2</w:t>
      </w:r>
      <w:r w:rsidR="00217BFD" w:rsidRPr="00FF190F">
        <w:rPr>
          <w:b/>
          <w:bCs/>
        </w:rPr>
        <w:t xml:space="preserve"> emission after peak photosynthesis timing (</w:t>
      </w:r>
      <w:r w:rsidR="00217BFD">
        <w:rPr>
          <w:b/>
          <w:bCs/>
        </w:rPr>
        <w:t>PPT</w:t>
      </w:r>
      <w:r w:rsidR="00D21336">
        <w:rPr>
          <w:b/>
          <w:bCs/>
        </w:rPr>
        <w:t>;</w:t>
      </w:r>
      <w:r w:rsidR="00217BFD">
        <w:rPr>
          <w:b/>
          <w:bCs/>
        </w:rPr>
        <w:t xml:space="preserve"> pink</w:t>
      </w:r>
      <w:r w:rsidR="00217BFD" w:rsidRPr="00FF190F">
        <w:rPr>
          <w:b/>
          <w:bCs/>
        </w:rPr>
        <w:t xml:space="preserve"> bars) in relative to the annual total (green bars) </w:t>
      </w:r>
      <w:r w:rsidR="00217BFD">
        <w:rPr>
          <w:b/>
          <w:bCs/>
        </w:rPr>
        <w:t>for the globe, 4 climate zones, and 11 biomes based on CSIF-derived PPT and the global fire CO</w:t>
      </w:r>
      <w:r w:rsidR="00217BFD" w:rsidRPr="00BB0F12">
        <w:rPr>
          <w:b/>
          <w:bCs/>
          <w:vertAlign w:val="subscript"/>
        </w:rPr>
        <w:t>2</w:t>
      </w:r>
      <w:r w:rsidR="00217BFD">
        <w:rPr>
          <w:b/>
          <w:bCs/>
        </w:rPr>
        <w:t xml:space="preserve"> emission dataset (</w:t>
      </w:r>
      <w:r w:rsidR="00217BFD" w:rsidRPr="00BB0F12">
        <w:rPr>
          <w:b/>
          <w:bCs/>
          <w:color w:val="0000FF"/>
        </w:rPr>
        <w:t>Table S1</w:t>
      </w:r>
      <w:r w:rsidR="00217BFD">
        <w:rPr>
          <w:b/>
          <w:bCs/>
        </w:rPr>
        <w:t>)</w:t>
      </w:r>
      <w:r w:rsidR="00217BFD" w:rsidRPr="00FF190F">
        <w:rPr>
          <w:b/>
          <w:bCs/>
        </w:rPr>
        <w:t xml:space="preserve">. </w:t>
      </w:r>
      <w:r w:rsidR="00217BFD" w:rsidRPr="00BA309E">
        <w:rPr>
          <w:bCs/>
        </w:rPr>
        <w:t>The blue label indicates the annual mean ± standard deviation of the fraction. The gray dotted line indicates the 50% fraction.</w:t>
      </w:r>
    </w:p>
    <w:p w14:paraId="4197ACFD" w14:textId="69A9C496" w:rsidR="0004501D" w:rsidRDefault="0004501D" w:rsidP="00320C57">
      <w:pPr>
        <w:spacing w:before="120" w:after="120" w:line="360" w:lineRule="auto"/>
        <w:jc w:val="center"/>
      </w:pPr>
    </w:p>
    <w:p w14:paraId="3642A0A9" w14:textId="77777777" w:rsidR="00217BFD" w:rsidRDefault="00217BFD" w:rsidP="00320C57">
      <w:pPr>
        <w:spacing w:before="120" w:after="120" w:line="360" w:lineRule="auto"/>
        <w:jc w:val="center"/>
        <w:sectPr w:rsidR="00217BFD" w:rsidSect="00B63B5C">
          <w:pgSz w:w="12240" w:h="15840"/>
          <w:pgMar w:top="1440" w:right="1440" w:bottom="1440" w:left="1440" w:header="720" w:footer="720" w:gutter="0"/>
          <w:lnNumType w:countBy="1" w:restart="continuous"/>
          <w:cols w:space="720"/>
          <w:docGrid w:linePitch="360"/>
        </w:sectPr>
      </w:pPr>
    </w:p>
    <w:p w14:paraId="30E7A674" w14:textId="7A912335" w:rsidR="00217BFD" w:rsidRDefault="00A302D8" w:rsidP="00320C57">
      <w:pPr>
        <w:spacing w:before="120" w:after="120" w:line="360" w:lineRule="auto"/>
        <w:jc w:val="center"/>
      </w:pPr>
      <w:r>
        <w:rPr>
          <w:noProof/>
        </w:rPr>
        <w:lastRenderedPageBreak/>
        <w:drawing>
          <wp:inline distT="0" distB="0" distL="0" distR="0" wp14:anchorId="2D0092A7" wp14:editId="6D6229E6">
            <wp:extent cx="3228229" cy="4231424"/>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S23_PPT_trend_impact_BA_0.05_clip_ncc.png"/>
                    <pic:cNvPicPr/>
                  </pic:nvPicPr>
                  <pic:blipFill>
                    <a:blip r:embed="rId25"/>
                    <a:stretch>
                      <a:fillRect/>
                    </a:stretch>
                  </pic:blipFill>
                  <pic:spPr>
                    <a:xfrm>
                      <a:off x="0" y="0"/>
                      <a:ext cx="3247283" cy="4256399"/>
                    </a:xfrm>
                    <a:prstGeom prst="rect">
                      <a:avLst/>
                    </a:prstGeom>
                  </pic:spPr>
                </pic:pic>
              </a:graphicData>
            </a:graphic>
          </wp:inline>
        </w:drawing>
      </w:r>
    </w:p>
    <w:p w14:paraId="5E0F6AF6" w14:textId="2866991B" w:rsidR="000114D0" w:rsidRPr="000114D0" w:rsidRDefault="0033327A" w:rsidP="000114D0">
      <w:pPr>
        <w:spacing w:before="120" w:after="120" w:line="360" w:lineRule="auto"/>
        <w:jc w:val="both"/>
      </w:pPr>
      <w:r>
        <w:rPr>
          <w:b/>
          <w:bCs/>
        </w:rPr>
        <w:t xml:space="preserve">Supplementary </w:t>
      </w:r>
      <w:r w:rsidR="000114D0">
        <w:rPr>
          <w:b/>
          <w:bCs/>
        </w:rPr>
        <w:t xml:space="preserve">Fig. </w:t>
      </w:r>
      <w:r>
        <w:rPr>
          <w:b/>
          <w:bCs/>
        </w:rPr>
        <w:t>1</w:t>
      </w:r>
      <w:r w:rsidR="00254DD1">
        <w:rPr>
          <w:b/>
          <w:bCs/>
        </w:rPr>
        <w:t>4</w:t>
      </w:r>
      <w:r>
        <w:rPr>
          <w:b/>
          <w:bCs/>
        </w:rPr>
        <w:t xml:space="preserve"> |</w:t>
      </w:r>
      <w:r w:rsidR="000114D0">
        <w:rPr>
          <w:b/>
          <w:bCs/>
        </w:rPr>
        <w:t xml:space="preserve"> Trend in peak photosynthesis timing (PPT) and partial correlation between PPT and the subsequent burned area at a 0.05</w:t>
      </w:r>
      <w:r w:rsidR="000114D0" w:rsidRPr="00403FC8">
        <w:rPr>
          <w:b/>
          <w:bCs/>
        </w:rPr>
        <w:t xml:space="preserve">° </w:t>
      </w:r>
      <w:r w:rsidR="000114D0">
        <w:rPr>
          <w:b/>
          <w:bCs/>
        </w:rPr>
        <w:t xml:space="preserve">spatial </w:t>
      </w:r>
      <w:r w:rsidR="005C6FC5">
        <w:rPr>
          <w:b/>
          <w:bCs/>
        </w:rPr>
        <w:t>scale</w:t>
      </w:r>
      <w:r w:rsidR="000114D0" w:rsidRPr="005E1B68">
        <w:rPr>
          <w:b/>
          <w:bCs/>
        </w:rPr>
        <w:t xml:space="preserve">. </w:t>
      </w:r>
      <w:r w:rsidR="000114D0">
        <w:rPr>
          <w:bCs/>
        </w:rPr>
        <w:t>The black dots indicate regions with significant PPT trends and correlations (</w:t>
      </w:r>
      <w:r w:rsidR="000114D0" w:rsidRPr="000114D0">
        <w:rPr>
          <w:bCs/>
          <w:i/>
        </w:rPr>
        <w:t>p</w:t>
      </w:r>
      <w:r w:rsidR="000114D0">
        <w:rPr>
          <w:bCs/>
        </w:rPr>
        <w:t xml:space="preserve">-value &lt; 0.05). The labels in </w:t>
      </w:r>
      <w:r w:rsidR="005B3038">
        <w:rPr>
          <w:b/>
          <w:bCs/>
        </w:rPr>
        <w:t>a</w:t>
      </w:r>
      <w:r w:rsidR="000114D0">
        <w:rPr>
          <w:bCs/>
        </w:rPr>
        <w:t xml:space="preserve"> indicate the percentage of areas with delayed and advanced PPT, respectively. P and N indicate the percentage of positive and negative correlations, respectively. This analysis was based on CSIF-derived PPT and MODIS-derived global burned areas at a </w:t>
      </w:r>
      <w:r w:rsidR="000114D0" w:rsidRPr="000114D0">
        <w:rPr>
          <w:bCs/>
        </w:rPr>
        <w:t>0.05</w:t>
      </w:r>
      <w:r w:rsidR="000114D0" w:rsidRPr="000114D0">
        <w:rPr>
          <w:rFonts w:ascii="Arial" w:hAnsi="Arial" w:cs="Arial"/>
          <w:bCs/>
        </w:rPr>
        <w:t xml:space="preserve">° </w:t>
      </w:r>
      <w:r w:rsidR="000114D0" w:rsidRPr="000114D0">
        <w:rPr>
          <w:bCs/>
        </w:rPr>
        <w:t>spatial resolution.</w:t>
      </w:r>
    </w:p>
    <w:p w14:paraId="5A3AC5BD" w14:textId="77777777" w:rsidR="000114D0" w:rsidRDefault="000114D0" w:rsidP="00320C57">
      <w:pPr>
        <w:spacing w:before="120" w:after="120" w:line="360" w:lineRule="auto"/>
        <w:jc w:val="center"/>
        <w:sectPr w:rsidR="000114D0" w:rsidSect="00B63B5C">
          <w:pgSz w:w="12240" w:h="15840"/>
          <w:pgMar w:top="1440" w:right="1440" w:bottom="1440" w:left="1440" w:header="720" w:footer="720" w:gutter="0"/>
          <w:lnNumType w:countBy="1" w:restart="continuous"/>
          <w:cols w:space="720"/>
          <w:docGrid w:linePitch="360"/>
        </w:sectPr>
      </w:pPr>
    </w:p>
    <w:p w14:paraId="29973CDD" w14:textId="7434AB2A" w:rsidR="00940FE4" w:rsidRDefault="00DD1E08" w:rsidP="00320C57">
      <w:pPr>
        <w:spacing w:before="120" w:after="120" w:line="360" w:lineRule="auto"/>
        <w:jc w:val="center"/>
      </w:pPr>
      <w:r>
        <w:rPr>
          <w:noProof/>
        </w:rPr>
        <w:lastRenderedPageBreak/>
        <w:drawing>
          <wp:inline distT="0" distB="0" distL="0" distR="0" wp14:anchorId="23974F90" wp14:editId="6FEF3677">
            <wp:extent cx="2808000" cy="3123692"/>
            <wp:effectExtent l="0" t="0" r="0"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21_trend_PPT_30N_clip.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08000" cy="3123692"/>
                    </a:xfrm>
                    <a:prstGeom prst="rect">
                      <a:avLst/>
                    </a:prstGeom>
                  </pic:spPr>
                </pic:pic>
              </a:graphicData>
            </a:graphic>
          </wp:inline>
        </w:drawing>
      </w:r>
    </w:p>
    <w:p w14:paraId="14A20E66" w14:textId="57634E36" w:rsidR="00F776EA" w:rsidRDefault="003025CF" w:rsidP="00F776EA">
      <w:pPr>
        <w:spacing w:before="120" w:after="120" w:line="360" w:lineRule="auto"/>
        <w:jc w:val="both"/>
      </w:pPr>
      <w:r>
        <w:rPr>
          <w:b/>
          <w:bCs/>
        </w:rPr>
        <w:t xml:space="preserve">Supplementary </w:t>
      </w:r>
      <w:r w:rsidR="00F776EA">
        <w:rPr>
          <w:b/>
          <w:bCs/>
        </w:rPr>
        <w:t xml:space="preserve">Fig. </w:t>
      </w:r>
      <w:r>
        <w:rPr>
          <w:b/>
          <w:bCs/>
        </w:rPr>
        <w:t>1</w:t>
      </w:r>
      <w:r w:rsidR="00254DD1">
        <w:rPr>
          <w:b/>
          <w:bCs/>
        </w:rPr>
        <w:t>5</w:t>
      </w:r>
      <w:r>
        <w:rPr>
          <w:b/>
          <w:bCs/>
        </w:rPr>
        <w:t xml:space="preserve"> |</w:t>
      </w:r>
      <w:r w:rsidR="00F776EA">
        <w:rPr>
          <w:b/>
          <w:bCs/>
        </w:rPr>
        <w:t xml:space="preserve"> Decadal trends in </w:t>
      </w:r>
      <w:r w:rsidR="00F776EA">
        <w:rPr>
          <w:rFonts w:hint="eastAsia"/>
          <w:b/>
          <w:bCs/>
          <w:lang w:eastAsia="zh-CN"/>
        </w:rPr>
        <w:t>pea</w:t>
      </w:r>
      <w:r w:rsidR="00F776EA">
        <w:rPr>
          <w:b/>
          <w:bCs/>
        </w:rPr>
        <w:t xml:space="preserve">k photosynthesis timing (PPT) over 2002-2018 derived from CSIF, GOSIF, LCSIF, and </w:t>
      </w:r>
      <w:proofErr w:type="spellStart"/>
      <w:r w:rsidR="00F776EA">
        <w:rPr>
          <w:b/>
          <w:bCs/>
        </w:rPr>
        <w:t>LT_SIFc</w:t>
      </w:r>
      <w:proofErr w:type="spellEnd"/>
      <w:r w:rsidR="00F776EA">
        <w:rPr>
          <w:b/>
          <w:bCs/>
        </w:rPr>
        <w:t xml:space="preserve"> for the northern ecosystems (&gt;30</w:t>
      </w:r>
      <w:r w:rsidR="00F776EA" w:rsidRPr="00F776EA">
        <w:rPr>
          <w:b/>
          <w:bCs/>
        </w:rPr>
        <w:t>°</w:t>
      </w:r>
      <w:r w:rsidR="00F776EA" w:rsidRPr="00F776EA">
        <w:rPr>
          <w:b/>
          <w:bCs/>
          <w:lang w:eastAsia="zh-CN"/>
        </w:rPr>
        <w:t>N</w:t>
      </w:r>
      <w:r w:rsidR="00F776EA">
        <w:rPr>
          <w:b/>
          <w:bCs/>
        </w:rPr>
        <w:t xml:space="preserve">). </w:t>
      </w:r>
      <w:r w:rsidR="00F776EA" w:rsidRPr="00597134">
        <w:rPr>
          <w:bCs/>
        </w:rPr>
        <w:t xml:space="preserve">Bar and error bar indicate decadal trend and corresponding 95% confidence interval, respectively, based on </w:t>
      </w:r>
      <w:r w:rsidR="00F776EA">
        <w:rPr>
          <w:bCs/>
        </w:rPr>
        <w:t>linear</w:t>
      </w:r>
      <w:r w:rsidR="00F776EA" w:rsidRPr="00597134">
        <w:rPr>
          <w:bCs/>
        </w:rPr>
        <w:t xml:space="preserve"> regression</w:t>
      </w:r>
      <w:r w:rsidR="00F776EA">
        <w:rPr>
          <w:bCs/>
        </w:rPr>
        <w:t xml:space="preserve"> (</w:t>
      </w:r>
      <w:r w:rsidR="005C10DD">
        <w:rPr>
          <w:bCs/>
        </w:rPr>
        <w:t>Methods</w:t>
      </w:r>
      <w:r w:rsidR="00F776EA">
        <w:rPr>
          <w:bCs/>
        </w:rPr>
        <w:t>)</w:t>
      </w:r>
      <w:r w:rsidR="00F776EA" w:rsidRPr="00597134">
        <w:rPr>
          <w:bCs/>
        </w:rPr>
        <w:t xml:space="preserve">. </w:t>
      </w:r>
      <w:r w:rsidR="00DD1E08">
        <w:rPr>
          <w:bCs/>
        </w:rPr>
        <w:t>The a</w:t>
      </w:r>
      <w:r w:rsidR="00F776EA" w:rsidRPr="00597134">
        <w:rPr>
          <w:bCs/>
        </w:rPr>
        <w:t xml:space="preserve">sterisk denotes </w:t>
      </w:r>
      <w:r w:rsidR="00F776EA" w:rsidRPr="00597134">
        <w:rPr>
          <w:bCs/>
          <w:i/>
        </w:rPr>
        <w:t>p</w:t>
      </w:r>
      <w:r w:rsidR="00F776EA" w:rsidRPr="00597134">
        <w:rPr>
          <w:bCs/>
        </w:rPr>
        <w:t>-value &lt; 0.05.</w:t>
      </w:r>
      <w:r w:rsidR="00FF60BB">
        <w:rPr>
          <w:bCs/>
        </w:rPr>
        <w:t xml:space="preserve"> We found that the trend of PPT in our study was consistent with previous studies that focused on the northern ecosystems, which demonstrates that our method used to calculate PPT is feasible and reasonable.</w:t>
      </w:r>
    </w:p>
    <w:p w14:paraId="228CC5CE" w14:textId="77777777" w:rsidR="00940FE4" w:rsidRDefault="00940FE4" w:rsidP="00320C57">
      <w:pPr>
        <w:spacing w:before="120" w:after="120" w:line="360" w:lineRule="auto"/>
        <w:jc w:val="center"/>
        <w:sectPr w:rsidR="00940FE4" w:rsidSect="00B63B5C">
          <w:pgSz w:w="12240" w:h="15840"/>
          <w:pgMar w:top="1440" w:right="1440" w:bottom="1440" w:left="1440" w:header="720" w:footer="720" w:gutter="0"/>
          <w:lnNumType w:countBy="1" w:restart="continuous"/>
          <w:cols w:space="720"/>
          <w:docGrid w:linePitch="360"/>
        </w:sectPr>
      </w:pPr>
    </w:p>
    <w:p w14:paraId="766EF147" w14:textId="4A368B9F" w:rsidR="00320C57" w:rsidRDefault="00E05D34" w:rsidP="00320C57">
      <w:pPr>
        <w:spacing w:before="120" w:after="120" w:line="360" w:lineRule="auto"/>
        <w:jc w:val="center"/>
      </w:pPr>
      <w:r>
        <w:rPr>
          <w:noProof/>
        </w:rPr>
        <w:lastRenderedPageBreak/>
        <w:drawing>
          <wp:inline distT="0" distB="0" distL="0" distR="0" wp14:anchorId="10307C6E" wp14:editId="435B2D80">
            <wp:extent cx="5925144" cy="3101009"/>
            <wp:effectExtent l="0" t="0" r="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S16_CSIF_sem_5_fitness_clip.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75844" cy="3127544"/>
                    </a:xfrm>
                    <a:prstGeom prst="rect">
                      <a:avLst/>
                    </a:prstGeom>
                  </pic:spPr>
                </pic:pic>
              </a:graphicData>
            </a:graphic>
          </wp:inline>
        </w:drawing>
      </w:r>
    </w:p>
    <w:p w14:paraId="0B074933" w14:textId="7C077E79" w:rsidR="00320C57" w:rsidRDefault="00DC2F9F" w:rsidP="00320C57">
      <w:pPr>
        <w:spacing w:before="120" w:after="120" w:line="360" w:lineRule="auto"/>
        <w:jc w:val="both"/>
      </w:pPr>
      <w:r>
        <w:rPr>
          <w:b/>
          <w:bCs/>
        </w:rPr>
        <w:t xml:space="preserve">Supplementary </w:t>
      </w:r>
      <w:r w:rsidR="00320C57">
        <w:rPr>
          <w:b/>
          <w:bCs/>
        </w:rPr>
        <w:t xml:space="preserve">Fig. </w:t>
      </w:r>
      <w:r>
        <w:rPr>
          <w:b/>
          <w:bCs/>
        </w:rPr>
        <w:t>1</w:t>
      </w:r>
      <w:r w:rsidR="00254DD1">
        <w:rPr>
          <w:b/>
          <w:bCs/>
        </w:rPr>
        <w:t>6</w:t>
      </w:r>
      <w:r>
        <w:rPr>
          <w:b/>
          <w:bCs/>
        </w:rPr>
        <w:t xml:space="preserve"> |</w:t>
      </w:r>
      <w:r w:rsidR="00320C57">
        <w:rPr>
          <w:b/>
          <w:bCs/>
        </w:rPr>
        <w:t xml:space="preserve"> </w:t>
      </w:r>
      <w:r w:rsidR="005E1B68" w:rsidRPr="005E1B68">
        <w:rPr>
          <w:b/>
          <w:bCs/>
        </w:rPr>
        <w:t xml:space="preserve">Goodness of fit of the model using </w:t>
      </w:r>
      <w:r w:rsidR="00334729">
        <w:rPr>
          <w:b/>
          <w:bCs/>
        </w:rPr>
        <w:t>structural equation model</w:t>
      </w:r>
      <w:r w:rsidR="00325C04">
        <w:rPr>
          <w:b/>
          <w:bCs/>
        </w:rPr>
        <w:t xml:space="preserve"> (SEM)</w:t>
      </w:r>
      <w:r w:rsidR="005E1B68" w:rsidRPr="005E1B68">
        <w:rPr>
          <w:b/>
          <w:bCs/>
        </w:rPr>
        <w:t xml:space="preserve"> for</w:t>
      </w:r>
      <w:r w:rsidR="005E1B68">
        <w:rPr>
          <w:b/>
          <w:bCs/>
        </w:rPr>
        <w:t xml:space="preserve"> CSIF-derived peak photosynthesis timing</w:t>
      </w:r>
      <w:r w:rsidR="00325C04">
        <w:rPr>
          <w:b/>
          <w:bCs/>
        </w:rPr>
        <w:t xml:space="preserve"> (PPT)</w:t>
      </w:r>
      <w:r w:rsidR="005E1B68">
        <w:rPr>
          <w:b/>
          <w:bCs/>
        </w:rPr>
        <w:t xml:space="preserve"> and MODIS-derived burned area</w:t>
      </w:r>
      <w:r w:rsidR="005E1B68" w:rsidRPr="005E1B68">
        <w:rPr>
          <w:b/>
          <w:bCs/>
        </w:rPr>
        <w:t xml:space="preserve">. </w:t>
      </w:r>
      <w:r w:rsidR="005E1B68" w:rsidRPr="005E1B68">
        <w:rPr>
          <w:bCs/>
        </w:rPr>
        <w:t>We selected five metrics to evaluate the goodness of fitted model, i.e. GFI, CFI, RMSEA, NNFI, and SRMR. 0-5 indicate the number of criteria satisfied, and the model was considered reliable when three out of five criteria are met (green).</w:t>
      </w:r>
    </w:p>
    <w:p w14:paraId="2919E25F" w14:textId="77777777" w:rsidR="00EB1498" w:rsidRDefault="00320C57" w:rsidP="00AD60FF">
      <w:pPr>
        <w:spacing w:before="120" w:after="120" w:line="360" w:lineRule="auto"/>
        <w:jc w:val="both"/>
        <w:sectPr w:rsidR="00EB1498" w:rsidSect="00B63B5C">
          <w:pgSz w:w="12240" w:h="15840"/>
          <w:pgMar w:top="1440" w:right="1440" w:bottom="1440" w:left="1440" w:header="720" w:footer="720" w:gutter="0"/>
          <w:lnNumType w:countBy="1" w:restart="continuous"/>
          <w:cols w:space="720"/>
          <w:docGrid w:linePitch="360"/>
        </w:sectPr>
      </w:pPr>
      <w:r>
        <w:br w:type="page"/>
      </w:r>
    </w:p>
    <w:p w14:paraId="61D0449E" w14:textId="77777777" w:rsidR="00EB1498" w:rsidRPr="00BE2D40" w:rsidRDefault="00EB1498" w:rsidP="00EB1498">
      <w:pPr>
        <w:spacing w:before="120" w:after="120" w:line="360" w:lineRule="exact"/>
        <w:rPr>
          <w:b/>
          <w:bCs/>
          <w:szCs w:val="24"/>
        </w:rPr>
      </w:pPr>
      <w:r w:rsidRPr="00BE2D40">
        <w:rPr>
          <w:rFonts w:hint="eastAsia"/>
          <w:b/>
          <w:bCs/>
          <w:szCs w:val="24"/>
        </w:rPr>
        <w:lastRenderedPageBreak/>
        <w:t>T</w:t>
      </w:r>
      <w:r w:rsidRPr="00BE2D40">
        <w:rPr>
          <w:b/>
          <w:bCs/>
          <w:szCs w:val="24"/>
        </w:rPr>
        <w:t>able S1. Descriptions and access information of the datasets.</w:t>
      </w:r>
    </w:p>
    <w:tbl>
      <w:tblPr>
        <w:tblStyle w:val="affffa"/>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316"/>
        <w:gridCol w:w="2438"/>
        <w:gridCol w:w="1985"/>
        <w:gridCol w:w="1441"/>
        <w:gridCol w:w="5780"/>
      </w:tblGrid>
      <w:tr w:rsidR="00EB1498" w:rsidRPr="00EB1498" w14:paraId="727F80FD" w14:textId="77777777" w:rsidTr="00311816">
        <w:trPr>
          <w:jc w:val="center"/>
        </w:trPr>
        <w:tc>
          <w:tcPr>
            <w:tcW w:w="1316" w:type="dxa"/>
            <w:tcBorders>
              <w:top w:val="single" w:sz="18" w:space="0" w:color="auto"/>
              <w:bottom w:val="single" w:sz="18" w:space="0" w:color="auto"/>
            </w:tcBorders>
          </w:tcPr>
          <w:p w14:paraId="0DE5413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Variables</w:t>
            </w:r>
          </w:p>
        </w:tc>
        <w:tc>
          <w:tcPr>
            <w:tcW w:w="2438" w:type="dxa"/>
            <w:tcBorders>
              <w:top w:val="single" w:sz="18" w:space="0" w:color="auto"/>
              <w:bottom w:val="single" w:sz="18" w:space="0" w:color="auto"/>
            </w:tcBorders>
          </w:tcPr>
          <w:p w14:paraId="2F045A7D"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Datasets</w:t>
            </w:r>
          </w:p>
        </w:tc>
        <w:tc>
          <w:tcPr>
            <w:tcW w:w="1985" w:type="dxa"/>
            <w:tcBorders>
              <w:top w:val="single" w:sz="18" w:space="0" w:color="auto"/>
              <w:bottom w:val="single" w:sz="18" w:space="0" w:color="auto"/>
            </w:tcBorders>
          </w:tcPr>
          <w:p w14:paraId="55103005"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Resolution</w:t>
            </w:r>
          </w:p>
        </w:tc>
        <w:tc>
          <w:tcPr>
            <w:tcW w:w="1441" w:type="dxa"/>
            <w:tcBorders>
              <w:top w:val="single" w:sz="18" w:space="0" w:color="auto"/>
              <w:bottom w:val="single" w:sz="18" w:space="0" w:color="auto"/>
            </w:tcBorders>
          </w:tcPr>
          <w:p w14:paraId="690F1C03"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Periods</w:t>
            </w:r>
          </w:p>
        </w:tc>
        <w:tc>
          <w:tcPr>
            <w:tcW w:w="0" w:type="auto"/>
            <w:tcBorders>
              <w:top w:val="single" w:sz="18" w:space="0" w:color="auto"/>
              <w:bottom w:val="single" w:sz="18" w:space="0" w:color="auto"/>
            </w:tcBorders>
          </w:tcPr>
          <w:p w14:paraId="03B28406"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Data access</w:t>
            </w:r>
          </w:p>
        </w:tc>
      </w:tr>
      <w:tr w:rsidR="00EB1498" w:rsidRPr="00EB1498" w14:paraId="3B965AEB" w14:textId="77777777" w:rsidTr="00311816">
        <w:trPr>
          <w:jc w:val="center"/>
        </w:trPr>
        <w:tc>
          <w:tcPr>
            <w:tcW w:w="1316" w:type="dxa"/>
            <w:vMerge w:val="restart"/>
            <w:tcBorders>
              <w:top w:val="single" w:sz="18" w:space="0" w:color="auto"/>
              <w:bottom w:val="nil"/>
            </w:tcBorders>
          </w:tcPr>
          <w:p w14:paraId="20846D90"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SIF</w:t>
            </w:r>
          </w:p>
        </w:tc>
        <w:tc>
          <w:tcPr>
            <w:tcW w:w="2438" w:type="dxa"/>
            <w:tcBorders>
              <w:top w:val="single" w:sz="18" w:space="0" w:color="auto"/>
              <w:bottom w:val="nil"/>
            </w:tcBorders>
          </w:tcPr>
          <w:p w14:paraId="136BE656"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CSIF</w:t>
            </w:r>
          </w:p>
        </w:tc>
        <w:tc>
          <w:tcPr>
            <w:tcW w:w="1985" w:type="dxa"/>
            <w:tcBorders>
              <w:top w:val="single" w:sz="18" w:space="0" w:color="auto"/>
              <w:bottom w:val="nil"/>
            </w:tcBorders>
          </w:tcPr>
          <w:p w14:paraId="2D702D7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0.05°, 4-day</w:t>
            </w:r>
          </w:p>
        </w:tc>
        <w:tc>
          <w:tcPr>
            <w:tcW w:w="1441" w:type="dxa"/>
            <w:tcBorders>
              <w:top w:val="single" w:sz="18" w:space="0" w:color="auto"/>
              <w:bottom w:val="nil"/>
            </w:tcBorders>
          </w:tcPr>
          <w:p w14:paraId="438DC96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18" w:space="0" w:color="auto"/>
              <w:bottom w:val="nil"/>
            </w:tcBorders>
          </w:tcPr>
          <w:p w14:paraId="31739E8D" w14:textId="77777777" w:rsidR="00EB1498" w:rsidRPr="00EB1498" w:rsidRDefault="002D7272" w:rsidP="00311816">
            <w:pPr>
              <w:spacing w:line="360" w:lineRule="exact"/>
              <w:rPr>
                <w:rFonts w:ascii="Times New Roman" w:hAnsi="Times New Roman" w:cs="Times New Roman"/>
                <w:sz w:val="20"/>
                <w:szCs w:val="20"/>
              </w:rPr>
            </w:pPr>
            <w:hyperlink r:id="rId28" w:history="1">
              <w:r w:rsidR="00EB1498" w:rsidRPr="00EB1498">
                <w:rPr>
                  <w:rStyle w:val="affff5"/>
                  <w:rFonts w:ascii="Times New Roman" w:hAnsi="Times New Roman" w:cs="Times New Roman"/>
                  <w:sz w:val="20"/>
                  <w:szCs w:val="20"/>
                </w:rPr>
                <w:t>https://doi.org/10.17605/OSF.IO/8XQY6</w:t>
              </w:r>
            </w:hyperlink>
          </w:p>
        </w:tc>
      </w:tr>
      <w:tr w:rsidR="00EB1498" w:rsidRPr="00EB1498" w14:paraId="6D09F624" w14:textId="77777777" w:rsidTr="00311816">
        <w:trPr>
          <w:jc w:val="center"/>
        </w:trPr>
        <w:tc>
          <w:tcPr>
            <w:tcW w:w="1316" w:type="dxa"/>
            <w:vMerge/>
            <w:tcBorders>
              <w:top w:val="nil"/>
              <w:bottom w:val="nil"/>
            </w:tcBorders>
          </w:tcPr>
          <w:p w14:paraId="122ABF18" w14:textId="77777777" w:rsidR="00EB1498" w:rsidRPr="00EB1498" w:rsidRDefault="00EB1498" w:rsidP="00311816">
            <w:pPr>
              <w:spacing w:line="360" w:lineRule="exact"/>
              <w:rPr>
                <w:rFonts w:ascii="Times New Roman" w:hAnsi="Times New Roman" w:cs="Times New Roman"/>
                <w:sz w:val="20"/>
                <w:szCs w:val="20"/>
              </w:rPr>
            </w:pPr>
          </w:p>
        </w:tc>
        <w:tc>
          <w:tcPr>
            <w:tcW w:w="2438" w:type="dxa"/>
            <w:tcBorders>
              <w:top w:val="nil"/>
              <w:bottom w:val="nil"/>
            </w:tcBorders>
          </w:tcPr>
          <w:p w14:paraId="0CF1A768"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GOSIF</w:t>
            </w:r>
          </w:p>
        </w:tc>
        <w:tc>
          <w:tcPr>
            <w:tcW w:w="1985" w:type="dxa"/>
            <w:tcBorders>
              <w:top w:val="nil"/>
              <w:bottom w:val="nil"/>
            </w:tcBorders>
          </w:tcPr>
          <w:p w14:paraId="2DAFF04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0.05°, 8-day</w:t>
            </w:r>
          </w:p>
        </w:tc>
        <w:tc>
          <w:tcPr>
            <w:tcW w:w="1441" w:type="dxa"/>
            <w:tcBorders>
              <w:top w:val="nil"/>
              <w:bottom w:val="nil"/>
            </w:tcBorders>
          </w:tcPr>
          <w:p w14:paraId="51A20080"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nil"/>
              <w:bottom w:val="nil"/>
            </w:tcBorders>
          </w:tcPr>
          <w:p w14:paraId="4EFA227D" w14:textId="77777777" w:rsidR="00EB1498" w:rsidRPr="00EB1498" w:rsidRDefault="002D7272" w:rsidP="00311816">
            <w:pPr>
              <w:spacing w:line="360" w:lineRule="exact"/>
              <w:rPr>
                <w:rFonts w:ascii="Times New Roman" w:hAnsi="Times New Roman" w:cs="Times New Roman"/>
                <w:sz w:val="20"/>
                <w:szCs w:val="20"/>
              </w:rPr>
            </w:pPr>
            <w:hyperlink r:id="rId29" w:history="1">
              <w:r w:rsidR="00EB1498" w:rsidRPr="00EB1498">
                <w:rPr>
                  <w:rStyle w:val="affff5"/>
                  <w:rFonts w:ascii="Times New Roman" w:hAnsi="Times New Roman" w:cs="Times New Roman"/>
                  <w:sz w:val="20"/>
                  <w:szCs w:val="20"/>
                </w:rPr>
                <w:t>https://globalecology.unh.edu/data/GOSIF.html</w:t>
              </w:r>
            </w:hyperlink>
          </w:p>
        </w:tc>
      </w:tr>
      <w:tr w:rsidR="00EB1498" w:rsidRPr="00EB1498" w14:paraId="79262271" w14:textId="77777777" w:rsidTr="00311816">
        <w:trPr>
          <w:jc w:val="center"/>
        </w:trPr>
        <w:tc>
          <w:tcPr>
            <w:tcW w:w="1316" w:type="dxa"/>
            <w:vMerge/>
            <w:tcBorders>
              <w:top w:val="nil"/>
              <w:bottom w:val="nil"/>
            </w:tcBorders>
          </w:tcPr>
          <w:p w14:paraId="3234B006" w14:textId="77777777" w:rsidR="00EB1498" w:rsidRPr="00EB1498" w:rsidRDefault="00EB1498" w:rsidP="00311816">
            <w:pPr>
              <w:spacing w:line="360" w:lineRule="exact"/>
              <w:rPr>
                <w:rFonts w:ascii="Times New Roman" w:hAnsi="Times New Roman" w:cs="Times New Roman"/>
                <w:sz w:val="20"/>
                <w:szCs w:val="20"/>
              </w:rPr>
            </w:pPr>
          </w:p>
        </w:tc>
        <w:tc>
          <w:tcPr>
            <w:tcW w:w="2438" w:type="dxa"/>
            <w:tcBorders>
              <w:top w:val="nil"/>
              <w:bottom w:val="nil"/>
            </w:tcBorders>
          </w:tcPr>
          <w:p w14:paraId="2A51B437"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LCSIF</w:t>
            </w:r>
          </w:p>
        </w:tc>
        <w:tc>
          <w:tcPr>
            <w:tcW w:w="1985" w:type="dxa"/>
            <w:tcBorders>
              <w:top w:val="nil"/>
              <w:bottom w:val="nil"/>
            </w:tcBorders>
          </w:tcPr>
          <w:p w14:paraId="1B7B7A40"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0.05°, bi-monthly</w:t>
            </w:r>
          </w:p>
        </w:tc>
        <w:tc>
          <w:tcPr>
            <w:tcW w:w="1441" w:type="dxa"/>
            <w:tcBorders>
              <w:top w:val="nil"/>
              <w:bottom w:val="nil"/>
            </w:tcBorders>
          </w:tcPr>
          <w:p w14:paraId="6B0D9BAD"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nil"/>
              <w:bottom w:val="nil"/>
            </w:tcBorders>
          </w:tcPr>
          <w:p w14:paraId="041A1F0F" w14:textId="77777777" w:rsidR="00EB1498" w:rsidRPr="00EB1498" w:rsidRDefault="002D7272" w:rsidP="00311816">
            <w:pPr>
              <w:spacing w:line="360" w:lineRule="exact"/>
              <w:rPr>
                <w:rFonts w:ascii="Times New Roman" w:hAnsi="Times New Roman" w:cs="Times New Roman"/>
                <w:sz w:val="20"/>
                <w:szCs w:val="20"/>
              </w:rPr>
            </w:pPr>
            <w:hyperlink r:id="rId30" w:history="1">
              <w:r w:rsidR="00EB1498" w:rsidRPr="00EB1498">
                <w:rPr>
                  <w:rStyle w:val="affff5"/>
                  <w:rFonts w:ascii="Times New Roman" w:hAnsi="Times New Roman" w:cs="Times New Roman"/>
                  <w:sz w:val="20"/>
                  <w:szCs w:val="20"/>
                </w:rPr>
                <w:t>https://zenodo.org/records/7916879</w:t>
              </w:r>
            </w:hyperlink>
          </w:p>
        </w:tc>
      </w:tr>
      <w:tr w:rsidR="00EB1498" w:rsidRPr="00EB1498" w14:paraId="78AE62F7" w14:textId="77777777" w:rsidTr="00311816">
        <w:trPr>
          <w:jc w:val="center"/>
        </w:trPr>
        <w:tc>
          <w:tcPr>
            <w:tcW w:w="1316" w:type="dxa"/>
            <w:vMerge/>
            <w:tcBorders>
              <w:top w:val="nil"/>
              <w:bottom w:val="nil"/>
            </w:tcBorders>
          </w:tcPr>
          <w:p w14:paraId="47043865" w14:textId="77777777" w:rsidR="00EB1498" w:rsidRPr="00EB1498" w:rsidRDefault="00EB1498" w:rsidP="00311816">
            <w:pPr>
              <w:spacing w:line="360" w:lineRule="exact"/>
              <w:rPr>
                <w:rFonts w:ascii="Times New Roman" w:hAnsi="Times New Roman" w:cs="Times New Roman"/>
                <w:sz w:val="20"/>
                <w:szCs w:val="20"/>
              </w:rPr>
            </w:pPr>
          </w:p>
        </w:tc>
        <w:tc>
          <w:tcPr>
            <w:tcW w:w="2438" w:type="dxa"/>
            <w:tcBorders>
              <w:top w:val="nil"/>
              <w:bottom w:val="nil"/>
            </w:tcBorders>
          </w:tcPr>
          <w:p w14:paraId="07F45189" w14:textId="77777777" w:rsidR="00EB1498" w:rsidRPr="00EB1498" w:rsidRDefault="00EB1498" w:rsidP="00311816">
            <w:pPr>
              <w:spacing w:line="360" w:lineRule="exact"/>
              <w:rPr>
                <w:rFonts w:ascii="Times New Roman" w:hAnsi="Times New Roman" w:cs="Times New Roman"/>
                <w:sz w:val="20"/>
                <w:szCs w:val="20"/>
              </w:rPr>
            </w:pPr>
            <w:proofErr w:type="spellStart"/>
            <w:r w:rsidRPr="00EB1498">
              <w:rPr>
                <w:rFonts w:ascii="Times New Roman" w:hAnsi="Times New Roman" w:cs="Times New Roman"/>
                <w:sz w:val="20"/>
                <w:szCs w:val="20"/>
              </w:rPr>
              <w:t>LT_SIFc</w:t>
            </w:r>
            <w:proofErr w:type="spellEnd"/>
          </w:p>
        </w:tc>
        <w:tc>
          <w:tcPr>
            <w:tcW w:w="1985" w:type="dxa"/>
            <w:tcBorders>
              <w:top w:val="nil"/>
              <w:bottom w:val="nil"/>
            </w:tcBorders>
          </w:tcPr>
          <w:p w14:paraId="42E8BC40"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0.05°, monthly</w:t>
            </w:r>
          </w:p>
        </w:tc>
        <w:tc>
          <w:tcPr>
            <w:tcW w:w="1441" w:type="dxa"/>
            <w:tcBorders>
              <w:top w:val="nil"/>
              <w:bottom w:val="nil"/>
            </w:tcBorders>
          </w:tcPr>
          <w:p w14:paraId="758AC807"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nil"/>
              <w:bottom w:val="nil"/>
            </w:tcBorders>
          </w:tcPr>
          <w:p w14:paraId="68289A25" w14:textId="77777777" w:rsidR="00EB1498" w:rsidRPr="00EB1498" w:rsidRDefault="00EB1498" w:rsidP="00311816">
            <w:pPr>
              <w:spacing w:line="360" w:lineRule="exact"/>
              <w:rPr>
                <w:rFonts w:ascii="Times New Roman" w:hAnsi="Times New Roman" w:cs="Times New Roman"/>
                <w:color w:val="0000FF"/>
                <w:sz w:val="20"/>
                <w:szCs w:val="20"/>
                <w:u w:val="single"/>
              </w:rPr>
            </w:pPr>
            <w:r w:rsidRPr="00EB1498">
              <w:rPr>
                <w:rFonts w:ascii="Times New Roman" w:hAnsi="Times New Roman" w:cs="Times New Roman"/>
                <w:color w:val="0000FF"/>
                <w:sz w:val="20"/>
                <w:szCs w:val="20"/>
                <w:u w:val="single"/>
              </w:rPr>
              <w:t>https://doi.org/10.6084/m9.figshare.21546066.v1</w:t>
            </w:r>
          </w:p>
        </w:tc>
      </w:tr>
      <w:tr w:rsidR="00EB1498" w:rsidRPr="00EB1498" w14:paraId="6212D51C" w14:textId="77777777" w:rsidTr="00311816">
        <w:trPr>
          <w:jc w:val="center"/>
        </w:trPr>
        <w:tc>
          <w:tcPr>
            <w:tcW w:w="1316" w:type="dxa"/>
            <w:tcBorders>
              <w:top w:val="single" w:sz="8" w:space="0" w:color="auto"/>
              <w:bottom w:val="single" w:sz="8" w:space="0" w:color="auto"/>
            </w:tcBorders>
          </w:tcPr>
          <w:p w14:paraId="5517A2A7"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NDVI</w:t>
            </w:r>
          </w:p>
        </w:tc>
        <w:tc>
          <w:tcPr>
            <w:tcW w:w="2438" w:type="dxa"/>
            <w:tcBorders>
              <w:top w:val="single" w:sz="8" w:space="0" w:color="auto"/>
              <w:bottom w:val="single" w:sz="8" w:space="0" w:color="auto"/>
            </w:tcBorders>
          </w:tcPr>
          <w:p w14:paraId="06C7C381"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PKU GIMMS NDVI</w:t>
            </w:r>
          </w:p>
        </w:tc>
        <w:tc>
          <w:tcPr>
            <w:tcW w:w="1985" w:type="dxa"/>
            <w:tcBorders>
              <w:top w:val="single" w:sz="8" w:space="0" w:color="auto"/>
              <w:bottom w:val="single" w:sz="8" w:space="0" w:color="auto"/>
            </w:tcBorders>
          </w:tcPr>
          <w:p w14:paraId="38A3CF61"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1/12°, half-monthly</w:t>
            </w:r>
          </w:p>
        </w:tc>
        <w:tc>
          <w:tcPr>
            <w:tcW w:w="1441" w:type="dxa"/>
            <w:tcBorders>
              <w:top w:val="single" w:sz="8" w:space="0" w:color="auto"/>
              <w:bottom w:val="single" w:sz="8" w:space="0" w:color="auto"/>
            </w:tcBorders>
          </w:tcPr>
          <w:p w14:paraId="7F5799D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bottom w:val="single" w:sz="8" w:space="0" w:color="auto"/>
            </w:tcBorders>
          </w:tcPr>
          <w:p w14:paraId="5EB50878" w14:textId="77777777" w:rsidR="00EB1498" w:rsidRPr="00EB1498" w:rsidRDefault="002D7272" w:rsidP="00311816">
            <w:pPr>
              <w:spacing w:line="360" w:lineRule="exact"/>
              <w:rPr>
                <w:rFonts w:ascii="Times New Roman" w:hAnsi="Times New Roman" w:cs="Times New Roman"/>
                <w:sz w:val="20"/>
                <w:szCs w:val="20"/>
                <w:u w:val="single"/>
              </w:rPr>
            </w:pPr>
            <w:hyperlink r:id="rId31" w:history="1">
              <w:r w:rsidR="00EB1498" w:rsidRPr="00EB1498">
                <w:rPr>
                  <w:rStyle w:val="affff5"/>
                  <w:rFonts w:ascii="Times New Roman" w:hAnsi="Times New Roman" w:cs="Times New Roman"/>
                  <w:sz w:val="20"/>
                  <w:szCs w:val="20"/>
                </w:rPr>
                <w:t>https://zenodo.org/records/8253971</w:t>
              </w:r>
            </w:hyperlink>
          </w:p>
        </w:tc>
      </w:tr>
      <w:tr w:rsidR="00EB1498" w:rsidRPr="00EB1498" w14:paraId="45D9E8E5" w14:textId="77777777" w:rsidTr="00311816">
        <w:trPr>
          <w:jc w:val="center"/>
        </w:trPr>
        <w:tc>
          <w:tcPr>
            <w:tcW w:w="1316" w:type="dxa"/>
            <w:vMerge w:val="restart"/>
            <w:tcBorders>
              <w:top w:val="single" w:sz="8" w:space="0" w:color="auto"/>
              <w:bottom w:val="nil"/>
            </w:tcBorders>
          </w:tcPr>
          <w:p w14:paraId="0786742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Fire activity</w:t>
            </w:r>
          </w:p>
        </w:tc>
        <w:tc>
          <w:tcPr>
            <w:tcW w:w="2438" w:type="dxa"/>
            <w:tcBorders>
              <w:top w:val="single" w:sz="8" w:space="0" w:color="auto"/>
              <w:bottom w:val="nil"/>
            </w:tcBorders>
          </w:tcPr>
          <w:p w14:paraId="4C21F17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NBAC</w:t>
            </w:r>
          </w:p>
        </w:tc>
        <w:tc>
          <w:tcPr>
            <w:tcW w:w="1985" w:type="dxa"/>
            <w:tcBorders>
              <w:top w:val="single" w:sz="8" w:space="0" w:color="auto"/>
              <w:bottom w:val="nil"/>
            </w:tcBorders>
          </w:tcPr>
          <w:p w14:paraId="4D39A6D8"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shapefile</w:t>
            </w:r>
          </w:p>
        </w:tc>
        <w:tc>
          <w:tcPr>
            <w:tcW w:w="1441" w:type="dxa"/>
            <w:tcBorders>
              <w:top w:val="single" w:sz="8" w:space="0" w:color="auto"/>
              <w:bottom w:val="nil"/>
            </w:tcBorders>
          </w:tcPr>
          <w:p w14:paraId="37C277E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2002-2018</w:t>
            </w:r>
          </w:p>
        </w:tc>
        <w:tc>
          <w:tcPr>
            <w:tcW w:w="0" w:type="auto"/>
            <w:tcBorders>
              <w:top w:val="single" w:sz="8" w:space="0" w:color="auto"/>
              <w:bottom w:val="nil"/>
            </w:tcBorders>
          </w:tcPr>
          <w:p w14:paraId="3A7F6F34" w14:textId="77777777" w:rsidR="00EB1498" w:rsidRPr="00EB1498" w:rsidRDefault="002D7272" w:rsidP="00311816">
            <w:pPr>
              <w:spacing w:line="360" w:lineRule="exact"/>
              <w:rPr>
                <w:rFonts w:ascii="Times New Roman" w:hAnsi="Times New Roman" w:cs="Times New Roman"/>
                <w:sz w:val="20"/>
                <w:szCs w:val="20"/>
              </w:rPr>
            </w:pPr>
            <w:hyperlink r:id="rId32" w:history="1">
              <w:r w:rsidR="00EB1498" w:rsidRPr="00EB1498">
                <w:rPr>
                  <w:rStyle w:val="affff5"/>
                  <w:rFonts w:ascii="Times New Roman" w:hAnsi="Times New Roman" w:cs="Times New Roman"/>
                  <w:sz w:val="20"/>
                  <w:szCs w:val="20"/>
                </w:rPr>
                <w:t>https://cwfis.cfs.nrcan.gc.ca/datamart</w:t>
              </w:r>
            </w:hyperlink>
          </w:p>
        </w:tc>
      </w:tr>
      <w:tr w:rsidR="00EB1498" w:rsidRPr="00EB1498" w14:paraId="1D7E8AED" w14:textId="77777777" w:rsidTr="00311816">
        <w:trPr>
          <w:jc w:val="center"/>
        </w:trPr>
        <w:tc>
          <w:tcPr>
            <w:tcW w:w="1316" w:type="dxa"/>
            <w:vMerge/>
            <w:tcBorders>
              <w:top w:val="nil"/>
              <w:bottom w:val="nil"/>
            </w:tcBorders>
          </w:tcPr>
          <w:p w14:paraId="53C86C36" w14:textId="77777777" w:rsidR="00EB1498" w:rsidRPr="00EB1498" w:rsidRDefault="00EB1498" w:rsidP="00311816">
            <w:pPr>
              <w:spacing w:line="360" w:lineRule="exact"/>
              <w:rPr>
                <w:rFonts w:ascii="Times New Roman" w:hAnsi="Times New Roman" w:cs="Times New Roman"/>
                <w:sz w:val="20"/>
                <w:szCs w:val="20"/>
              </w:rPr>
            </w:pPr>
          </w:p>
        </w:tc>
        <w:tc>
          <w:tcPr>
            <w:tcW w:w="2438" w:type="dxa"/>
            <w:tcBorders>
              <w:top w:val="nil"/>
              <w:bottom w:val="nil"/>
            </w:tcBorders>
          </w:tcPr>
          <w:p w14:paraId="4AEC3759"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MTBS</w:t>
            </w:r>
          </w:p>
        </w:tc>
        <w:tc>
          <w:tcPr>
            <w:tcW w:w="1985" w:type="dxa"/>
            <w:tcBorders>
              <w:top w:val="nil"/>
              <w:bottom w:val="nil"/>
            </w:tcBorders>
          </w:tcPr>
          <w:p w14:paraId="6314221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shapefile</w:t>
            </w:r>
          </w:p>
        </w:tc>
        <w:tc>
          <w:tcPr>
            <w:tcW w:w="1441" w:type="dxa"/>
            <w:tcBorders>
              <w:top w:val="nil"/>
              <w:bottom w:val="nil"/>
            </w:tcBorders>
          </w:tcPr>
          <w:p w14:paraId="166D384F"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2002-2018</w:t>
            </w:r>
          </w:p>
        </w:tc>
        <w:tc>
          <w:tcPr>
            <w:tcW w:w="0" w:type="auto"/>
            <w:tcBorders>
              <w:top w:val="nil"/>
              <w:bottom w:val="nil"/>
            </w:tcBorders>
          </w:tcPr>
          <w:p w14:paraId="7715E1A6" w14:textId="77777777" w:rsidR="00EB1498" w:rsidRPr="00EB1498" w:rsidRDefault="002D7272" w:rsidP="00311816">
            <w:pPr>
              <w:spacing w:line="360" w:lineRule="exact"/>
              <w:rPr>
                <w:rFonts w:ascii="Times New Roman" w:hAnsi="Times New Roman" w:cs="Times New Roman"/>
                <w:sz w:val="20"/>
                <w:szCs w:val="20"/>
              </w:rPr>
            </w:pPr>
            <w:hyperlink r:id="rId33" w:history="1">
              <w:r w:rsidR="00EB1498" w:rsidRPr="00EB1498">
                <w:rPr>
                  <w:rStyle w:val="affff5"/>
                  <w:rFonts w:ascii="Times New Roman" w:hAnsi="Times New Roman" w:cs="Times New Roman"/>
                  <w:sz w:val="20"/>
                  <w:szCs w:val="20"/>
                </w:rPr>
                <w:t>https://www.mtbs.gov/direct-download</w:t>
              </w:r>
            </w:hyperlink>
          </w:p>
        </w:tc>
      </w:tr>
      <w:tr w:rsidR="00EB1498" w:rsidRPr="00EB1498" w14:paraId="6600268A" w14:textId="77777777" w:rsidTr="00311816">
        <w:trPr>
          <w:jc w:val="center"/>
        </w:trPr>
        <w:tc>
          <w:tcPr>
            <w:tcW w:w="1316" w:type="dxa"/>
            <w:vMerge/>
            <w:tcBorders>
              <w:top w:val="nil"/>
              <w:bottom w:val="single" w:sz="8" w:space="0" w:color="auto"/>
            </w:tcBorders>
          </w:tcPr>
          <w:p w14:paraId="1AA4760C" w14:textId="77777777" w:rsidR="00EB1498" w:rsidRPr="00EB1498" w:rsidRDefault="00EB1498" w:rsidP="00311816">
            <w:pPr>
              <w:spacing w:line="360" w:lineRule="exact"/>
              <w:rPr>
                <w:rFonts w:ascii="Times New Roman" w:hAnsi="Times New Roman" w:cs="Times New Roman"/>
                <w:sz w:val="20"/>
                <w:szCs w:val="20"/>
              </w:rPr>
            </w:pPr>
          </w:p>
        </w:tc>
        <w:tc>
          <w:tcPr>
            <w:tcW w:w="2438" w:type="dxa"/>
            <w:tcBorders>
              <w:top w:val="nil"/>
              <w:bottom w:val="single" w:sz="8" w:space="0" w:color="auto"/>
            </w:tcBorders>
          </w:tcPr>
          <w:p w14:paraId="32517CEE"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MCD64A1 V6</w:t>
            </w:r>
          </w:p>
        </w:tc>
        <w:tc>
          <w:tcPr>
            <w:tcW w:w="1985" w:type="dxa"/>
            <w:tcBorders>
              <w:top w:val="nil"/>
              <w:bottom w:val="single" w:sz="8" w:space="0" w:color="auto"/>
            </w:tcBorders>
          </w:tcPr>
          <w:p w14:paraId="7B3296BE"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500m, monthly</w:t>
            </w:r>
          </w:p>
        </w:tc>
        <w:tc>
          <w:tcPr>
            <w:tcW w:w="1441" w:type="dxa"/>
            <w:tcBorders>
              <w:top w:val="nil"/>
              <w:bottom w:val="single" w:sz="8" w:space="0" w:color="auto"/>
            </w:tcBorders>
          </w:tcPr>
          <w:p w14:paraId="5ECDE085"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nil"/>
              <w:bottom w:val="single" w:sz="8" w:space="0" w:color="auto"/>
            </w:tcBorders>
          </w:tcPr>
          <w:p w14:paraId="1B2B44EE" w14:textId="77777777" w:rsidR="00EB1498" w:rsidRPr="00EB1498" w:rsidRDefault="002D7272" w:rsidP="00311816">
            <w:pPr>
              <w:spacing w:line="360" w:lineRule="exact"/>
              <w:rPr>
                <w:rFonts w:ascii="Times New Roman" w:hAnsi="Times New Roman" w:cs="Times New Roman"/>
                <w:sz w:val="20"/>
                <w:szCs w:val="20"/>
              </w:rPr>
            </w:pPr>
            <w:hyperlink r:id="rId34" w:history="1">
              <w:r w:rsidR="00EB1498" w:rsidRPr="00EB1498">
                <w:rPr>
                  <w:rFonts w:ascii="Times New Roman" w:hAnsi="Times New Roman" w:cs="Times New Roman"/>
                  <w:color w:val="0000FF"/>
                  <w:sz w:val="20"/>
                  <w:szCs w:val="20"/>
                  <w:u w:val="single"/>
                </w:rPr>
                <w:t>https://doi.org/10.5067/MODIS/MCD64A1.006</w:t>
              </w:r>
            </w:hyperlink>
          </w:p>
        </w:tc>
      </w:tr>
      <w:tr w:rsidR="00EB1498" w:rsidRPr="00EB1498" w14:paraId="7B1CDF3D" w14:textId="77777777" w:rsidTr="00311816">
        <w:trPr>
          <w:jc w:val="center"/>
        </w:trPr>
        <w:tc>
          <w:tcPr>
            <w:tcW w:w="1316" w:type="dxa"/>
            <w:tcBorders>
              <w:top w:val="single" w:sz="8" w:space="0" w:color="auto"/>
              <w:bottom w:val="single" w:sz="8" w:space="0" w:color="auto"/>
            </w:tcBorders>
          </w:tcPr>
          <w:p w14:paraId="2ED3724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Climate variable</w:t>
            </w:r>
          </w:p>
        </w:tc>
        <w:tc>
          <w:tcPr>
            <w:tcW w:w="2438" w:type="dxa"/>
            <w:tcBorders>
              <w:top w:val="single" w:sz="8" w:space="0" w:color="auto"/>
              <w:bottom w:val="single" w:sz="8" w:space="0" w:color="auto"/>
            </w:tcBorders>
          </w:tcPr>
          <w:p w14:paraId="00D4923F"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ERA5-Land monthly averaged reanalysis data (T, PRE, SM, Td, RAD)</w:t>
            </w:r>
          </w:p>
        </w:tc>
        <w:tc>
          <w:tcPr>
            <w:tcW w:w="1985" w:type="dxa"/>
            <w:tcBorders>
              <w:top w:val="single" w:sz="8" w:space="0" w:color="auto"/>
              <w:bottom w:val="single" w:sz="8" w:space="0" w:color="auto"/>
            </w:tcBorders>
          </w:tcPr>
          <w:p w14:paraId="75FB3D0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0.1°, monthly</w:t>
            </w:r>
          </w:p>
        </w:tc>
        <w:tc>
          <w:tcPr>
            <w:tcW w:w="1441" w:type="dxa"/>
            <w:tcBorders>
              <w:top w:val="single" w:sz="8" w:space="0" w:color="auto"/>
              <w:bottom w:val="single" w:sz="8" w:space="0" w:color="auto"/>
            </w:tcBorders>
          </w:tcPr>
          <w:p w14:paraId="4261DE1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bottom w:val="single" w:sz="8" w:space="0" w:color="auto"/>
            </w:tcBorders>
          </w:tcPr>
          <w:p w14:paraId="3F92BB01" w14:textId="77777777" w:rsidR="00EB1498" w:rsidRPr="00EB1498" w:rsidRDefault="002D7272" w:rsidP="00311816">
            <w:pPr>
              <w:spacing w:line="360" w:lineRule="exact"/>
              <w:rPr>
                <w:rFonts w:ascii="Times New Roman" w:hAnsi="Times New Roman" w:cs="Times New Roman"/>
                <w:sz w:val="20"/>
                <w:szCs w:val="20"/>
              </w:rPr>
            </w:pPr>
            <w:hyperlink r:id="rId35" w:history="1">
              <w:r w:rsidR="00EB1498" w:rsidRPr="00EB1498">
                <w:rPr>
                  <w:rFonts w:ascii="Times New Roman" w:hAnsi="Times New Roman" w:cs="Times New Roman"/>
                  <w:color w:val="0000FF"/>
                  <w:sz w:val="20"/>
                  <w:szCs w:val="20"/>
                  <w:u w:val="single"/>
                </w:rPr>
                <w:t>https://cds.climate.copernicus.eu/cdsapp#!/dataset/reanalysis-era5-land-monthly-means?tab=overview</w:t>
              </w:r>
            </w:hyperlink>
          </w:p>
        </w:tc>
      </w:tr>
      <w:tr w:rsidR="00EB1498" w:rsidRPr="00EB1498" w14:paraId="08619ACC" w14:textId="77777777" w:rsidTr="00311816">
        <w:trPr>
          <w:jc w:val="center"/>
        </w:trPr>
        <w:tc>
          <w:tcPr>
            <w:tcW w:w="1316" w:type="dxa"/>
            <w:tcBorders>
              <w:top w:val="single" w:sz="8" w:space="0" w:color="auto"/>
              <w:bottom w:val="single" w:sz="8" w:space="0" w:color="auto"/>
            </w:tcBorders>
          </w:tcPr>
          <w:p w14:paraId="1DAD2B1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CWD</w:t>
            </w:r>
          </w:p>
        </w:tc>
        <w:tc>
          <w:tcPr>
            <w:tcW w:w="2438" w:type="dxa"/>
            <w:tcBorders>
              <w:top w:val="single" w:sz="8" w:space="0" w:color="auto"/>
              <w:bottom w:val="single" w:sz="8" w:space="0" w:color="auto"/>
            </w:tcBorders>
          </w:tcPr>
          <w:p w14:paraId="175BA612" w14:textId="77777777" w:rsidR="00EB1498" w:rsidRPr="00EB1498" w:rsidRDefault="00EB1498" w:rsidP="00311816">
            <w:pPr>
              <w:spacing w:line="360" w:lineRule="exact"/>
              <w:rPr>
                <w:rFonts w:ascii="Times New Roman" w:hAnsi="Times New Roman" w:cs="Times New Roman"/>
                <w:sz w:val="20"/>
                <w:szCs w:val="20"/>
              </w:rPr>
            </w:pPr>
            <w:proofErr w:type="spellStart"/>
            <w:r w:rsidRPr="00EB1498">
              <w:rPr>
                <w:rFonts w:ascii="Times New Roman" w:hAnsi="Times New Roman" w:cs="Times New Roman"/>
                <w:sz w:val="20"/>
                <w:szCs w:val="20"/>
              </w:rPr>
              <w:t>TerraClimate</w:t>
            </w:r>
            <w:proofErr w:type="spellEnd"/>
          </w:p>
        </w:tc>
        <w:tc>
          <w:tcPr>
            <w:tcW w:w="1985" w:type="dxa"/>
            <w:tcBorders>
              <w:top w:val="single" w:sz="8" w:space="0" w:color="auto"/>
              <w:bottom w:val="single" w:sz="8" w:space="0" w:color="auto"/>
            </w:tcBorders>
          </w:tcPr>
          <w:p w14:paraId="31FEAC4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1/24°, monthly</w:t>
            </w:r>
          </w:p>
        </w:tc>
        <w:tc>
          <w:tcPr>
            <w:tcW w:w="1441" w:type="dxa"/>
            <w:tcBorders>
              <w:top w:val="single" w:sz="8" w:space="0" w:color="auto"/>
              <w:bottom w:val="single" w:sz="8" w:space="0" w:color="auto"/>
            </w:tcBorders>
          </w:tcPr>
          <w:p w14:paraId="1224BC73"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bottom w:val="single" w:sz="8" w:space="0" w:color="auto"/>
            </w:tcBorders>
          </w:tcPr>
          <w:p w14:paraId="265E3D47" w14:textId="77777777" w:rsidR="00EB1498" w:rsidRPr="00EB1498" w:rsidRDefault="002D7272" w:rsidP="00311816">
            <w:pPr>
              <w:spacing w:line="360" w:lineRule="exact"/>
              <w:rPr>
                <w:rFonts w:ascii="Times New Roman" w:hAnsi="Times New Roman" w:cs="Times New Roman"/>
                <w:sz w:val="20"/>
                <w:szCs w:val="20"/>
                <w:u w:val="single"/>
              </w:rPr>
            </w:pPr>
            <w:hyperlink r:id="rId36" w:history="1">
              <w:r w:rsidR="00EB1498" w:rsidRPr="00EB1498">
                <w:rPr>
                  <w:rStyle w:val="affff5"/>
                  <w:rFonts w:ascii="Times New Roman" w:hAnsi="Times New Roman" w:cs="Times New Roman"/>
                  <w:sz w:val="20"/>
                  <w:szCs w:val="20"/>
                </w:rPr>
                <w:t>https://www.climatologylab.org/terraclimate.html</w:t>
              </w:r>
            </w:hyperlink>
          </w:p>
        </w:tc>
      </w:tr>
      <w:tr w:rsidR="00EB1498" w:rsidRPr="00EB1498" w14:paraId="64A82971" w14:textId="77777777" w:rsidTr="00311816">
        <w:trPr>
          <w:jc w:val="center"/>
        </w:trPr>
        <w:tc>
          <w:tcPr>
            <w:tcW w:w="1316" w:type="dxa"/>
            <w:tcBorders>
              <w:top w:val="single" w:sz="8" w:space="0" w:color="auto"/>
              <w:bottom w:val="single" w:sz="8" w:space="0" w:color="auto"/>
            </w:tcBorders>
          </w:tcPr>
          <w:p w14:paraId="237C3AF5"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BUI</w:t>
            </w:r>
          </w:p>
        </w:tc>
        <w:tc>
          <w:tcPr>
            <w:tcW w:w="2438" w:type="dxa"/>
            <w:tcBorders>
              <w:top w:val="single" w:sz="8" w:space="0" w:color="auto"/>
              <w:bottom w:val="single" w:sz="8" w:space="0" w:color="auto"/>
            </w:tcBorders>
          </w:tcPr>
          <w:p w14:paraId="6FEEA157"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Fire danger indices historical data</w:t>
            </w:r>
          </w:p>
        </w:tc>
        <w:tc>
          <w:tcPr>
            <w:tcW w:w="1985" w:type="dxa"/>
            <w:tcBorders>
              <w:top w:val="single" w:sz="8" w:space="0" w:color="auto"/>
              <w:bottom w:val="single" w:sz="8" w:space="0" w:color="auto"/>
            </w:tcBorders>
          </w:tcPr>
          <w:p w14:paraId="30B08CB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0.25°, daily</w:t>
            </w:r>
          </w:p>
        </w:tc>
        <w:tc>
          <w:tcPr>
            <w:tcW w:w="1441" w:type="dxa"/>
            <w:tcBorders>
              <w:top w:val="single" w:sz="8" w:space="0" w:color="auto"/>
              <w:bottom w:val="single" w:sz="8" w:space="0" w:color="auto"/>
            </w:tcBorders>
          </w:tcPr>
          <w:p w14:paraId="00139ACF"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bottom w:val="single" w:sz="8" w:space="0" w:color="auto"/>
            </w:tcBorders>
          </w:tcPr>
          <w:p w14:paraId="0B26A582" w14:textId="77777777" w:rsidR="00EB1498" w:rsidRPr="00EB1498" w:rsidRDefault="002D7272" w:rsidP="00311816">
            <w:pPr>
              <w:spacing w:line="360" w:lineRule="exact"/>
              <w:rPr>
                <w:rFonts w:ascii="Times New Roman" w:hAnsi="Times New Roman" w:cs="Times New Roman"/>
                <w:sz w:val="20"/>
                <w:szCs w:val="20"/>
                <w:u w:val="single"/>
              </w:rPr>
            </w:pPr>
            <w:hyperlink r:id="rId37" w:history="1">
              <w:r w:rsidR="00EB1498" w:rsidRPr="00EB1498">
                <w:rPr>
                  <w:rStyle w:val="affff5"/>
                  <w:rFonts w:ascii="Times New Roman" w:hAnsi="Times New Roman" w:cs="Times New Roman"/>
                  <w:sz w:val="20"/>
                  <w:szCs w:val="20"/>
                </w:rPr>
                <w:t>https://cds.climate.copernicus.eu/cdsapp#!/dataset/cems-fire-historical?tab=overview</w:t>
              </w:r>
            </w:hyperlink>
          </w:p>
        </w:tc>
      </w:tr>
      <w:tr w:rsidR="00EB1498" w:rsidRPr="00EB1498" w14:paraId="0C32E0C3" w14:textId="77777777" w:rsidTr="00311816">
        <w:trPr>
          <w:jc w:val="center"/>
        </w:trPr>
        <w:tc>
          <w:tcPr>
            <w:tcW w:w="1316" w:type="dxa"/>
            <w:tcBorders>
              <w:top w:val="single" w:sz="8" w:space="0" w:color="auto"/>
              <w:bottom w:val="single" w:sz="8" w:space="0" w:color="auto"/>
            </w:tcBorders>
          </w:tcPr>
          <w:p w14:paraId="224ACAE8"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Land cover type</w:t>
            </w:r>
          </w:p>
        </w:tc>
        <w:tc>
          <w:tcPr>
            <w:tcW w:w="2438" w:type="dxa"/>
            <w:tcBorders>
              <w:top w:val="single" w:sz="8" w:space="0" w:color="auto"/>
              <w:bottom w:val="single" w:sz="8" w:space="0" w:color="auto"/>
            </w:tcBorders>
          </w:tcPr>
          <w:p w14:paraId="2A56FB67"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MCD12Q1 V6 IGBP classification</w:t>
            </w:r>
          </w:p>
        </w:tc>
        <w:tc>
          <w:tcPr>
            <w:tcW w:w="1985" w:type="dxa"/>
            <w:tcBorders>
              <w:top w:val="single" w:sz="8" w:space="0" w:color="auto"/>
              <w:bottom w:val="single" w:sz="8" w:space="0" w:color="auto"/>
            </w:tcBorders>
          </w:tcPr>
          <w:p w14:paraId="65F75F14"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500 m, yearly</w:t>
            </w:r>
          </w:p>
        </w:tc>
        <w:tc>
          <w:tcPr>
            <w:tcW w:w="1441" w:type="dxa"/>
            <w:tcBorders>
              <w:top w:val="single" w:sz="8" w:space="0" w:color="auto"/>
              <w:bottom w:val="single" w:sz="8" w:space="0" w:color="auto"/>
            </w:tcBorders>
          </w:tcPr>
          <w:p w14:paraId="5E07791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bottom w:val="single" w:sz="8" w:space="0" w:color="auto"/>
            </w:tcBorders>
          </w:tcPr>
          <w:p w14:paraId="5FBDB76E" w14:textId="77777777" w:rsidR="00EB1498" w:rsidRPr="00EB1498" w:rsidRDefault="002D7272" w:rsidP="00311816">
            <w:pPr>
              <w:spacing w:line="360" w:lineRule="exact"/>
              <w:rPr>
                <w:rFonts w:ascii="Times New Roman" w:hAnsi="Times New Roman" w:cs="Times New Roman"/>
                <w:sz w:val="20"/>
                <w:szCs w:val="20"/>
              </w:rPr>
            </w:pPr>
            <w:hyperlink r:id="rId38" w:history="1">
              <w:r w:rsidR="00EB1498" w:rsidRPr="00EB1498">
                <w:rPr>
                  <w:rFonts w:ascii="Times New Roman" w:hAnsi="Times New Roman" w:cs="Times New Roman"/>
                  <w:color w:val="0000FF"/>
                  <w:sz w:val="20"/>
                  <w:szCs w:val="20"/>
                  <w:u w:val="single"/>
                </w:rPr>
                <w:t>https://doi.org/10.5067/MODIS/MCD12Q1.006</w:t>
              </w:r>
            </w:hyperlink>
          </w:p>
        </w:tc>
      </w:tr>
      <w:tr w:rsidR="00EB1498" w:rsidRPr="00EB1498" w14:paraId="537B470E" w14:textId="77777777" w:rsidTr="00311816">
        <w:trPr>
          <w:jc w:val="center"/>
        </w:trPr>
        <w:tc>
          <w:tcPr>
            <w:tcW w:w="1316" w:type="dxa"/>
            <w:tcBorders>
              <w:top w:val="single" w:sz="8" w:space="0" w:color="auto"/>
              <w:bottom w:val="single" w:sz="8" w:space="0" w:color="auto"/>
            </w:tcBorders>
          </w:tcPr>
          <w:p w14:paraId="16E55E9A"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Climate classification</w:t>
            </w:r>
          </w:p>
        </w:tc>
        <w:tc>
          <w:tcPr>
            <w:tcW w:w="2438" w:type="dxa"/>
            <w:tcBorders>
              <w:top w:val="single" w:sz="8" w:space="0" w:color="auto"/>
              <w:bottom w:val="single" w:sz="8" w:space="0" w:color="auto"/>
            </w:tcBorders>
          </w:tcPr>
          <w:p w14:paraId="786AF18A" w14:textId="77777777" w:rsidR="00EB1498" w:rsidRPr="00EB1498" w:rsidRDefault="00EB1498" w:rsidP="00311816">
            <w:pPr>
              <w:spacing w:line="360" w:lineRule="exact"/>
              <w:rPr>
                <w:rFonts w:ascii="Times New Roman" w:hAnsi="Times New Roman" w:cs="Times New Roman"/>
                <w:sz w:val="20"/>
                <w:szCs w:val="20"/>
              </w:rPr>
            </w:pPr>
            <w:proofErr w:type="spellStart"/>
            <w:r w:rsidRPr="00EB1498">
              <w:rPr>
                <w:rFonts w:ascii="Times New Roman" w:hAnsi="Times New Roman" w:cs="Times New Roman"/>
                <w:sz w:val="20"/>
                <w:szCs w:val="20"/>
              </w:rPr>
              <w:t>Köppen</w:t>
            </w:r>
            <w:proofErr w:type="spellEnd"/>
            <w:r w:rsidRPr="00EB1498">
              <w:rPr>
                <w:rFonts w:ascii="Times New Roman" w:hAnsi="Times New Roman" w:cs="Times New Roman"/>
                <w:sz w:val="20"/>
                <w:szCs w:val="20"/>
              </w:rPr>
              <w:t>-Geiger climate classification</w:t>
            </w:r>
          </w:p>
        </w:tc>
        <w:tc>
          <w:tcPr>
            <w:tcW w:w="1985" w:type="dxa"/>
            <w:tcBorders>
              <w:top w:val="single" w:sz="8" w:space="0" w:color="auto"/>
              <w:bottom w:val="single" w:sz="8" w:space="0" w:color="auto"/>
            </w:tcBorders>
          </w:tcPr>
          <w:p w14:paraId="39C132CB"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0.083°</w:t>
            </w:r>
          </w:p>
        </w:tc>
        <w:tc>
          <w:tcPr>
            <w:tcW w:w="1441" w:type="dxa"/>
            <w:tcBorders>
              <w:top w:val="single" w:sz="8" w:space="0" w:color="auto"/>
              <w:bottom w:val="single" w:sz="8" w:space="0" w:color="auto"/>
            </w:tcBorders>
          </w:tcPr>
          <w:p w14:paraId="43C672BB"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present-day (1980-2016)</w:t>
            </w:r>
          </w:p>
        </w:tc>
        <w:tc>
          <w:tcPr>
            <w:tcW w:w="0" w:type="auto"/>
            <w:tcBorders>
              <w:top w:val="single" w:sz="8" w:space="0" w:color="auto"/>
              <w:bottom w:val="single" w:sz="8" w:space="0" w:color="auto"/>
            </w:tcBorders>
          </w:tcPr>
          <w:p w14:paraId="2F2C59BC" w14:textId="77777777" w:rsidR="00EB1498" w:rsidRPr="00EB1498" w:rsidRDefault="002D7272" w:rsidP="00311816">
            <w:pPr>
              <w:spacing w:line="360" w:lineRule="exact"/>
              <w:rPr>
                <w:rFonts w:ascii="Times New Roman" w:hAnsi="Times New Roman" w:cs="Times New Roman"/>
                <w:sz w:val="20"/>
                <w:szCs w:val="20"/>
              </w:rPr>
            </w:pPr>
            <w:hyperlink r:id="rId39" w:history="1">
              <w:r w:rsidR="00EB1498" w:rsidRPr="00EB1498">
                <w:rPr>
                  <w:rFonts w:ascii="Times New Roman" w:hAnsi="Times New Roman" w:cs="Times New Roman"/>
                  <w:color w:val="0000FF"/>
                  <w:sz w:val="20"/>
                  <w:szCs w:val="20"/>
                  <w:u w:val="single"/>
                </w:rPr>
                <w:t>http://www.gloh2o.org/koppen/</w:t>
              </w:r>
            </w:hyperlink>
          </w:p>
        </w:tc>
      </w:tr>
      <w:tr w:rsidR="00EB1498" w:rsidRPr="00EB1498" w14:paraId="70613544" w14:textId="77777777" w:rsidTr="00311816">
        <w:trPr>
          <w:jc w:val="center"/>
        </w:trPr>
        <w:tc>
          <w:tcPr>
            <w:tcW w:w="1316" w:type="dxa"/>
            <w:tcBorders>
              <w:top w:val="single" w:sz="8" w:space="0" w:color="auto"/>
              <w:bottom w:val="single" w:sz="8" w:space="0" w:color="auto"/>
            </w:tcBorders>
          </w:tcPr>
          <w:p w14:paraId="3B61C20C"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Biome</w:t>
            </w:r>
          </w:p>
        </w:tc>
        <w:tc>
          <w:tcPr>
            <w:tcW w:w="2438" w:type="dxa"/>
            <w:tcBorders>
              <w:top w:val="single" w:sz="8" w:space="0" w:color="auto"/>
              <w:bottom w:val="single" w:sz="8" w:space="0" w:color="auto"/>
            </w:tcBorders>
          </w:tcPr>
          <w:p w14:paraId="305E17A8"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Terrestrial Ecoregions of the World</w:t>
            </w:r>
          </w:p>
        </w:tc>
        <w:tc>
          <w:tcPr>
            <w:tcW w:w="1985" w:type="dxa"/>
            <w:tcBorders>
              <w:top w:val="single" w:sz="8" w:space="0" w:color="auto"/>
              <w:bottom w:val="single" w:sz="8" w:space="0" w:color="auto"/>
            </w:tcBorders>
          </w:tcPr>
          <w:p w14:paraId="24BE64F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shapefile</w:t>
            </w:r>
          </w:p>
        </w:tc>
        <w:tc>
          <w:tcPr>
            <w:tcW w:w="1441" w:type="dxa"/>
            <w:tcBorders>
              <w:top w:val="single" w:sz="8" w:space="0" w:color="auto"/>
              <w:bottom w:val="single" w:sz="8" w:space="0" w:color="auto"/>
            </w:tcBorders>
          </w:tcPr>
          <w:p w14:paraId="3733546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w:t>
            </w:r>
          </w:p>
        </w:tc>
        <w:tc>
          <w:tcPr>
            <w:tcW w:w="0" w:type="auto"/>
            <w:tcBorders>
              <w:top w:val="single" w:sz="8" w:space="0" w:color="auto"/>
              <w:bottom w:val="single" w:sz="8" w:space="0" w:color="auto"/>
            </w:tcBorders>
          </w:tcPr>
          <w:p w14:paraId="4738FD7B" w14:textId="77777777" w:rsidR="00EB1498" w:rsidRPr="00EB1498" w:rsidRDefault="00EB1498" w:rsidP="00311816">
            <w:pPr>
              <w:spacing w:line="360" w:lineRule="exact"/>
              <w:rPr>
                <w:rFonts w:ascii="Times New Roman" w:hAnsi="Times New Roman" w:cs="Times New Roman"/>
                <w:color w:val="0000FF"/>
                <w:sz w:val="20"/>
                <w:szCs w:val="20"/>
                <w:u w:val="single"/>
              </w:rPr>
            </w:pPr>
            <w:r w:rsidRPr="00EB1498">
              <w:rPr>
                <w:rFonts w:ascii="Times New Roman" w:hAnsi="Times New Roman" w:cs="Times New Roman"/>
                <w:color w:val="0000FF"/>
                <w:sz w:val="20"/>
                <w:szCs w:val="20"/>
                <w:u w:val="single"/>
              </w:rPr>
              <w:t>https://www.worldwildlife.org/publications/terrestrial-ecoregions-of-the-world</w:t>
            </w:r>
          </w:p>
        </w:tc>
      </w:tr>
      <w:tr w:rsidR="00EB1498" w:rsidRPr="00EB1498" w14:paraId="06C619D7" w14:textId="77777777" w:rsidTr="00311816">
        <w:trPr>
          <w:jc w:val="center"/>
        </w:trPr>
        <w:tc>
          <w:tcPr>
            <w:tcW w:w="1316" w:type="dxa"/>
            <w:tcBorders>
              <w:top w:val="single" w:sz="8" w:space="0" w:color="auto"/>
            </w:tcBorders>
          </w:tcPr>
          <w:p w14:paraId="5C456CE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lastRenderedPageBreak/>
              <w:t>Global fire CO</w:t>
            </w:r>
            <w:r w:rsidRPr="00EB1498">
              <w:rPr>
                <w:rFonts w:ascii="Times New Roman" w:hAnsi="Times New Roman" w:cs="Times New Roman"/>
                <w:sz w:val="20"/>
                <w:szCs w:val="20"/>
                <w:vertAlign w:val="subscript"/>
              </w:rPr>
              <w:t>2</w:t>
            </w:r>
            <w:r w:rsidRPr="00EB1498">
              <w:rPr>
                <w:rFonts w:ascii="Times New Roman" w:hAnsi="Times New Roman" w:cs="Times New Roman"/>
                <w:sz w:val="20"/>
                <w:szCs w:val="20"/>
              </w:rPr>
              <w:t xml:space="preserve"> emissions</w:t>
            </w:r>
          </w:p>
        </w:tc>
        <w:tc>
          <w:tcPr>
            <w:tcW w:w="2438" w:type="dxa"/>
            <w:tcBorders>
              <w:top w:val="single" w:sz="8" w:space="0" w:color="auto"/>
            </w:tcBorders>
          </w:tcPr>
          <w:p w14:paraId="6E6F0B9E" w14:textId="77777777" w:rsidR="00EB1498" w:rsidRPr="00EB1498" w:rsidRDefault="00EB1498" w:rsidP="00311816">
            <w:pPr>
              <w:spacing w:line="360" w:lineRule="exact"/>
              <w:rPr>
                <w:rFonts w:ascii="Times New Roman" w:hAnsi="Times New Roman" w:cs="Times New Roman"/>
                <w:sz w:val="20"/>
                <w:szCs w:val="20"/>
              </w:rPr>
            </w:pPr>
            <w:proofErr w:type="spellStart"/>
            <w:r w:rsidRPr="00EB1498">
              <w:rPr>
                <w:rFonts w:ascii="Times New Roman" w:hAnsi="Times New Roman" w:cs="Times New Roman"/>
                <w:sz w:val="20"/>
                <w:szCs w:val="20"/>
              </w:rPr>
              <w:t>GlobalFire</w:t>
            </w:r>
            <w:proofErr w:type="spellEnd"/>
            <w:r w:rsidRPr="00EB1498">
              <w:rPr>
                <w:rFonts w:ascii="Times New Roman" w:hAnsi="Times New Roman" w:cs="Times New Roman"/>
                <w:sz w:val="20"/>
                <w:szCs w:val="20"/>
              </w:rPr>
              <w:t xml:space="preserve"> CO</w:t>
            </w:r>
            <w:r w:rsidRPr="00EB1498">
              <w:rPr>
                <w:rFonts w:ascii="Times New Roman" w:hAnsi="Times New Roman" w:cs="Times New Roman"/>
                <w:sz w:val="20"/>
                <w:szCs w:val="20"/>
                <w:vertAlign w:val="subscript"/>
              </w:rPr>
              <w:t>2</w:t>
            </w:r>
          </w:p>
        </w:tc>
        <w:tc>
          <w:tcPr>
            <w:tcW w:w="1985" w:type="dxa"/>
            <w:tcBorders>
              <w:top w:val="single" w:sz="8" w:space="0" w:color="auto"/>
            </w:tcBorders>
          </w:tcPr>
          <w:p w14:paraId="351D8D5B"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3.75°×1.9°, monthly</w:t>
            </w:r>
          </w:p>
        </w:tc>
        <w:tc>
          <w:tcPr>
            <w:tcW w:w="1441" w:type="dxa"/>
            <w:tcBorders>
              <w:top w:val="single" w:sz="8" w:space="0" w:color="auto"/>
            </w:tcBorders>
          </w:tcPr>
          <w:p w14:paraId="49C4B7B2" w14:textId="77777777" w:rsidR="00EB1498" w:rsidRPr="00EB1498" w:rsidRDefault="00EB1498" w:rsidP="00311816">
            <w:pPr>
              <w:spacing w:line="360" w:lineRule="exact"/>
              <w:rPr>
                <w:rFonts w:ascii="Times New Roman" w:hAnsi="Times New Roman" w:cs="Times New Roman"/>
                <w:sz w:val="20"/>
                <w:szCs w:val="20"/>
              </w:rPr>
            </w:pPr>
            <w:r w:rsidRPr="00EB1498">
              <w:rPr>
                <w:rFonts w:ascii="Times New Roman" w:hAnsi="Times New Roman" w:cs="Times New Roman"/>
                <w:sz w:val="20"/>
                <w:szCs w:val="20"/>
              </w:rPr>
              <w:t>2001-2018</w:t>
            </w:r>
          </w:p>
        </w:tc>
        <w:tc>
          <w:tcPr>
            <w:tcW w:w="0" w:type="auto"/>
            <w:tcBorders>
              <w:top w:val="single" w:sz="8" w:space="0" w:color="auto"/>
            </w:tcBorders>
          </w:tcPr>
          <w:p w14:paraId="1AC80720" w14:textId="77777777" w:rsidR="00EB1498" w:rsidRPr="00EB1498" w:rsidRDefault="00EB1498" w:rsidP="00311816">
            <w:pPr>
              <w:spacing w:line="360" w:lineRule="exact"/>
              <w:rPr>
                <w:rFonts w:ascii="Times New Roman" w:hAnsi="Times New Roman" w:cs="Times New Roman"/>
                <w:color w:val="0000FF"/>
                <w:sz w:val="20"/>
                <w:szCs w:val="20"/>
                <w:u w:val="single"/>
              </w:rPr>
            </w:pPr>
            <w:r w:rsidRPr="00EB1498">
              <w:rPr>
                <w:rFonts w:ascii="Times New Roman" w:hAnsi="Times New Roman" w:cs="Times New Roman"/>
                <w:color w:val="0000FF"/>
                <w:sz w:val="20"/>
                <w:szCs w:val="20"/>
                <w:u w:val="single"/>
              </w:rPr>
              <w:t>http://www.nesdc.org.cn/sdo/detail?id=618a22467e2817667e3c7d9e</w:t>
            </w:r>
          </w:p>
        </w:tc>
      </w:tr>
    </w:tbl>
    <w:p w14:paraId="472B43B0" w14:textId="1B0BA1DA" w:rsidR="00320C57" w:rsidRDefault="00EB1498" w:rsidP="00AD60FF">
      <w:pPr>
        <w:spacing w:before="120" w:after="120" w:line="360" w:lineRule="auto"/>
        <w:jc w:val="both"/>
      </w:pPr>
      <w:r>
        <w:rPr>
          <w:szCs w:val="24"/>
          <w:lang w:eastAsia="zh-CN"/>
        </w:rPr>
        <w:t xml:space="preserve">SIF: </w:t>
      </w:r>
      <w:r w:rsidRPr="0033255A">
        <w:rPr>
          <w:szCs w:val="24"/>
          <w:lang w:eastAsia="zh-CN"/>
        </w:rPr>
        <w:t>solar-induced chlorophyll fluorescence</w:t>
      </w:r>
      <w:r>
        <w:rPr>
          <w:szCs w:val="24"/>
          <w:lang w:eastAsia="zh-CN"/>
        </w:rPr>
        <w:t xml:space="preserve">; NDVI: normalized difference vegetation index; T: 2 m air temperature; PRE: total precipitation; SM: </w:t>
      </w:r>
      <w:r w:rsidR="00992A1A">
        <w:rPr>
          <w:szCs w:val="24"/>
          <w:lang w:eastAsia="zh-CN"/>
        </w:rPr>
        <w:t xml:space="preserve">surface </w:t>
      </w:r>
      <w:r>
        <w:rPr>
          <w:szCs w:val="24"/>
          <w:lang w:eastAsia="zh-CN"/>
        </w:rPr>
        <w:t>soil moisture content; Td: 2 m dewpoint temperature; RAD: surface solar radiation downwards; CWD: climatic water deficit; BUI: build up index. T and Td were used to calculate vapor pressure deficit (VPD) and relative humidity (RH).</w:t>
      </w:r>
    </w:p>
    <w:p w14:paraId="672B5AB1" w14:textId="7592CD47" w:rsidR="00B36F77" w:rsidRDefault="00B36F77" w:rsidP="00D9744B">
      <w:pPr>
        <w:pStyle w:val="SMcaption"/>
        <w:spacing w:before="120" w:after="120" w:line="360" w:lineRule="exact"/>
        <w:jc w:val="both"/>
        <w:rPr>
          <w:szCs w:val="24"/>
        </w:rPr>
      </w:pPr>
    </w:p>
    <w:p w14:paraId="6080FBC1" w14:textId="77777777" w:rsidR="00EB1498" w:rsidRDefault="00EB1498" w:rsidP="00D9744B">
      <w:pPr>
        <w:pStyle w:val="SMcaption"/>
        <w:spacing w:before="120" w:after="120" w:line="360" w:lineRule="exact"/>
        <w:jc w:val="both"/>
        <w:rPr>
          <w:szCs w:val="24"/>
        </w:rPr>
        <w:sectPr w:rsidR="00EB1498" w:rsidSect="00B63B5C">
          <w:pgSz w:w="15840" w:h="12240" w:orient="landscape"/>
          <w:pgMar w:top="1440" w:right="1440" w:bottom="1440" w:left="1440" w:header="720" w:footer="720" w:gutter="0"/>
          <w:lnNumType w:countBy="1" w:restart="continuous"/>
          <w:cols w:space="720"/>
          <w:docGrid w:linePitch="360"/>
        </w:sectPr>
      </w:pPr>
    </w:p>
    <w:p w14:paraId="2294EB86" w14:textId="46E72EC7" w:rsidR="008F0A84" w:rsidRPr="00B57828" w:rsidRDefault="008F0A84" w:rsidP="008F0A84">
      <w:pPr>
        <w:spacing w:before="120" w:after="120" w:line="360" w:lineRule="exact"/>
        <w:rPr>
          <w:b/>
          <w:szCs w:val="24"/>
          <w:lang w:eastAsia="zh-CN"/>
        </w:rPr>
      </w:pPr>
      <w:r w:rsidRPr="00B57828">
        <w:rPr>
          <w:rFonts w:hint="eastAsia"/>
          <w:b/>
          <w:szCs w:val="24"/>
          <w:lang w:eastAsia="zh-CN"/>
        </w:rPr>
        <w:lastRenderedPageBreak/>
        <w:t>T</w:t>
      </w:r>
      <w:r w:rsidRPr="00B57828">
        <w:rPr>
          <w:b/>
          <w:szCs w:val="24"/>
          <w:lang w:eastAsia="zh-CN"/>
        </w:rPr>
        <w:t xml:space="preserve">able S2. Summary of the </w:t>
      </w:r>
      <w:proofErr w:type="spellStart"/>
      <w:r w:rsidRPr="00B57828">
        <w:rPr>
          <w:b/>
          <w:szCs w:val="24"/>
          <w:lang w:eastAsia="zh-CN"/>
        </w:rPr>
        <w:t>FireMIP</w:t>
      </w:r>
      <w:proofErr w:type="spellEnd"/>
      <w:r w:rsidRPr="00B57828">
        <w:rPr>
          <w:b/>
          <w:szCs w:val="24"/>
          <w:lang w:eastAsia="zh-CN"/>
        </w:rPr>
        <w:t xml:space="preserve"> fire-vegetation models</w:t>
      </w:r>
      <w:r w:rsidRPr="00B57828">
        <w:rPr>
          <w:b/>
          <w:szCs w:val="24"/>
          <w:lang w:eastAsia="zh-CN"/>
        </w:rPr>
        <w:fldChar w:fldCharType="begin">
          <w:fldData xml:space="preserve">PEVuZE5vdGU+PENpdGU+PEF1dGhvcj5IYW50c29uPC9BdXRob3I+PFllYXI+MjAyMDwvWWVhcj48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</w:fldData>
        </w:fldChar>
      </w:r>
      <w:r w:rsidR="003E0D7A">
        <w:rPr>
          <w:b/>
          <w:szCs w:val="24"/>
          <w:lang w:eastAsia="zh-CN"/>
        </w:rPr>
        <w:instrText xml:space="preserve"> ADDIN EN.CITE </w:instrText>
      </w:r>
      <w:r w:rsidR="003E0D7A">
        <w:rPr>
          <w:b/>
          <w:szCs w:val="24"/>
          <w:lang w:eastAsia="zh-CN"/>
        </w:rPr>
        <w:fldChar w:fldCharType="begin">
          <w:fldData xml:space="preserve">PEVuZE5vdGU+PENpdGU+PEF1dGhvcj5IYW50c29uPC9BdXRob3I+PFllYXI+MjAyMDwvWWVhcj48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</w:fldData>
        </w:fldChar>
      </w:r>
      <w:r w:rsidR="003E0D7A">
        <w:rPr>
          <w:b/>
          <w:szCs w:val="24"/>
          <w:lang w:eastAsia="zh-CN"/>
        </w:rPr>
        <w:instrText xml:space="preserve"> ADDIN EN.CITE.DATA </w:instrText>
      </w:r>
      <w:r w:rsidR="003E0D7A">
        <w:rPr>
          <w:b/>
          <w:szCs w:val="24"/>
          <w:lang w:eastAsia="zh-CN"/>
        </w:rPr>
      </w:r>
      <w:r w:rsidR="003E0D7A">
        <w:rPr>
          <w:b/>
          <w:szCs w:val="24"/>
          <w:lang w:eastAsia="zh-CN"/>
        </w:rPr>
        <w:fldChar w:fldCharType="end"/>
      </w:r>
      <w:r w:rsidRPr="00B57828">
        <w:rPr>
          <w:b/>
          <w:szCs w:val="24"/>
          <w:lang w:eastAsia="zh-CN"/>
        </w:rPr>
      </w:r>
      <w:r w:rsidRPr="00B57828">
        <w:rPr>
          <w:b/>
          <w:szCs w:val="24"/>
          <w:lang w:eastAsia="zh-CN"/>
        </w:rPr>
        <w:fldChar w:fldCharType="separate"/>
      </w:r>
      <w:r w:rsidR="003E0D7A" w:rsidRPr="003E0D7A">
        <w:rPr>
          <w:b/>
          <w:noProof/>
          <w:szCs w:val="24"/>
          <w:vertAlign w:val="superscript"/>
          <w:lang w:eastAsia="zh-CN"/>
        </w:rPr>
        <w:t>1,2</w:t>
      </w:r>
      <w:r w:rsidRPr="00B57828">
        <w:rPr>
          <w:b/>
          <w:szCs w:val="24"/>
          <w:lang w:eastAsia="zh-CN"/>
        </w:rPr>
        <w:fldChar w:fldCharType="end"/>
      </w:r>
      <w:r w:rsidRPr="00B57828">
        <w:rPr>
          <w:b/>
          <w:szCs w:val="24"/>
          <w:lang w:eastAsia="zh-CN"/>
        </w:rPr>
        <w:t xml:space="preserve"> used in this study.</w:t>
      </w:r>
    </w:p>
    <w:tbl>
      <w:tblPr>
        <w:tblStyle w:val="affffa"/>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3119"/>
        <w:gridCol w:w="1559"/>
        <w:gridCol w:w="1275"/>
      </w:tblGrid>
      <w:tr w:rsidR="008F0A84" w:rsidRPr="00DC2F9F" w14:paraId="4DEEC84A" w14:textId="77777777" w:rsidTr="00311816">
        <w:tc>
          <w:tcPr>
            <w:tcW w:w="3397" w:type="dxa"/>
            <w:tcBorders>
              <w:top w:val="single" w:sz="18" w:space="0" w:color="auto"/>
              <w:bottom w:val="single" w:sz="18" w:space="0" w:color="auto"/>
            </w:tcBorders>
            <w:vAlign w:val="center"/>
          </w:tcPr>
          <w:p w14:paraId="461C2CA0" w14:textId="77777777" w:rsidR="008F0A84" w:rsidRPr="00DC2F9F" w:rsidRDefault="008F0A84" w:rsidP="00311816">
            <w:pPr>
              <w:spacing w:before="120" w:line="360" w:lineRule="auto"/>
              <w:jc w:val="center"/>
              <w:rPr>
                <w:rFonts w:ascii="Times New Roman" w:hAnsi="Times New Roman" w:cs="Times New Roman"/>
                <w:color w:val="000000" w:themeColor="text1"/>
                <w:sz w:val="20"/>
                <w:szCs w:val="20"/>
              </w:rPr>
            </w:pPr>
            <w:r w:rsidRPr="00DC2F9F">
              <w:rPr>
                <w:rFonts w:ascii="Times New Roman" w:hAnsi="Times New Roman" w:cs="Times New Roman"/>
                <w:color w:val="000000" w:themeColor="text1"/>
                <w:sz w:val="20"/>
                <w:szCs w:val="20"/>
              </w:rPr>
              <w:t>Model</w:t>
            </w:r>
          </w:p>
        </w:tc>
        <w:tc>
          <w:tcPr>
            <w:tcW w:w="3119" w:type="dxa"/>
            <w:tcBorders>
              <w:top w:val="single" w:sz="18" w:space="0" w:color="auto"/>
              <w:bottom w:val="single" w:sz="18" w:space="0" w:color="auto"/>
            </w:tcBorders>
            <w:vAlign w:val="center"/>
          </w:tcPr>
          <w:p w14:paraId="41E8D1C3" w14:textId="77777777" w:rsidR="008F0A84" w:rsidRPr="00DC2F9F" w:rsidRDefault="008F0A84" w:rsidP="00311816">
            <w:pPr>
              <w:spacing w:before="120" w:line="360" w:lineRule="auto"/>
              <w:jc w:val="center"/>
              <w:rPr>
                <w:rFonts w:ascii="Times New Roman" w:hAnsi="Times New Roman" w:cs="Times New Roman"/>
                <w:color w:val="000000" w:themeColor="text1"/>
                <w:sz w:val="20"/>
                <w:szCs w:val="20"/>
              </w:rPr>
            </w:pPr>
            <w:r w:rsidRPr="00DC2F9F">
              <w:rPr>
                <w:rFonts w:ascii="Times New Roman" w:hAnsi="Times New Roman" w:cs="Times New Roman"/>
                <w:color w:val="000000" w:themeColor="text1"/>
                <w:sz w:val="20"/>
                <w:szCs w:val="20"/>
              </w:rPr>
              <w:t>Resolution</w:t>
            </w:r>
          </w:p>
        </w:tc>
        <w:tc>
          <w:tcPr>
            <w:tcW w:w="1559" w:type="dxa"/>
            <w:tcBorders>
              <w:top w:val="single" w:sz="18" w:space="0" w:color="auto"/>
              <w:bottom w:val="single" w:sz="18" w:space="0" w:color="auto"/>
            </w:tcBorders>
            <w:vAlign w:val="center"/>
          </w:tcPr>
          <w:p w14:paraId="1BC4054D" w14:textId="77777777" w:rsidR="008F0A84" w:rsidRPr="00DC2F9F" w:rsidRDefault="008F0A84" w:rsidP="00311816">
            <w:pPr>
              <w:spacing w:before="120" w:line="360" w:lineRule="auto"/>
              <w:jc w:val="center"/>
              <w:rPr>
                <w:rFonts w:ascii="Times New Roman" w:hAnsi="Times New Roman" w:cs="Times New Roman"/>
                <w:color w:val="000000" w:themeColor="text1"/>
                <w:sz w:val="20"/>
                <w:szCs w:val="20"/>
              </w:rPr>
            </w:pPr>
            <w:r w:rsidRPr="00DC2F9F">
              <w:rPr>
                <w:rFonts w:ascii="Times New Roman" w:hAnsi="Times New Roman" w:cs="Times New Roman"/>
                <w:color w:val="000000" w:themeColor="text1"/>
                <w:sz w:val="20"/>
                <w:szCs w:val="20"/>
              </w:rPr>
              <w:t>Period</w:t>
            </w:r>
          </w:p>
        </w:tc>
        <w:tc>
          <w:tcPr>
            <w:tcW w:w="1275" w:type="dxa"/>
            <w:tcBorders>
              <w:top w:val="single" w:sz="18" w:space="0" w:color="auto"/>
              <w:bottom w:val="single" w:sz="18" w:space="0" w:color="auto"/>
            </w:tcBorders>
            <w:vAlign w:val="center"/>
          </w:tcPr>
          <w:p w14:paraId="4A0C1E2F" w14:textId="77777777" w:rsidR="008F0A84" w:rsidRPr="00DC2F9F" w:rsidRDefault="008F0A84" w:rsidP="00311816">
            <w:pPr>
              <w:spacing w:before="120" w:line="360" w:lineRule="auto"/>
              <w:jc w:val="center"/>
              <w:rPr>
                <w:rFonts w:ascii="Times New Roman" w:hAnsi="Times New Roman" w:cs="Times New Roman"/>
                <w:color w:val="000000" w:themeColor="text1"/>
                <w:sz w:val="20"/>
                <w:szCs w:val="20"/>
              </w:rPr>
            </w:pPr>
            <w:r w:rsidRPr="00DC2F9F">
              <w:rPr>
                <w:rFonts w:ascii="Times New Roman" w:hAnsi="Times New Roman" w:cs="Times New Roman"/>
                <w:color w:val="000000" w:themeColor="text1"/>
                <w:sz w:val="20"/>
                <w:szCs w:val="20"/>
              </w:rPr>
              <w:t>Output</w:t>
            </w:r>
          </w:p>
        </w:tc>
      </w:tr>
      <w:tr w:rsidR="008F0A84" w:rsidRPr="00DC2F9F" w14:paraId="4F8281E9" w14:textId="77777777" w:rsidTr="00311816">
        <w:tc>
          <w:tcPr>
            <w:tcW w:w="3397" w:type="dxa"/>
            <w:tcBorders>
              <w:top w:val="single" w:sz="18" w:space="0" w:color="auto"/>
            </w:tcBorders>
            <w:vAlign w:val="center"/>
          </w:tcPr>
          <w:p w14:paraId="5C86A934" w14:textId="134C51EB" w:rsidR="008F0A84" w:rsidRPr="00DC2F9F" w:rsidRDefault="008F0A84" w:rsidP="00311816">
            <w:pPr>
              <w:spacing w:before="120" w:line="360" w:lineRule="auto"/>
              <w:jc w:val="center"/>
              <w:rPr>
                <w:rFonts w:ascii="Times New Roman" w:hAnsi="Times New Roman" w:cs="Times New Roman"/>
                <w:color w:val="000000" w:themeColor="text1"/>
                <w:sz w:val="20"/>
                <w:szCs w:val="20"/>
              </w:rPr>
            </w:pPr>
            <w:r w:rsidRPr="00DC2F9F">
              <w:rPr>
                <w:rFonts w:ascii="Times New Roman" w:hAnsi="Times New Roman" w:cs="Times New Roman"/>
                <w:color w:val="000000" w:themeColor="text1"/>
                <w:sz w:val="20"/>
                <w:szCs w:val="20"/>
              </w:rPr>
              <w:t>CLM</w:t>
            </w:r>
            <w:r w:rsidRPr="00DC2F9F">
              <w:rPr>
                <w:color w:val="000000" w:themeColor="text1"/>
                <w:sz w:val="20"/>
              </w:rPr>
              <w:fldChar w:fldCharType="begin"/>
            </w:r>
            <w:r w:rsidR="003E0D7A" w:rsidRPr="00DC2F9F">
              <w:rPr>
                <w:rFonts w:ascii="Times New Roman" w:hAnsi="Times New Roman" w:cs="Times New Roman"/>
                <w:color w:val="000000" w:themeColor="text1"/>
                <w:sz w:val="20"/>
              </w:rPr>
              <w:instrText xml:space="preserve"> ADDIN EN.CITE &lt;EndNote&gt;&lt;Cite&gt;&lt;Author&gt;Li&lt;/Author&gt;&lt;Year&gt;2013&lt;/Year&gt;&lt;RecNum&gt;526&lt;/RecNum&gt;&lt;DisplayText&gt;&lt;style face="superscript"&gt;3&lt;/style&gt;&lt;/DisplayText&gt;&lt;record&gt;&lt;rec-number&gt;526&lt;/rec-number&gt;&lt;foreign-keys&gt;&lt;key app="EN" db-id="pxzew0safrpr5xer0pbv05dq5sevsfse5sw9" timestamp="1688799719"&gt;526&lt;/key&gt;&lt;/foreign-keys&gt;&lt;ref-type name="Journal Article"&gt;17&lt;/ref-type&gt;&lt;contributors&gt;&lt;authors&gt;&lt;author&gt;Li, F.&lt;/author&gt;&lt;author&gt;Levis, S.&lt;/author&gt;&lt;author&gt;Ward, D. S.&lt;/author&gt;&lt;/authors&gt;&lt;/contributors&gt;&lt;titles&gt;&lt;title&gt;Quantifying the role of fire in the Earth system – Part 1: Improved global fire modeling in the Community Earth System Model (CESM1)&lt;/title&gt;&lt;secondary-title&gt;Biogeosciences&lt;/secondary-title&gt;&lt;/titles&gt;&lt;periodical&gt;&lt;full-title&gt;Biogeosciences&lt;/full-title&gt;&lt;/periodical&gt;&lt;pages&gt;2293-2314&lt;/pages&gt;&lt;volume&gt;10&lt;/volume&gt;&lt;number&gt;4&lt;/number&gt;&lt;section&gt;2293&lt;/section&gt;&lt;dates&gt;&lt;year&gt;2013&lt;/year&gt;&lt;/dates&gt;&lt;isbn&gt;1726-4189&lt;/isbn&gt;&lt;urls&gt;&lt;/urls&gt;&lt;electronic-resource-num&gt;10.5194/bg-10-2293-2013&lt;/electronic-resource-num&gt;&lt;/record&gt;&lt;/Cite&gt;&lt;/EndNote&gt;</w:instrText>
            </w:r>
            <w:r w:rsidRPr="00DC2F9F">
              <w:rPr>
                <w:color w:val="000000" w:themeColor="text1"/>
                <w:sz w:val="20"/>
              </w:rPr>
              <w:fldChar w:fldCharType="separate"/>
            </w:r>
            <w:r w:rsidR="003E0D7A" w:rsidRPr="00DC2F9F">
              <w:rPr>
                <w:rFonts w:ascii="Times New Roman" w:hAnsi="Times New Roman" w:cs="Times New Roman"/>
                <w:noProof/>
                <w:color w:val="000000" w:themeColor="text1"/>
                <w:sz w:val="20"/>
                <w:vertAlign w:val="superscript"/>
              </w:rPr>
              <w:t>3</w:t>
            </w:r>
            <w:r w:rsidRPr="00DC2F9F">
              <w:rPr>
                <w:color w:val="000000" w:themeColor="text1"/>
                <w:sz w:val="20"/>
              </w:rPr>
              <w:fldChar w:fldCharType="end"/>
            </w:r>
          </w:p>
        </w:tc>
        <w:tc>
          <w:tcPr>
            <w:tcW w:w="3119" w:type="dxa"/>
            <w:tcBorders>
              <w:top w:val="single" w:sz="18" w:space="0" w:color="auto"/>
            </w:tcBorders>
            <w:vAlign w:val="center"/>
          </w:tcPr>
          <w:p w14:paraId="3516266E"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2.5°×1.9°, monthly</w:t>
            </w:r>
          </w:p>
        </w:tc>
        <w:tc>
          <w:tcPr>
            <w:tcW w:w="1559" w:type="dxa"/>
            <w:tcBorders>
              <w:top w:val="single" w:sz="18" w:space="0" w:color="auto"/>
            </w:tcBorders>
            <w:vAlign w:val="center"/>
          </w:tcPr>
          <w:p w14:paraId="2DCD0B13"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tcBorders>
              <w:top w:val="single" w:sz="18" w:space="0" w:color="auto"/>
            </w:tcBorders>
            <w:vAlign w:val="center"/>
          </w:tcPr>
          <w:p w14:paraId="2E2EABD3"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631B77AC" w14:textId="77777777" w:rsidTr="00311816">
        <w:tc>
          <w:tcPr>
            <w:tcW w:w="3397" w:type="dxa"/>
            <w:vAlign w:val="center"/>
          </w:tcPr>
          <w:p w14:paraId="5CBEB3B1" w14:textId="07EFBBA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JSBACH-SPITFIRE</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&lt;EndNote&gt;&lt;Cite&gt;&lt;Author&gt;Lasslop&lt;/Author&gt;&lt;Year&gt;2014&lt;/Year&gt;&lt;RecNum&gt;530&lt;/RecNum&gt;&lt;DisplayText&gt;&lt;style face="superscript"&gt;4&lt;/style&gt;&lt;/DisplayText&gt;&lt;record&gt;&lt;rec-number&gt;530&lt;/rec-number&gt;&lt;foreign-keys&gt;&lt;key app="EN" db-id="pxzew0safrpr5xer0pbv05dq5sevsfse5sw9" timestamp="1688799798"&gt;530&lt;/key&gt;&lt;/foreign-keys&gt;&lt;ref-type name="Journal Article"&gt;17&lt;/ref-type&gt;&lt;contributors&gt;&lt;authors&gt;&lt;author&gt;Lasslop, Gitta&lt;/author&gt;&lt;author&gt;Thonicke, Kirsten&lt;/author&gt;&lt;author&gt;Kloster, Silvia&lt;/author&gt;&lt;/authors&gt;&lt;/contributors&gt;&lt;titles&gt;&lt;title&gt;SPITFIRE within the MPI Earth system model: Model development and evaluation&lt;/title&gt;&lt;secondary-title&gt;Journal of Advances in Modeling Earth Systems&lt;/secondary-title&gt;&lt;/titles&gt;&lt;periodical&gt;&lt;full-title&gt;Journal of Advances in Modeling Earth Systems&lt;/full-title&gt;&lt;/periodical&gt;&lt;pages&gt;740-755&lt;/pages&gt;&lt;volume&gt;6&lt;/volume&gt;&lt;number&gt;3&lt;/number&gt;&lt;section&gt;740&lt;/section&gt;&lt;dates&gt;&lt;year&gt;2014&lt;/year&gt;&lt;/dates&gt;&lt;isbn&gt;19422466&lt;/isbn&gt;&lt;urls&gt;&lt;/urls&gt;&lt;electronic-resource-num&gt;10.1002/2013ms000284&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4</w:t>
            </w:r>
            <w:r w:rsidRPr="00DC2F9F">
              <w:rPr>
                <w:rFonts w:eastAsia="Times New Roman"/>
                <w:color w:val="000000" w:themeColor="text1"/>
                <w:sz w:val="20"/>
              </w:rPr>
              <w:fldChar w:fldCharType="end"/>
            </w:r>
          </w:p>
        </w:tc>
        <w:tc>
          <w:tcPr>
            <w:tcW w:w="3119" w:type="dxa"/>
            <w:vAlign w:val="center"/>
          </w:tcPr>
          <w:p w14:paraId="1B00644C"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1.875°×1.875°, monthly</w:t>
            </w:r>
          </w:p>
        </w:tc>
        <w:tc>
          <w:tcPr>
            <w:tcW w:w="1559" w:type="dxa"/>
            <w:vAlign w:val="center"/>
          </w:tcPr>
          <w:p w14:paraId="791466A9"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1EB3644C"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227228A8" w14:textId="77777777" w:rsidTr="00311816">
        <w:tc>
          <w:tcPr>
            <w:tcW w:w="3397" w:type="dxa"/>
            <w:vAlign w:val="center"/>
          </w:tcPr>
          <w:p w14:paraId="2FCAE6F0" w14:textId="12FEA2DA"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LPJ-GUESS-SPITFIRE</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&lt;EndNote&gt;&lt;Cite&gt;&lt;Author&gt;Lehsten&lt;/Author&gt;&lt;Year&gt;2009&lt;/Year&gt;&lt;RecNum&gt;535&lt;/RecNum&gt;&lt;DisplayText&gt;&lt;style face="superscript"&gt;5&lt;/style&gt;&lt;/DisplayText&gt;&lt;record&gt;&lt;rec-number&gt;535&lt;/rec-number&gt;&lt;foreign-keys&gt;&lt;key app="EN" db-id="pxzew0safrpr5xer0pbv05dq5sevsfse5sw9" timestamp="1688799897"&gt;535&lt;/key&gt;&lt;/foreign-keys&gt;&lt;ref-type name="Journal Article"&gt;17&lt;/ref-type&gt;&lt;contributors&gt;&lt;authors&gt;&lt;author&gt;Lehsten, V.&lt;/author&gt;&lt;author&gt;Tansey, K.&lt;/author&gt;&lt;author&gt;Balzter, H.&lt;/author&gt;&lt;author&gt;Thonicke, K.&lt;/author&gt;&lt;author&gt;Spessa, A.&lt;/author&gt;&lt;author&gt;Weber, U.&lt;/author&gt;&lt;author&gt;Smith, B.&lt;/author&gt;&lt;author&gt;Arneth, A.&lt;/author&gt;&lt;/authors&gt;&lt;/contributors&gt;&lt;titles&gt;&lt;title&gt;Estimating carbon emissions from African wildfires&lt;/title&gt;&lt;secondary-title&gt;Biogeosciences&lt;/secondary-title&gt;&lt;/titles&gt;&lt;periodical&gt;&lt;full-title&gt;Biogeosciences&lt;/full-title&gt;&lt;/periodical&gt;&lt;pages&gt;349-360&lt;/pages&gt;&lt;volume&gt;6&lt;/volume&gt;&lt;number&gt;3&lt;/number&gt;&lt;dates&gt;&lt;year&gt;2009&lt;/year&gt;&lt;/dates&gt;&lt;publisher&gt;Copernicus Publications&lt;/publisher&gt;&lt;isbn&gt;1726-4189&lt;/isbn&gt;&lt;urls&gt;&lt;related-urls&gt;&lt;url&gt;https://bg.copernicus.org/articles/6/349/2009/&lt;/url&gt;&lt;/related-urls&gt;&lt;/urls&gt;&lt;electronic-resource-num&gt;10.5194/bg-6-349-2009&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5</w:t>
            </w:r>
            <w:r w:rsidRPr="00DC2F9F">
              <w:rPr>
                <w:rFonts w:eastAsia="Times New Roman"/>
                <w:color w:val="000000" w:themeColor="text1"/>
                <w:sz w:val="20"/>
              </w:rPr>
              <w:fldChar w:fldCharType="end"/>
            </w:r>
          </w:p>
        </w:tc>
        <w:tc>
          <w:tcPr>
            <w:tcW w:w="3119" w:type="dxa"/>
            <w:vAlign w:val="center"/>
          </w:tcPr>
          <w:p w14:paraId="160A5CC8"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0.5°×0.5°, monthly</w:t>
            </w:r>
          </w:p>
        </w:tc>
        <w:tc>
          <w:tcPr>
            <w:tcW w:w="1559" w:type="dxa"/>
            <w:vAlign w:val="center"/>
          </w:tcPr>
          <w:p w14:paraId="26962519"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6919EBA6"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124A81E5" w14:textId="77777777" w:rsidTr="00311816">
        <w:tc>
          <w:tcPr>
            <w:tcW w:w="3397" w:type="dxa"/>
            <w:vAlign w:val="center"/>
          </w:tcPr>
          <w:p w14:paraId="108E7759" w14:textId="4DBA4CFA"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ORCHIDEE-SPITFIRE</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&lt;EndNote&gt;&lt;Cite&gt;&lt;Author&gt;Yue&lt;/Author&gt;&lt;Year&gt;2014&lt;/Year&gt;&lt;RecNum&gt;529&lt;/RecNum&gt;&lt;DisplayText&gt;&lt;style face="superscript"&gt;6&lt;/style&gt;&lt;/DisplayText&gt;&lt;record&gt;&lt;rec-number&gt;529&lt;/rec-number&gt;&lt;foreign-keys&gt;&lt;key app="EN" db-id="pxzew0safrpr5xer0pbv05dq5sevsfse5sw9" timestamp="1688799793"&gt;529&lt;/key&gt;&lt;/foreign-keys&gt;&lt;ref-type name="Journal Article"&gt;17&lt;/ref-type&gt;&lt;contributors&gt;&lt;authors&gt;&lt;author&gt;Yue, C.&lt;/author&gt;&lt;author&gt;Ciais, P.&lt;/author&gt;&lt;author&gt;Cadule, P.&lt;/author&gt;&lt;author&gt;Thonicke, K.&lt;/author&gt;&lt;author&gt;Archibald, S.&lt;/author&gt;&lt;author&gt;Poulter, B.&lt;/author&gt;&lt;author&gt;Hao, W. M.&lt;/author&gt;&lt;author&gt;Hantson, S.&lt;/author&gt;&lt;author&gt;Mouillot, F.&lt;/author&gt;&lt;author&gt;Friedlingstein, P.&lt;/author&gt;&lt;author&gt;Maignan, F.&lt;/author&gt;&lt;author&gt;Viovy, N.&lt;/author&gt;&lt;/authors&gt;&lt;/contributors&gt;&lt;titles&gt;&lt;title&gt;Modelling the role of fires in the terrestrial carbon balance by incorporating SPITFIRE into the global vegetation model ORCHIDEE – Part 1: simulating historical global burned area and fire regimes&lt;/title&gt;&lt;secondary-title&gt;Geoscientific Model Development&lt;/secondary-title&gt;&lt;/titles&gt;&lt;periodical&gt;&lt;full-title&gt;Geoscientific Model Development&lt;/full-title&gt;&lt;/periodical&gt;&lt;pages&gt;2747-2767&lt;/pages&gt;&lt;volume&gt;7&lt;/volume&gt;&lt;number&gt;6&lt;/number&gt;&lt;section&gt;2747&lt;/section&gt;&lt;dates&gt;&lt;year&gt;2014&lt;/year&gt;&lt;/dates&gt;&lt;isbn&gt;1991-9603&lt;/isbn&gt;&lt;urls&gt;&lt;/urls&gt;&lt;electronic-resource-num&gt;10.5194/gmd-7-2747-2014&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6</w:t>
            </w:r>
            <w:r w:rsidRPr="00DC2F9F">
              <w:rPr>
                <w:rFonts w:eastAsia="Times New Roman"/>
                <w:color w:val="000000" w:themeColor="text1"/>
                <w:sz w:val="20"/>
              </w:rPr>
              <w:fldChar w:fldCharType="end"/>
            </w:r>
          </w:p>
        </w:tc>
        <w:tc>
          <w:tcPr>
            <w:tcW w:w="3119" w:type="dxa"/>
            <w:vAlign w:val="center"/>
          </w:tcPr>
          <w:p w14:paraId="44853B4B"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0.5°×0.5°, monthly</w:t>
            </w:r>
          </w:p>
        </w:tc>
        <w:tc>
          <w:tcPr>
            <w:tcW w:w="1559" w:type="dxa"/>
            <w:vAlign w:val="center"/>
          </w:tcPr>
          <w:p w14:paraId="46407B4C"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32C6DE4A"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5ECAB248" w14:textId="77777777" w:rsidTr="00311816">
        <w:tc>
          <w:tcPr>
            <w:tcW w:w="3397" w:type="dxa"/>
            <w:vAlign w:val="center"/>
          </w:tcPr>
          <w:p w14:paraId="4F65ECD5" w14:textId="7F27ED1B"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CTEM</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&lt;EndNote&gt;&lt;Cite&gt;&lt;Author&gt;Melton&lt;/Author&gt;&lt;Year&gt;2016&lt;/Year&gt;&lt;RecNum&gt;533&lt;/RecNum&gt;&lt;DisplayText&gt;&lt;style face="superscript"&gt;7&lt;/style&gt;&lt;/DisplayText&gt;&lt;record&gt;&lt;rec-number&gt;533&lt;/rec-number&gt;&lt;foreign-keys&gt;&lt;key app="EN" db-id="pxzew0safrpr5xer0pbv05dq5sevsfse5sw9" timestamp="1688799815"&gt;533&lt;/key&gt;&lt;/foreign-keys&gt;&lt;ref-type name="Journal Article"&gt;17&lt;/ref-type&gt;&lt;contributors&gt;&lt;authors&gt;&lt;author&gt;Melton, J. R.&lt;/author&gt;&lt;author&gt;Arora, V. K.&lt;/author&gt;&lt;/authors&gt;&lt;/contributors&gt;&lt;titles&gt;&lt;title&gt;Competition between plant functional types in the Canadian Terrestrial Ecosystem Model (CTEM) v. 2.0&lt;/title&gt;&lt;secondary-title&gt;Geoscientific Model Development&lt;/secondary-title&gt;&lt;/titles&gt;&lt;periodical&gt;&lt;full-title&gt;Geoscientific Model Development&lt;/full-title&gt;&lt;/periodical&gt;&lt;pages&gt;323-361&lt;/pages&gt;&lt;volume&gt;9&lt;/volume&gt;&lt;number&gt;1&lt;/number&gt;&lt;section&gt;323&lt;/section&gt;&lt;dates&gt;&lt;year&gt;2016&lt;/year&gt;&lt;/dates&gt;&lt;isbn&gt;1991-9603&lt;/isbn&gt;&lt;urls&gt;&lt;/urls&gt;&lt;electronic-resource-num&gt;10.5194/gmd-9-323-2016&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7</w:t>
            </w:r>
            <w:r w:rsidRPr="00DC2F9F">
              <w:rPr>
                <w:rFonts w:eastAsia="Times New Roman"/>
                <w:color w:val="000000" w:themeColor="text1"/>
                <w:sz w:val="20"/>
              </w:rPr>
              <w:fldChar w:fldCharType="end"/>
            </w:r>
          </w:p>
        </w:tc>
        <w:tc>
          <w:tcPr>
            <w:tcW w:w="3119" w:type="dxa"/>
            <w:vAlign w:val="center"/>
          </w:tcPr>
          <w:p w14:paraId="143B7B87"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2.8125°×2.8125°, monthly</w:t>
            </w:r>
          </w:p>
        </w:tc>
        <w:tc>
          <w:tcPr>
            <w:tcW w:w="1559" w:type="dxa"/>
            <w:vAlign w:val="center"/>
          </w:tcPr>
          <w:p w14:paraId="48FE9CD8"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6AD3EA26"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55621002" w14:textId="77777777" w:rsidTr="00311816">
        <w:tc>
          <w:tcPr>
            <w:tcW w:w="3397" w:type="dxa"/>
            <w:vAlign w:val="center"/>
          </w:tcPr>
          <w:p w14:paraId="21266560" w14:textId="39C0204B"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JULES-INFERNO</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&lt;EndNote&gt;&lt;Cite&gt;&lt;Author&gt;Mangeon&lt;/Author&gt;&lt;Year&gt;2016&lt;/Year&gt;&lt;RecNum&gt;534&lt;/RecNum&gt;&lt;DisplayText&gt;&lt;style face="superscript"&gt;8&lt;/style&gt;&lt;/DisplayText&gt;&lt;record&gt;&lt;rec-number&gt;534&lt;/rec-number&gt;&lt;foreign-keys&gt;&lt;key app="EN" db-id="pxzew0safrpr5xer0pbv05dq5sevsfse5sw9" timestamp="1688799822"&gt;534&lt;/key&gt;&lt;/foreign-keys&gt;&lt;ref-type name="Journal Article"&gt;17&lt;/ref-type&gt;&lt;contributors&gt;&lt;authors&gt;&lt;author&gt;Mangeon, Stéphane&lt;/author&gt;&lt;author&gt;Voulgarakis, Apostolos&lt;/author&gt;&lt;author&gt;Gilham, Richard&lt;/author&gt;&lt;author&gt;Harper, Anna&lt;/author&gt;&lt;author&gt;Sitch, Stephen&lt;/author&gt;&lt;author&gt;Folberth, Gerd&lt;/author&gt;&lt;/authors&gt;&lt;/contributors&gt;&lt;titles&gt;&lt;title&gt;INFERNO: a fire and emissions scheme for the UK Met Office&amp;apos;s Unified Model&lt;/title&gt;&lt;secondary-title&gt;Geoscientific Model Development&lt;/secondary-title&gt;&lt;/titles&gt;&lt;periodical&gt;&lt;full-title&gt;Geoscientific Model Development&lt;/full-title&gt;&lt;/periodical&gt;&lt;pages&gt;2685-2700&lt;/pages&gt;&lt;volume&gt;9&lt;/volume&gt;&lt;number&gt;8&lt;/number&gt;&lt;section&gt;2685&lt;/section&gt;&lt;dates&gt;&lt;year&gt;2016&lt;/year&gt;&lt;/dates&gt;&lt;isbn&gt;1991-9603&lt;/isbn&gt;&lt;urls&gt;&lt;/urls&gt;&lt;electronic-resource-num&gt;10.5194/gmd-9-2685-2016&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8</w:t>
            </w:r>
            <w:r w:rsidRPr="00DC2F9F">
              <w:rPr>
                <w:rFonts w:eastAsia="Times New Roman"/>
                <w:color w:val="000000" w:themeColor="text1"/>
                <w:sz w:val="20"/>
              </w:rPr>
              <w:fldChar w:fldCharType="end"/>
            </w:r>
          </w:p>
        </w:tc>
        <w:tc>
          <w:tcPr>
            <w:tcW w:w="3119" w:type="dxa"/>
            <w:vAlign w:val="center"/>
          </w:tcPr>
          <w:p w14:paraId="590BD8F5"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1.875°×1.245°, monthly</w:t>
            </w:r>
          </w:p>
        </w:tc>
        <w:tc>
          <w:tcPr>
            <w:tcW w:w="1559" w:type="dxa"/>
            <w:vAlign w:val="center"/>
          </w:tcPr>
          <w:p w14:paraId="368F1AFA"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2B0AB8D8"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r w:rsidR="008F0A84" w:rsidRPr="00DC2F9F" w14:paraId="70380683" w14:textId="77777777" w:rsidTr="00311816">
        <w:tc>
          <w:tcPr>
            <w:tcW w:w="3397" w:type="dxa"/>
            <w:vAlign w:val="center"/>
          </w:tcPr>
          <w:p w14:paraId="2E0CF8E4" w14:textId="1AA39DE9"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eastAsia="Times New Roman" w:hAnsi="Times New Roman" w:cs="Times New Roman"/>
                <w:color w:val="000000" w:themeColor="text1"/>
                <w:sz w:val="20"/>
                <w:szCs w:val="20"/>
              </w:rPr>
              <w:t>LPJ-GUESS-SIMFIRE-BLAZE</w:t>
            </w:r>
            <w:r w:rsidRPr="00DC2F9F">
              <w:rPr>
                <w:rFonts w:eastAsia="Times New Roman"/>
                <w:color w:val="000000" w:themeColor="text1"/>
                <w:sz w:val="20"/>
              </w:rPr>
              <w:fldChar w:fldCharType="begin"/>
            </w:r>
            <w:r w:rsidR="003E0D7A" w:rsidRPr="00DC2F9F">
              <w:rPr>
                <w:rFonts w:ascii="Times New Roman" w:eastAsia="Times New Roman" w:hAnsi="Times New Roman" w:cs="Times New Roman"/>
                <w:color w:val="000000" w:themeColor="text1"/>
                <w:sz w:val="20"/>
              </w:rPr>
              <w:instrText xml:space="preserve"> ADDIN EN.CITE &lt;EndNote&gt;&lt;Cite&gt;&lt;Author&gt;Knorr&lt;/Author&gt;&lt;Year&gt;2016&lt;/Year&gt;&lt;RecNum&gt;532&lt;/RecNum&gt;&lt;DisplayText&gt;&lt;style face="superscript"&gt;9&lt;/style&gt;&lt;/DisplayText&gt;&lt;record&gt;&lt;rec-number&gt;532&lt;/rec-number&gt;&lt;foreign-keys&gt;&lt;key app="EN" db-id="pxzew0safrpr5xer0pbv05dq5sevsfse5sw9" timestamp="1688799810"&gt;532&lt;/key&gt;&lt;/foreign-keys&gt;&lt;ref-type name="Journal Article"&gt;17&lt;/ref-type&gt;&lt;contributors&gt;&lt;authors&gt;&lt;author&gt;Knorr, W.&lt;/author&gt;&lt;author&gt;Jiang, L.&lt;/author&gt;&lt;author&gt;Arneth, A.&lt;/author&gt;&lt;/authors&gt;&lt;/contributors&gt;&lt;titles&gt;&lt;title&gt;Climate, CO2 and human population impacts on global wildfire emissions&lt;/title&gt;&lt;secondary-title&gt;Biogeosciences&lt;/secondary-title&gt;&lt;/titles&gt;&lt;periodical&gt;&lt;full-title&gt;Biogeosciences&lt;/full-title&gt;&lt;/periodical&gt;&lt;pages&gt;267-282&lt;/pages&gt;&lt;volume&gt;13&lt;/volume&gt;&lt;number&gt;1&lt;/number&gt;&lt;section&gt;267&lt;/section&gt;&lt;dates&gt;&lt;year&gt;2016&lt;/year&gt;&lt;/dates&gt;&lt;isbn&gt;1726-4189&lt;/isbn&gt;&lt;urls&gt;&lt;/urls&gt;&lt;electronic-resource-num&gt;10.5194/bg-13-267-2016&lt;/electronic-resource-num&gt;&lt;/record&gt;&lt;/Cite&gt;&lt;/EndNote&gt;</w:instrText>
            </w:r>
            <w:r w:rsidRPr="00DC2F9F">
              <w:rPr>
                <w:rFonts w:eastAsia="Times New Roman"/>
                <w:color w:val="000000" w:themeColor="text1"/>
                <w:sz w:val="20"/>
              </w:rPr>
              <w:fldChar w:fldCharType="separate"/>
            </w:r>
            <w:r w:rsidR="003E0D7A" w:rsidRPr="00DC2F9F">
              <w:rPr>
                <w:rFonts w:ascii="Times New Roman" w:eastAsia="Times New Roman" w:hAnsi="Times New Roman" w:cs="Times New Roman"/>
                <w:noProof/>
                <w:color w:val="000000" w:themeColor="text1"/>
                <w:sz w:val="20"/>
                <w:vertAlign w:val="superscript"/>
              </w:rPr>
              <w:t>9</w:t>
            </w:r>
            <w:r w:rsidRPr="00DC2F9F">
              <w:rPr>
                <w:rFonts w:eastAsia="Times New Roman"/>
                <w:color w:val="000000" w:themeColor="text1"/>
                <w:sz w:val="20"/>
              </w:rPr>
              <w:fldChar w:fldCharType="end"/>
            </w:r>
          </w:p>
        </w:tc>
        <w:tc>
          <w:tcPr>
            <w:tcW w:w="3119" w:type="dxa"/>
            <w:vAlign w:val="center"/>
          </w:tcPr>
          <w:p w14:paraId="42B50657"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0.5°×0.5°, monthly</w:t>
            </w:r>
          </w:p>
        </w:tc>
        <w:tc>
          <w:tcPr>
            <w:tcW w:w="1559" w:type="dxa"/>
            <w:vAlign w:val="center"/>
          </w:tcPr>
          <w:p w14:paraId="35C10455"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2001-2012</w:t>
            </w:r>
          </w:p>
        </w:tc>
        <w:tc>
          <w:tcPr>
            <w:tcW w:w="1275" w:type="dxa"/>
            <w:vAlign w:val="center"/>
          </w:tcPr>
          <w:p w14:paraId="48D00AB8" w14:textId="77777777" w:rsidR="008F0A84" w:rsidRPr="00DC2F9F" w:rsidRDefault="008F0A84" w:rsidP="00311816">
            <w:pPr>
              <w:spacing w:before="120" w:line="360" w:lineRule="auto"/>
              <w:jc w:val="center"/>
              <w:rPr>
                <w:rFonts w:ascii="Times New Roman" w:eastAsia="Times New Roman" w:hAnsi="Times New Roman" w:cs="Times New Roman"/>
                <w:color w:val="000000" w:themeColor="text1"/>
                <w:sz w:val="20"/>
                <w:szCs w:val="20"/>
              </w:rPr>
            </w:pPr>
            <w:r w:rsidRPr="00DC2F9F">
              <w:rPr>
                <w:rFonts w:ascii="Times New Roman" w:hAnsi="Times New Roman" w:cs="Times New Roman"/>
                <w:sz w:val="20"/>
                <w:szCs w:val="20"/>
              </w:rPr>
              <w:t>GPP, BF</w:t>
            </w:r>
          </w:p>
        </w:tc>
      </w:tr>
    </w:tbl>
    <w:p w14:paraId="41CE1B3B" w14:textId="3ACF4C48" w:rsidR="003E0D7A" w:rsidRDefault="008F0A84" w:rsidP="00D9744B">
      <w:pPr>
        <w:pStyle w:val="SMcaption"/>
        <w:spacing w:before="120" w:after="120" w:line="360" w:lineRule="exact"/>
        <w:jc w:val="both"/>
        <w:rPr>
          <w:szCs w:val="24"/>
        </w:rPr>
      </w:pPr>
      <w:r w:rsidRPr="00B57828">
        <w:rPr>
          <w:szCs w:val="24"/>
        </w:rPr>
        <w:t xml:space="preserve">GPP: gross primary productivity; BF: burned fraction, the fraction of burned area within a grid cell (%). Notably another two </w:t>
      </w:r>
      <w:proofErr w:type="spellStart"/>
      <w:r w:rsidRPr="00B57828">
        <w:rPr>
          <w:szCs w:val="24"/>
        </w:rPr>
        <w:t>FireMIP</w:t>
      </w:r>
      <w:proofErr w:type="spellEnd"/>
      <w:r w:rsidRPr="00B57828">
        <w:rPr>
          <w:szCs w:val="24"/>
        </w:rPr>
        <w:t xml:space="preserve"> models, LPJ-GUESS-GlobFIRM</w:t>
      </w:r>
      <w:r w:rsidRPr="00B57828">
        <w:rPr>
          <w:szCs w:val="24"/>
        </w:rPr>
        <w:fldChar w:fldCharType="begin"/>
      </w:r>
      <w:r w:rsidR="003E0D7A">
        <w:rPr>
          <w:szCs w:val="24"/>
        </w:rPr>
        <w:instrText xml:space="preserve"> ADDIN EN.CITE &lt;EndNote&gt;&lt;Cite&gt;&lt;Author&gt;Smith&lt;/Author&gt;&lt;Year&gt;2014&lt;/Year&gt;&lt;RecNum&gt;527&lt;/RecNum&gt;&lt;DisplayText&gt;&lt;style face="superscript"&gt;10&lt;/style&gt;&lt;/DisplayText&gt;&lt;record&gt;&lt;rec-number&gt;527&lt;/rec-number&gt;&lt;foreign-keys&gt;&lt;key app="EN" db-id="pxzew0safrpr5xer0pbv05dq5sevsfse5sw9" timestamp="1688799727"&gt;527&lt;/key&gt;&lt;/foreign-keys&gt;&lt;ref-type name="Journal Article"&gt;17&lt;/ref-type&gt;&lt;contributors&gt;&lt;authors&gt;&lt;author&gt;Smith, B.&lt;/author&gt;&lt;author&gt;Wårlind, D.&lt;/author&gt;&lt;author&gt;Arneth, A.&lt;/author&gt;&lt;author&gt;Hickler, T.&lt;/author&gt;&lt;author&gt;Leadley, P.&lt;/author&gt;&lt;author&gt;Siltberg, J.&lt;/author&gt;&lt;author&gt;Zaehle, S.&lt;/author&gt;&lt;/authors&gt;&lt;/contributors&gt;&lt;titles&gt;&lt;title&gt;Implications of incorporating N cycling and N limitations on primary production in an individual-based dynamic vegetation model&lt;/title&gt;&lt;secondary-title&gt;Biogeosciences&lt;/secondary-title&gt;&lt;/titles&gt;&lt;periodical&gt;&lt;full-title&gt;Biogeosciences&lt;/full-title&gt;&lt;/periodical&gt;&lt;pages&gt;2027-2054&lt;/pages&gt;&lt;volume&gt;11&lt;/volume&gt;&lt;number&gt;7&lt;/number&gt;&lt;section&gt;2027&lt;/section&gt;&lt;dates&gt;&lt;year&gt;2014&lt;/year&gt;&lt;/dates&gt;&lt;isbn&gt;1726-4189&lt;/isbn&gt;&lt;urls&gt;&lt;/urls&gt;&lt;electronic-resource-num&gt;10.5194/bg-11-2027-2014&lt;/electronic-resource-num&gt;&lt;/record&gt;&lt;/Cite&gt;&lt;/EndNote&gt;</w:instrText>
      </w:r>
      <w:r w:rsidRPr="00B57828">
        <w:rPr>
          <w:szCs w:val="24"/>
        </w:rPr>
        <w:fldChar w:fldCharType="separate"/>
      </w:r>
      <w:r w:rsidR="003E0D7A" w:rsidRPr="003E0D7A">
        <w:rPr>
          <w:noProof/>
          <w:szCs w:val="24"/>
          <w:vertAlign w:val="superscript"/>
        </w:rPr>
        <w:t>10</w:t>
      </w:r>
      <w:r w:rsidRPr="00B57828">
        <w:rPr>
          <w:szCs w:val="24"/>
        </w:rPr>
        <w:fldChar w:fldCharType="end"/>
      </w:r>
      <w:r w:rsidRPr="00B57828">
        <w:rPr>
          <w:szCs w:val="24"/>
        </w:rPr>
        <w:t xml:space="preserve"> and MC2</w:t>
      </w:r>
      <w:r w:rsidRPr="00B57828">
        <w:rPr>
          <w:szCs w:val="24"/>
        </w:rPr>
        <w:fldChar w:fldCharType="begin"/>
      </w:r>
      <w:r w:rsidR="003E0D7A">
        <w:rPr>
          <w:szCs w:val="24"/>
        </w:rPr>
        <w:instrText xml:space="preserve"> ADDIN EN.CITE &lt;EndNote&gt;&lt;Cite&gt;&lt;Author&gt;Bachelet&lt;/Author&gt;&lt;Year&gt;2015&lt;/Year&gt;&lt;RecNum&gt;531&lt;/RecNum&gt;&lt;DisplayText&gt;&lt;style face="superscript"&gt;11&lt;/style&gt;&lt;/DisplayText&gt;&lt;record&gt;&lt;rec-number&gt;531&lt;/rec-number&gt;&lt;foreign-keys&gt;&lt;key app="EN" db-id="pxzew0safrpr5xer0pbv05dq5sevsfse5sw9" timestamp="1688799804"&gt;531&lt;/key&gt;&lt;/foreign-keys&gt;&lt;ref-type name="Journal Article"&gt;17&lt;/ref-type&gt;&lt;contributors&gt;&lt;authors&gt;&lt;author&gt;Bachelet, D.&lt;/author&gt;&lt;author&gt;Ferschweiler, K.&lt;/author&gt;&lt;author&gt;Sheehan, T. J.&lt;/author&gt;&lt;author&gt;Sleeter, B. M.&lt;/author&gt;&lt;author&gt;Zhu, Z.&lt;/author&gt;&lt;/authors&gt;&lt;/contributors&gt;&lt;auth-address&gt;Conservation Biology Institute, Western Geographic Science Center, Menlo Park, CA, USA.&amp;#xD;U.S. Geological Survey, Western Geographic Science Center, Menlo Park, CA, USA.&amp;#xD;U.S. Geological Survey National Center, Renton, VA, USA.&lt;/auth-address&gt;&lt;titles&gt;&lt;title&gt;Projected carbon stocks in the conterminous USA with land use and variable fire regimes&lt;/title&gt;&lt;secondary-title&gt;Glob Chang Biol&lt;/secondary-title&gt;&lt;/titles&gt;&lt;periodical&gt;&lt;full-title&gt;Glob Chang Biol&lt;/full-title&gt;&lt;/periodical&gt;&lt;pages&gt;4548-60&lt;/pages&gt;&lt;volume&gt;21&lt;/volume&gt;&lt;number&gt;12&lt;/number&gt;&lt;edition&gt;2015/07/25&lt;/edition&gt;&lt;keywords&gt;&lt;keyword&gt;*Agriculture&lt;/keyword&gt;&lt;keyword&gt;Carbon/*analysis&lt;/keyword&gt;&lt;keyword&gt;*Carbon Sequestration&lt;/keyword&gt;&lt;keyword&gt;*Climate Change&lt;/keyword&gt;&lt;keyword&gt;Computer Simulation&lt;/keyword&gt;&lt;keyword&gt;Ecosystem&lt;/keyword&gt;&lt;keyword&gt;*Fires&lt;/keyword&gt;&lt;keyword&gt;*Forestry&lt;/keyword&gt;&lt;keyword&gt;Models, Theoretical&lt;/keyword&gt;&lt;keyword&gt;United States&lt;/keyword&gt;&lt;keyword&gt;Cmip3&lt;/keyword&gt;&lt;keyword&gt;Dgvm&lt;/keyword&gt;&lt;keyword&gt;Sres&lt;/keyword&gt;&lt;keyword&gt;USA&lt;/keyword&gt;&lt;keyword&gt;carbon&lt;/keyword&gt;&lt;keyword&gt;fire&lt;/keyword&gt;&lt;keyword&gt;land use&lt;/keyword&gt;&lt;keyword&gt;simulation&lt;/keyword&gt;&lt;/keywords&gt;&lt;dates&gt;&lt;year&gt;2015&lt;/year&gt;&lt;pub-dates&gt;&lt;date&gt;Dec&lt;/date&gt;&lt;/pub-dates&gt;&lt;/dates&gt;&lt;isbn&gt;1365-2486 (Electronic)&amp;#xD;1354-1013 (Linking)&lt;/isbn&gt;&lt;accession-num&gt;26207729&lt;/accession-num&gt;&lt;urls&gt;&lt;related-urls&gt;&lt;url&gt;https://www.ncbi.nlm.nih.gov/pubmed/26207729&lt;/url&gt;&lt;/related-urls&gt;&lt;/urls&gt;&lt;electronic-resource-num&gt;10.1111/gcb.13048&lt;/electronic-resource-num&gt;&lt;/record&gt;&lt;/Cite&gt;&lt;/EndNote&gt;</w:instrText>
      </w:r>
      <w:r w:rsidRPr="00B57828">
        <w:rPr>
          <w:szCs w:val="24"/>
        </w:rPr>
        <w:fldChar w:fldCharType="separate"/>
      </w:r>
      <w:r w:rsidR="003E0D7A" w:rsidRPr="003E0D7A">
        <w:rPr>
          <w:noProof/>
          <w:szCs w:val="24"/>
          <w:vertAlign w:val="superscript"/>
        </w:rPr>
        <w:t>11</w:t>
      </w:r>
      <w:r w:rsidRPr="00B57828">
        <w:rPr>
          <w:szCs w:val="24"/>
        </w:rPr>
        <w:fldChar w:fldCharType="end"/>
      </w:r>
      <w:r w:rsidRPr="00B57828">
        <w:rPr>
          <w:szCs w:val="24"/>
        </w:rPr>
        <w:t>, were excluded in this study because they perform less well globally than other models in simulating global burned areas</w:t>
      </w:r>
      <w:r w:rsidRPr="00B57828">
        <w:rPr>
          <w:szCs w:val="24"/>
        </w:rPr>
        <w:fldChar w:fldCharType="begin"/>
      </w:r>
      <w:r w:rsidR="003E0D7A">
        <w:rPr>
          <w:szCs w:val="24"/>
        </w:rPr>
        <w:instrText xml:space="preserve"> ADDIN EN.CITE &lt;EndNote&gt;&lt;Cite&gt;&lt;Author&gt;Hantson&lt;/Author&gt;&lt;Year&gt;2020&lt;/Year&gt;&lt;RecNum&gt;523&lt;/RecNum&gt;&lt;DisplayText&gt;&lt;style face="superscript"&gt;1&lt;/style&gt;&lt;/DisplayText&gt;&lt;record&gt;&lt;rec-number&gt;523&lt;/rec-number&gt;&lt;foreign-keys&gt;&lt;key app="EN" db-id="pxzew0safrpr5xer0pbv05dq5sevsfse5sw9" timestamp="1688784308"&gt;523&lt;/key&gt;&lt;/foreign-keys&gt;&lt;ref-type name="Journal Article"&gt;17&lt;/ref-type&gt;&lt;contributors&gt;&lt;authors&gt;&lt;author&gt;Hantson, Stijn&lt;/author&gt;&lt;author&gt;Kelley, Douglas I.&lt;/author&gt;&lt;author&gt;Arneth, Almut&lt;/author&gt;&lt;author&gt;Harrison, Sandy P.&lt;/author&gt;&lt;author&gt;Archibald, Sally&lt;/author&gt;&lt;author&gt;Bachelet, Dominique&lt;/author&gt;&lt;author&gt;Forrest, Matthew&lt;/author&gt;&lt;author&gt;Hickler, Thomas&lt;/author&gt;&lt;author&gt;Lasslop, Gitta&lt;/author&gt;&lt;author&gt;Li, Fang&lt;/author&gt;&lt;author&gt;Mangeon, Stephane&lt;/author&gt;&lt;author&gt;Melton, Joe R.&lt;/author&gt;&lt;author&gt;Nieradzik, Lars&lt;/author&gt;&lt;author&gt;Rabin, Sam S.&lt;/author&gt;&lt;author&gt;Prentice, I. Colin&lt;/author&gt;&lt;author&gt;Sheehan, Tim&lt;/author&gt;&lt;author&gt;Sitch, Stephen&lt;/author&gt;&lt;author&gt;Teckentrup, Lina&lt;/author&gt;&lt;author&gt;Voulgarakis, Apostolos&lt;/author&gt;&lt;author&gt;Yue, Chao&lt;/author&gt;&lt;/authors&gt;&lt;/contributors&gt;&lt;titles&gt;&lt;title&gt;Quantitative assessment of fire and vegetation properties in simulations with fire-enabled vegetation models from the Fire Model Intercomparison Project&lt;/title&gt;&lt;secondary-title&gt;Geoscientific Model Development&lt;/secondary-title&gt;&lt;/titles&gt;&lt;periodical&gt;&lt;full-title&gt;Geoscientific Model Development&lt;/full-title&gt;&lt;/periodical&gt;&lt;pages&gt;3299-3318&lt;/pages&gt;&lt;volume&gt;13&lt;/volume&gt;&lt;number&gt;7&lt;/number&gt;&lt;section&gt;3299&lt;/section&gt;&lt;dates&gt;&lt;year&gt;2020&lt;/year&gt;&lt;/dates&gt;&lt;isbn&gt;1991-9603&lt;/isbn&gt;&lt;urls&gt;&lt;/urls&gt;&lt;electronic-resource-num&gt;10.5194/gmd-13-3299-2020&lt;/electronic-resource-num&gt;&lt;/record&gt;&lt;/Cite&gt;&lt;/EndNote&gt;</w:instrText>
      </w:r>
      <w:r w:rsidRPr="00B57828">
        <w:rPr>
          <w:szCs w:val="24"/>
        </w:rPr>
        <w:fldChar w:fldCharType="separate"/>
      </w:r>
      <w:r w:rsidR="003E0D7A" w:rsidRPr="003E0D7A">
        <w:rPr>
          <w:noProof/>
          <w:szCs w:val="24"/>
          <w:vertAlign w:val="superscript"/>
        </w:rPr>
        <w:t>1</w:t>
      </w:r>
      <w:r w:rsidRPr="00B57828">
        <w:rPr>
          <w:szCs w:val="24"/>
        </w:rPr>
        <w:fldChar w:fldCharType="end"/>
      </w:r>
      <w:r w:rsidRPr="00B57828">
        <w:rPr>
          <w:szCs w:val="24"/>
        </w:rPr>
        <w:t xml:space="preserve"> and provide yearly burned area data.</w:t>
      </w:r>
    </w:p>
    <w:p w14:paraId="45581AEA" w14:textId="77777777" w:rsidR="00DC2F9F" w:rsidRDefault="00DC2F9F" w:rsidP="00D9744B">
      <w:pPr>
        <w:pStyle w:val="SMcaption"/>
        <w:spacing w:before="120" w:after="120" w:line="360" w:lineRule="exact"/>
        <w:jc w:val="both"/>
        <w:rPr>
          <w:szCs w:val="24"/>
        </w:rPr>
        <w:sectPr w:rsidR="00DC2F9F" w:rsidSect="00B63B5C">
          <w:pgSz w:w="12240" w:h="15840"/>
          <w:pgMar w:top="1440" w:right="1440" w:bottom="1440" w:left="1440" w:header="720" w:footer="720" w:gutter="0"/>
          <w:lnNumType w:countBy="1" w:restart="continuous"/>
          <w:cols w:space="720"/>
          <w:docGrid w:linePitch="360"/>
        </w:sectPr>
      </w:pPr>
    </w:p>
    <w:p w14:paraId="6BF5A279" w14:textId="3814F944" w:rsidR="00DC2F9F" w:rsidRDefault="00DC2F9F" w:rsidP="00DC2F9F">
      <w:pPr>
        <w:pStyle w:val="SMHeading"/>
        <w:rPr>
          <w:lang w:eastAsia="zh-CN"/>
        </w:rPr>
      </w:pPr>
      <w:r>
        <w:rPr>
          <w:rFonts w:hint="eastAsia"/>
          <w:lang w:eastAsia="zh-CN"/>
        </w:rPr>
        <w:lastRenderedPageBreak/>
        <w:t>R</w:t>
      </w:r>
      <w:r>
        <w:rPr>
          <w:lang w:eastAsia="zh-CN"/>
        </w:rPr>
        <w:t>eferences</w:t>
      </w:r>
    </w:p>
    <w:p w14:paraId="120819BC" w14:textId="77777777" w:rsidR="003E0D7A" w:rsidRPr="003E0D7A" w:rsidRDefault="003E0D7A" w:rsidP="00DC2F9F">
      <w:pPr>
        <w:pStyle w:val="EndNoteBibliography"/>
        <w:ind w:left="720" w:hanging="720"/>
        <w:jc w:val="both"/>
      </w:pPr>
      <w:r>
        <w:rPr>
          <w:szCs w:val="24"/>
        </w:rPr>
        <w:fldChar w:fldCharType="begin"/>
      </w:r>
      <w:r>
        <w:rPr>
          <w:szCs w:val="24"/>
        </w:rPr>
        <w:instrText xml:space="preserve"> ADDIN EN.SECTION.REFLIST </w:instrText>
      </w:r>
      <w:r>
        <w:rPr>
          <w:szCs w:val="24"/>
        </w:rPr>
        <w:fldChar w:fldCharType="separate"/>
      </w:r>
      <w:r w:rsidRPr="003E0D7A">
        <w:t>1</w:t>
      </w:r>
      <w:r w:rsidRPr="003E0D7A">
        <w:tab/>
        <w:t>Hantson, S.</w:t>
      </w:r>
      <w:r w:rsidRPr="003E0D7A">
        <w:rPr>
          <w:i/>
        </w:rPr>
        <w:t xml:space="preserve"> et al.</w:t>
      </w:r>
      <w:r w:rsidRPr="003E0D7A">
        <w:t xml:space="preserve"> Quantitative assessment of fire and vegetation properties in simulations with fire-enabled vegetation models from the Fire Model Intercomparison Project. </w:t>
      </w:r>
      <w:r w:rsidRPr="003E0D7A">
        <w:rPr>
          <w:i/>
        </w:rPr>
        <w:t>Geoscientific Model Development</w:t>
      </w:r>
      <w:r w:rsidRPr="003E0D7A">
        <w:t xml:space="preserve"> </w:t>
      </w:r>
      <w:r w:rsidRPr="003E0D7A">
        <w:rPr>
          <w:b/>
        </w:rPr>
        <w:t>13</w:t>
      </w:r>
      <w:r w:rsidRPr="003E0D7A">
        <w:t>, 3299-3318 (2020).</w:t>
      </w:r>
    </w:p>
    <w:p w14:paraId="537012FC" w14:textId="6A89E1DD" w:rsidR="003E0D7A" w:rsidRPr="003E0D7A" w:rsidRDefault="003E0D7A" w:rsidP="00DC2F9F">
      <w:pPr>
        <w:pStyle w:val="EndNoteBibliography"/>
        <w:ind w:left="720" w:hanging="720"/>
        <w:jc w:val="both"/>
      </w:pPr>
      <w:r w:rsidRPr="003E0D7A">
        <w:t>2</w:t>
      </w:r>
      <w:r w:rsidRPr="003E0D7A">
        <w:tab/>
        <w:t>Hantson, S.</w:t>
      </w:r>
      <w:r w:rsidRPr="003E0D7A">
        <w:rPr>
          <w:i/>
        </w:rPr>
        <w:t xml:space="preserve"> et al.</w:t>
      </w:r>
      <w:r w:rsidRPr="003E0D7A">
        <w:t xml:space="preserve"> Model outputs: Quantitative assessment of fire and vegetation properties in historical simulations with fire-enabled vegetation models from the Fire Model Intercomparison Project [Data set]. </w:t>
      </w:r>
      <w:r w:rsidRPr="003E0D7A">
        <w:rPr>
          <w:i/>
        </w:rPr>
        <w:t>Zenodo</w:t>
      </w:r>
      <w:r w:rsidRPr="003E0D7A">
        <w:t xml:space="preserve"> </w:t>
      </w:r>
      <w:hyperlink r:id="rId40" w:history="1">
        <w:r w:rsidRPr="003E0D7A">
          <w:rPr>
            <w:rStyle w:val="affff5"/>
          </w:rPr>
          <w:t>https://doi.org/10.5281/zenodo.3555562</w:t>
        </w:r>
      </w:hyperlink>
      <w:r w:rsidRPr="003E0D7A">
        <w:t xml:space="preserve"> (2019).</w:t>
      </w:r>
    </w:p>
    <w:p w14:paraId="7B0CAEC5" w14:textId="77777777" w:rsidR="003E0D7A" w:rsidRPr="003E0D7A" w:rsidRDefault="003E0D7A" w:rsidP="00DC2F9F">
      <w:pPr>
        <w:pStyle w:val="EndNoteBibliography"/>
        <w:ind w:left="720" w:hanging="720"/>
        <w:jc w:val="both"/>
      </w:pPr>
      <w:r w:rsidRPr="003E0D7A">
        <w:t>3</w:t>
      </w:r>
      <w:r w:rsidRPr="003E0D7A">
        <w:tab/>
        <w:t xml:space="preserve">Li, F., Levis, S. &amp; Ward, D. S. Quantifying the role of fire in the Earth system – Part 1: Improved global fire modeling in the Community Earth System Model (CESM1). </w:t>
      </w:r>
      <w:r w:rsidRPr="003E0D7A">
        <w:rPr>
          <w:i/>
        </w:rPr>
        <w:t>Biogeosciences</w:t>
      </w:r>
      <w:r w:rsidRPr="003E0D7A">
        <w:t xml:space="preserve"> </w:t>
      </w:r>
      <w:r w:rsidRPr="003E0D7A">
        <w:rPr>
          <w:b/>
        </w:rPr>
        <w:t>10</w:t>
      </w:r>
      <w:r w:rsidRPr="003E0D7A">
        <w:t>, 2293-2314 (2013).</w:t>
      </w:r>
    </w:p>
    <w:p w14:paraId="3BE44D07" w14:textId="77777777" w:rsidR="003E0D7A" w:rsidRPr="003E0D7A" w:rsidRDefault="003E0D7A" w:rsidP="00DC2F9F">
      <w:pPr>
        <w:pStyle w:val="EndNoteBibliography"/>
        <w:ind w:left="720" w:hanging="720"/>
        <w:jc w:val="both"/>
      </w:pPr>
      <w:r w:rsidRPr="003E0D7A">
        <w:t>4</w:t>
      </w:r>
      <w:r w:rsidRPr="003E0D7A">
        <w:tab/>
        <w:t xml:space="preserve">Lasslop, G., Thonicke, K. &amp; Kloster, S. SPITFIRE within the MPI Earth system model: Model development and evaluation. </w:t>
      </w:r>
      <w:r w:rsidRPr="003E0D7A">
        <w:rPr>
          <w:i/>
        </w:rPr>
        <w:t>Journal of Advances in Modeling Earth Systems</w:t>
      </w:r>
      <w:r w:rsidRPr="003E0D7A">
        <w:t xml:space="preserve"> </w:t>
      </w:r>
      <w:r w:rsidRPr="003E0D7A">
        <w:rPr>
          <w:b/>
        </w:rPr>
        <w:t>6</w:t>
      </w:r>
      <w:r w:rsidRPr="003E0D7A">
        <w:t>, 740-755 (2014).</w:t>
      </w:r>
    </w:p>
    <w:p w14:paraId="049C4D55" w14:textId="77777777" w:rsidR="003E0D7A" w:rsidRPr="003E0D7A" w:rsidRDefault="003E0D7A" w:rsidP="00DC2F9F">
      <w:pPr>
        <w:pStyle w:val="EndNoteBibliography"/>
        <w:ind w:left="720" w:hanging="720"/>
        <w:jc w:val="both"/>
      </w:pPr>
      <w:r w:rsidRPr="003E0D7A">
        <w:t>5</w:t>
      </w:r>
      <w:r w:rsidRPr="003E0D7A">
        <w:tab/>
        <w:t>Lehsten, V.</w:t>
      </w:r>
      <w:r w:rsidRPr="003E0D7A">
        <w:rPr>
          <w:i/>
        </w:rPr>
        <w:t xml:space="preserve"> et al.</w:t>
      </w:r>
      <w:r w:rsidRPr="003E0D7A">
        <w:t xml:space="preserve"> Estimating carbon emissions from African wildfires. </w:t>
      </w:r>
      <w:r w:rsidRPr="003E0D7A">
        <w:rPr>
          <w:i/>
        </w:rPr>
        <w:t>Biogeosciences</w:t>
      </w:r>
      <w:r w:rsidRPr="003E0D7A">
        <w:t xml:space="preserve"> </w:t>
      </w:r>
      <w:r w:rsidRPr="003E0D7A">
        <w:rPr>
          <w:b/>
        </w:rPr>
        <w:t>6</w:t>
      </w:r>
      <w:r w:rsidRPr="003E0D7A">
        <w:t>, 349-360 (2009).</w:t>
      </w:r>
    </w:p>
    <w:p w14:paraId="1C8B3807" w14:textId="77777777" w:rsidR="003E0D7A" w:rsidRPr="003E0D7A" w:rsidRDefault="003E0D7A" w:rsidP="00DC2F9F">
      <w:pPr>
        <w:pStyle w:val="EndNoteBibliography"/>
        <w:ind w:left="720" w:hanging="720"/>
        <w:jc w:val="both"/>
      </w:pPr>
      <w:r w:rsidRPr="003E0D7A">
        <w:t>6</w:t>
      </w:r>
      <w:r w:rsidRPr="003E0D7A">
        <w:tab/>
        <w:t>Yue, C.</w:t>
      </w:r>
      <w:r w:rsidRPr="003E0D7A">
        <w:rPr>
          <w:i/>
        </w:rPr>
        <w:t xml:space="preserve"> et al.</w:t>
      </w:r>
      <w:r w:rsidRPr="003E0D7A">
        <w:t xml:space="preserve"> Modelling the role of fires in the terrestrial carbon balance by incorporating SPITFIRE into the global vegetation model ORCHIDEE – Part 1: simulating historical global burned area and fire regimes. </w:t>
      </w:r>
      <w:r w:rsidRPr="003E0D7A">
        <w:rPr>
          <w:i/>
        </w:rPr>
        <w:t>Geoscientific Model Development</w:t>
      </w:r>
      <w:r w:rsidRPr="003E0D7A">
        <w:t xml:space="preserve"> </w:t>
      </w:r>
      <w:r w:rsidRPr="003E0D7A">
        <w:rPr>
          <w:b/>
        </w:rPr>
        <w:t>7</w:t>
      </w:r>
      <w:r w:rsidRPr="003E0D7A">
        <w:t>, 2747-2767 (2014).</w:t>
      </w:r>
    </w:p>
    <w:p w14:paraId="5008163C" w14:textId="77777777" w:rsidR="003E0D7A" w:rsidRPr="003E0D7A" w:rsidRDefault="003E0D7A" w:rsidP="00DC2F9F">
      <w:pPr>
        <w:pStyle w:val="EndNoteBibliography"/>
        <w:ind w:left="720" w:hanging="720"/>
        <w:jc w:val="both"/>
      </w:pPr>
      <w:r w:rsidRPr="003E0D7A">
        <w:t>7</w:t>
      </w:r>
      <w:r w:rsidRPr="003E0D7A">
        <w:tab/>
        <w:t xml:space="preserve">Melton, J. R. &amp; Arora, V. K. Competition between plant functional types in the Canadian Terrestrial Ecosystem Model (CTEM) v. 2.0. </w:t>
      </w:r>
      <w:r w:rsidRPr="003E0D7A">
        <w:rPr>
          <w:i/>
        </w:rPr>
        <w:t>Geoscientific Model Development</w:t>
      </w:r>
      <w:r w:rsidRPr="003E0D7A">
        <w:t xml:space="preserve"> </w:t>
      </w:r>
      <w:r w:rsidRPr="003E0D7A">
        <w:rPr>
          <w:b/>
        </w:rPr>
        <w:t>9</w:t>
      </w:r>
      <w:r w:rsidRPr="003E0D7A">
        <w:t>, 323-361 (2016).</w:t>
      </w:r>
    </w:p>
    <w:p w14:paraId="1C3B19EA" w14:textId="77777777" w:rsidR="003E0D7A" w:rsidRPr="003E0D7A" w:rsidRDefault="003E0D7A" w:rsidP="00DC2F9F">
      <w:pPr>
        <w:pStyle w:val="EndNoteBibliography"/>
        <w:ind w:left="720" w:hanging="720"/>
        <w:jc w:val="both"/>
      </w:pPr>
      <w:r w:rsidRPr="003E0D7A">
        <w:t>8</w:t>
      </w:r>
      <w:r w:rsidRPr="003E0D7A">
        <w:tab/>
        <w:t>Mangeon, S.</w:t>
      </w:r>
      <w:r w:rsidRPr="003E0D7A">
        <w:rPr>
          <w:i/>
        </w:rPr>
        <w:t xml:space="preserve"> et al.</w:t>
      </w:r>
      <w:r w:rsidRPr="003E0D7A">
        <w:t xml:space="preserve"> INFERNO: a fire and emissions scheme for the UK Met Office's Unified Model. </w:t>
      </w:r>
      <w:r w:rsidRPr="003E0D7A">
        <w:rPr>
          <w:i/>
        </w:rPr>
        <w:t>Geoscientific Model Development</w:t>
      </w:r>
      <w:r w:rsidRPr="003E0D7A">
        <w:t xml:space="preserve"> </w:t>
      </w:r>
      <w:r w:rsidRPr="003E0D7A">
        <w:rPr>
          <w:b/>
        </w:rPr>
        <w:t>9</w:t>
      </w:r>
      <w:r w:rsidRPr="003E0D7A">
        <w:t>, 2685-2700 (2016).</w:t>
      </w:r>
    </w:p>
    <w:p w14:paraId="066D1036" w14:textId="77777777" w:rsidR="003E0D7A" w:rsidRPr="003E0D7A" w:rsidRDefault="003E0D7A" w:rsidP="00DC2F9F">
      <w:pPr>
        <w:pStyle w:val="EndNoteBibliography"/>
        <w:ind w:left="720" w:hanging="720"/>
        <w:jc w:val="both"/>
      </w:pPr>
      <w:r w:rsidRPr="003E0D7A">
        <w:t>9</w:t>
      </w:r>
      <w:r w:rsidRPr="003E0D7A">
        <w:tab/>
        <w:t xml:space="preserve">Knorr, W., Jiang, L. &amp; Arneth, A. Climate, CO2 and human population impacts on global wildfire emissions. </w:t>
      </w:r>
      <w:r w:rsidRPr="003E0D7A">
        <w:rPr>
          <w:i/>
        </w:rPr>
        <w:t>Biogeosciences</w:t>
      </w:r>
      <w:r w:rsidRPr="003E0D7A">
        <w:t xml:space="preserve"> </w:t>
      </w:r>
      <w:r w:rsidRPr="003E0D7A">
        <w:rPr>
          <w:b/>
        </w:rPr>
        <w:t>13</w:t>
      </w:r>
      <w:r w:rsidRPr="003E0D7A">
        <w:t>, 267-282 (2016).</w:t>
      </w:r>
    </w:p>
    <w:p w14:paraId="4CDEA0C6" w14:textId="77777777" w:rsidR="003E0D7A" w:rsidRPr="003E0D7A" w:rsidRDefault="003E0D7A" w:rsidP="00DC2F9F">
      <w:pPr>
        <w:pStyle w:val="EndNoteBibliography"/>
        <w:ind w:left="720" w:hanging="720"/>
        <w:jc w:val="both"/>
      </w:pPr>
      <w:r w:rsidRPr="003E0D7A">
        <w:t>10</w:t>
      </w:r>
      <w:r w:rsidRPr="003E0D7A">
        <w:tab/>
        <w:t>Smith, B.</w:t>
      </w:r>
      <w:r w:rsidRPr="003E0D7A">
        <w:rPr>
          <w:i/>
        </w:rPr>
        <w:t xml:space="preserve"> et al.</w:t>
      </w:r>
      <w:r w:rsidRPr="003E0D7A">
        <w:t xml:space="preserve"> Implications of incorporating N cycling and N limitations on primary production in an individual-based dynamic vegetation model. </w:t>
      </w:r>
      <w:r w:rsidRPr="003E0D7A">
        <w:rPr>
          <w:i/>
        </w:rPr>
        <w:t>Biogeosciences</w:t>
      </w:r>
      <w:r w:rsidRPr="003E0D7A">
        <w:t xml:space="preserve"> </w:t>
      </w:r>
      <w:r w:rsidRPr="003E0D7A">
        <w:rPr>
          <w:b/>
        </w:rPr>
        <w:t>11</w:t>
      </w:r>
      <w:r w:rsidRPr="003E0D7A">
        <w:t>, 2027-2054 (2014).</w:t>
      </w:r>
    </w:p>
    <w:p w14:paraId="543366BC" w14:textId="77777777" w:rsidR="003E0D7A" w:rsidRPr="003E0D7A" w:rsidRDefault="003E0D7A" w:rsidP="00DC2F9F">
      <w:pPr>
        <w:pStyle w:val="EndNoteBibliography"/>
        <w:ind w:left="720" w:hanging="720"/>
        <w:jc w:val="both"/>
      </w:pPr>
      <w:r w:rsidRPr="003E0D7A">
        <w:t>11</w:t>
      </w:r>
      <w:r w:rsidRPr="003E0D7A">
        <w:tab/>
        <w:t xml:space="preserve">Bachelet, D., Ferschweiler, K., Sheehan, T. J., Sleeter, B. M. &amp; Zhu, Z. Projected carbon stocks in the conterminous USA with land use and variable fire regimes. </w:t>
      </w:r>
      <w:r w:rsidRPr="003E0D7A">
        <w:rPr>
          <w:i/>
        </w:rPr>
        <w:t>Glob Chang Biol</w:t>
      </w:r>
      <w:r w:rsidRPr="003E0D7A">
        <w:t xml:space="preserve"> </w:t>
      </w:r>
      <w:r w:rsidRPr="003E0D7A">
        <w:rPr>
          <w:b/>
        </w:rPr>
        <w:t>21</w:t>
      </w:r>
      <w:r w:rsidRPr="003E0D7A">
        <w:t>, 4548-4560 (2015).</w:t>
      </w:r>
    </w:p>
    <w:p w14:paraId="037F59AE" w14:textId="414823C7" w:rsidR="003E0D7A" w:rsidRDefault="003E0D7A" w:rsidP="00D9744B">
      <w:pPr>
        <w:pStyle w:val="SMcaption"/>
        <w:spacing w:before="120" w:after="120" w:line="360" w:lineRule="exact"/>
        <w:jc w:val="both"/>
        <w:rPr>
          <w:szCs w:val="24"/>
        </w:rPr>
      </w:pPr>
      <w:r>
        <w:rPr>
          <w:szCs w:val="24"/>
        </w:rPr>
        <w:fldChar w:fldCharType="end"/>
      </w:r>
    </w:p>
    <w:sectPr w:rsidR="003E0D7A" w:rsidSect="00B63B5C">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C47C27" w14:textId="77777777" w:rsidR="002D7272" w:rsidRDefault="002D7272">
      <w:r>
        <w:separator/>
      </w:r>
    </w:p>
  </w:endnote>
  <w:endnote w:type="continuationSeparator" w:id="0">
    <w:p w14:paraId="31204CF0" w14:textId="77777777" w:rsidR="002D7272" w:rsidRDefault="002D7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8EA3E" w14:textId="32DFF1A6" w:rsidR="00230941" w:rsidRDefault="00230941">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230941" w:rsidRDefault="00230941">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7047E6" w14:textId="77777777" w:rsidR="002D7272" w:rsidRDefault="002D7272">
      <w:r>
        <w:separator/>
      </w:r>
    </w:p>
  </w:footnote>
  <w:footnote w:type="continuationSeparator" w:id="0">
    <w:p w14:paraId="3F40C535" w14:textId="77777777" w:rsidR="002D7272" w:rsidRDefault="002D72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01F95" w14:textId="77777777" w:rsidR="00230941" w:rsidRPr="005001AC" w:rsidRDefault="00230941" w:rsidP="005001AC">
    <w:pPr>
      <w:jc w:val="right"/>
      <w:rPr>
        <w:sz w:val="20"/>
      </w:rPr>
    </w:pPr>
  </w:p>
  <w:p w14:paraId="3CD866EE" w14:textId="77777777" w:rsidR="00230941" w:rsidRDefault="0023094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cwNjExMje1NDW3NDRS0lEKTi0uzszPAykwNaoFAMV8jbYtAAAA"/>
    <w:docVar w:name="EN.InstantFormat" w:val="&lt;ENInstantFormat&gt;&lt;Enabled&gt;0&lt;/Enabled&gt;&lt;ScanUnformatted&gt;1&lt;/ScanUnformatted&gt;&lt;ScanChanges&gt;1&lt;/ScanChanges&gt;&lt;Suspended&gt;0&lt;/Suspended&gt;&lt;/ENInstantFormat&gt;"/>
    <w:docVar w:name="EN.Layout" w:val="&lt;ENLayout&gt;&lt;Style&gt;Natur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zew0safrpr5xer0pbv05dq5sevsfse5sw9&quot;&gt;My Himawari-8 EndNote Library-Converted&lt;record-ids&gt;&lt;item&gt;523&lt;/item&gt;&lt;item&gt;526&lt;/item&gt;&lt;item&gt;527&lt;/item&gt;&lt;item&gt;529&lt;/item&gt;&lt;item&gt;530&lt;/item&gt;&lt;item&gt;531&lt;/item&gt;&lt;item&gt;532&lt;/item&gt;&lt;item&gt;533&lt;/item&gt;&lt;item&gt;534&lt;/item&gt;&lt;item&gt;535&lt;/item&gt;&lt;item&gt;547&lt;/item&gt;&lt;/record-ids&gt;&lt;/item&gt;&lt;/Libraries&gt;"/>
  </w:docVars>
  <w:rsids>
    <w:rsidRoot w:val="002C030F"/>
    <w:rsid w:val="000114D0"/>
    <w:rsid w:val="00015007"/>
    <w:rsid w:val="00015F74"/>
    <w:rsid w:val="0001715E"/>
    <w:rsid w:val="00020EF2"/>
    <w:rsid w:val="00031282"/>
    <w:rsid w:val="0004216F"/>
    <w:rsid w:val="0004501D"/>
    <w:rsid w:val="00051DDD"/>
    <w:rsid w:val="00054136"/>
    <w:rsid w:val="00055F78"/>
    <w:rsid w:val="00057204"/>
    <w:rsid w:val="00062C3F"/>
    <w:rsid w:val="00065EBD"/>
    <w:rsid w:val="00067381"/>
    <w:rsid w:val="000710F9"/>
    <w:rsid w:val="00081BAA"/>
    <w:rsid w:val="00083B44"/>
    <w:rsid w:val="000843E7"/>
    <w:rsid w:val="000850DC"/>
    <w:rsid w:val="00086536"/>
    <w:rsid w:val="00094AA1"/>
    <w:rsid w:val="000A6B14"/>
    <w:rsid w:val="000A78A1"/>
    <w:rsid w:val="000B310C"/>
    <w:rsid w:val="000B3844"/>
    <w:rsid w:val="000C2771"/>
    <w:rsid w:val="000C5A69"/>
    <w:rsid w:val="000D00A7"/>
    <w:rsid w:val="000D46F4"/>
    <w:rsid w:val="000E00D4"/>
    <w:rsid w:val="000E1555"/>
    <w:rsid w:val="000E1C6D"/>
    <w:rsid w:val="000E3E93"/>
    <w:rsid w:val="000E78F5"/>
    <w:rsid w:val="000F0DCE"/>
    <w:rsid w:val="000F4E8F"/>
    <w:rsid w:val="000F5259"/>
    <w:rsid w:val="000F6BE3"/>
    <w:rsid w:val="00100BA0"/>
    <w:rsid w:val="00101D80"/>
    <w:rsid w:val="00102B73"/>
    <w:rsid w:val="0010361F"/>
    <w:rsid w:val="001105D4"/>
    <w:rsid w:val="001128FC"/>
    <w:rsid w:val="00112C5B"/>
    <w:rsid w:val="00114193"/>
    <w:rsid w:val="00115A38"/>
    <w:rsid w:val="00116451"/>
    <w:rsid w:val="0011687B"/>
    <w:rsid w:val="00117FD5"/>
    <w:rsid w:val="0012427E"/>
    <w:rsid w:val="00124F82"/>
    <w:rsid w:val="00125A27"/>
    <w:rsid w:val="00127848"/>
    <w:rsid w:val="0013514D"/>
    <w:rsid w:val="00135A01"/>
    <w:rsid w:val="00136DA9"/>
    <w:rsid w:val="00140878"/>
    <w:rsid w:val="00141125"/>
    <w:rsid w:val="001477D3"/>
    <w:rsid w:val="0015226C"/>
    <w:rsid w:val="001615C4"/>
    <w:rsid w:val="0016337A"/>
    <w:rsid w:val="00164269"/>
    <w:rsid w:val="0016563A"/>
    <w:rsid w:val="00172330"/>
    <w:rsid w:val="00176C31"/>
    <w:rsid w:val="00177C09"/>
    <w:rsid w:val="00182541"/>
    <w:rsid w:val="001863EA"/>
    <w:rsid w:val="00190F2D"/>
    <w:rsid w:val="00197864"/>
    <w:rsid w:val="001A1BDE"/>
    <w:rsid w:val="001A247D"/>
    <w:rsid w:val="001A3299"/>
    <w:rsid w:val="001A3BF6"/>
    <w:rsid w:val="001A766A"/>
    <w:rsid w:val="001A7F6E"/>
    <w:rsid w:val="001B06DB"/>
    <w:rsid w:val="001B3B21"/>
    <w:rsid w:val="001B5CC3"/>
    <w:rsid w:val="001C70FF"/>
    <w:rsid w:val="001D638E"/>
    <w:rsid w:val="001D64DC"/>
    <w:rsid w:val="001E02B5"/>
    <w:rsid w:val="001E044E"/>
    <w:rsid w:val="001E2C29"/>
    <w:rsid w:val="001E6520"/>
    <w:rsid w:val="001E71E9"/>
    <w:rsid w:val="001F0876"/>
    <w:rsid w:val="001F167C"/>
    <w:rsid w:val="001F1B34"/>
    <w:rsid w:val="001F5E91"/>
    <w:rsid w:val="001F60C1"/>
    <w:rsid w:val="001F65EB"/>
    <w:rsid w:val="00201223"/>
    <w:rsid w:val="00206FCB"/>
    <w:rsid w:val="002077B9"/>
    <w:rsid w:val="00215434"/>
    <w:rsid w:val="00216D17"/>
    <w:rsid w:val="00217BFD"/>
    <w:rsid w:val="00225570"/>
    <w:rsid w:val="0022633E"/>
    <w:rsid w:val="00227951"/>
    <w:rsid w:val="00230941"/>
    <w:rsid w:val="00234925"/>
    <w:rsid w:val="00236E3B"/>
    <w:rsid w:val="00243238"/>
    <w:rsid w:val="002475F2"/>
    <w:rsid w:val="00247F11"/>
    <w:rsid w:val="0025288B"/>
    <w:rsid w:val="00254DD1"/>
    <w:rsid w:val="00255599"/>
    <w:rsid w:val="0026050C"/>
    <w:rsid w:val="00261B4F"/>
    <w:rsid w:val="00262761"/>
    <w:rsid w:val="00262D72"/>
    <w:rsid w:val="00265919"/>
    <w:rsid w:val="00266531"/>
    <w:rsid w:val="002666C8"/>
    <w:rsid w:val="00275321"/>
    <w:rsid w:val="00282B15"/>
    <w:rsid w:val="002846D8"/>
    <w:rsid w:val="00290EED"/>
    <w:rsid w:val="00293DC8"/>
    <w:rsid w:val="00294FBB"/>
    <w:rsid w:val="002A21A4"/>
    <w:rsid w:val="002A3F43"/>
    <w:rsid w:val="002B2B23"/>
    <w:rsid w:val="002B2D76"/>
    <w:rsid w:val="002B5804"/>
    <w:rsid w:val="002C030F"/>
    <w:rsid w:val="002C2FDC"/>
    <w:rsid w:val="002C6E44"/>
    <w:rsid w:val="002D559A"/>
    <w:rsid w:val="002D5C16"/>
    <w:rsid w:val="002D7272"/>
    <w:rsid w:val="002F4928"/>
    <w:rsid w:val="002F70BD"/>
    <w:rsid w:val="003025CF"/>
    <w:rsid w:val="003026D1"/>
    <w:rsid w:val="00302DFE"/>
    <w:rsid w:val="00303B37"/>
    <w:rsid w:val="003077AC"/>
    <w:rsid w:val="00311816"/>
    <w:rsid w:val="00313D5E"/>
    <w:rsid w:val="003145F8"/>
    <w:rsid w:val="00314D31"/>
    <w:rsid w:val="003174C4"/>
    <w:rsid w:val="00320C57"/>
    <w:rsid w:val="00321EE8"/>
    <w:rsid w:val="00322309"/>
    <w:rsid w:val="003227A1"/>
    <w:rsid w:val="00325C04"/>
    <w:rsid w:val="00331D75"/>
    <w:rsid w:val="0033327A"/>
    <w:rsid w:val="00334729"/>
    <w:rsid w:val="003512DB"/>
    <w:rsid w:val="0035190D"/>
    <w:rsid w:val="00353EF2"/>
    <w:rsid w:val="003551E4"/>
    <w:rsid w:val="00355362"/>
    <w:rsid w:val="00357365"/>
    <w:rsid w:val="003633CE"/>
    <w:rsid w:val="00363E44"/>
    <w:rsid w:val="00365F3E"/>
    <w:rsid w:val="003712AA"/>
    <w:rsid w:val="00371A09"/>
    <w:rsid w:val="00376764"/>
    <w:rsid w:val="00377154"/>
    <w:rsid w:val="003800A0"/>
    <w:rsid w:val="003802DA"/>
    <w:rsid w:val="00380330"/>
    <w:rsid w:val="00380B6D"/>
    <w:rsid w:val="0038496A"/>
    <w:rsid w:val="0039013B"/>
    <w:rsid w:val="00392077"/>
    <w:rsid w:val="00395A58"/>
    <w:rsid w:val="00395E86"/>
    <w:rsid w:val="0039657C"/>
    <w:rsid w:val="003A0B1B"/>
    <w:rsid w:val="003A2205"/>
    <w:rsid w:val="003A2FD8"/>
    <w:rsid w:val="003A3501"/>
    <w:rsid w:val="003A3579"/>
    <w:rsid w:val="003B352C"/>
    <w:rsid w:val="003B40E6"/>
    <w:rsid w:val="003C0650"/>
    <w:rsid w:val="003C41A9"/>
    <w:rsid w:val="003C77E8"/>
    <w:rsid w:val="003D54D4"/>
    <w:rsid w:val="003E0D7A"/>
    <w:rsid w:val="003E2CD9"/>
    <w:rsid w:val="003E2EFB"/>
    <w:rsid w:val="003E38BA"/>
    <w:rsid w:val="003E572A"/>
    <w:rsid w:val="003E74FB"/>
    <w:rsid w:val="003E7671"/>
    <w:rsid w:val="003F2FCB"/>
    <w:rsid w:val="003F47B0"/>
    <w:rsid w:val="003F6E14"/>
    <w:rsid w:val="003F70B7"/>
    <w:rsid w:val="00400CF8"/>
    <w:rsid w:val="00402F48"/>
    <w:rsid w:val="00402FA2"/>
    <w:rsid w:val="00403D2C"/>
    <w:rsid w:val="00403FC8"/>
    <w:rsid w:val="00405336"/>
    <w:rsid w:val="0041083F"/>
    <w:rsid w:val="00410A20"/>
    <w:rsid w:val="00413B30"/>
    <w:rsid w:val="0041578C"/>
    <w:rsid w:val="004202AC"/>
    <w:rsid w:val="00422A19"/>
    <w:rsid w:val="00422ACF"/>
    <w:rsid w:val="00423553"/>
    <w:rsid w:val="004258EA"/>
    <w:rsid w:val="00435ABA"/>
    <w:rsid w:val="00435EE8"/>
    <w:rsid w:val="0043699A"/>
    <w:rsid w:val="00445916"/>
    <w:rsid w:val="00450E47"/>
    <w:rsid w:val="00453513"/>
    <w:rsid w:val="00454F57"/>
    <w:rsid w:val="004571D5"/>
    <w:rsid w:val="00461D81"/>
    <w:rsid w:val="0046356B"/>
    <w:rsid w:val="004643EF"/>
    <w:rsid w:val="00471600"/>
    <w:rsid w:val="00473DF0"/>
    <w:rsid w:val="00474271"/>
    <w:rsid w:val="0047597F"/>
    <w:rsid w:val="00477182"/>
    <w:rsid w:val="004778BF"/>
    <w:rsid w:val="004779CB"/>
    <w:rsid w:val="00477CCE"/>
    <w:rsid w:val="004820A7"/>
    <w:rsid w:val="004838B7"/>
    <w:rsid w:val="00485E4E"/>
    <w:rsid w:val="004876E5"/>
    <w:rsid w:val="004910E9"/>
    <w:rsid w:val="00491724"/>
    <w:rsid w:val="00491E47"/>
    <w:rsid w:val="004922C1"/>
    <w:rsid w:val="0049622D"/>
    <w:rsid w:val="004A03A9"/>
    <w:rsid w:val="004B0540"/>
    <w:rsid w:val="004B57FF"/>
    <w:rsid w:val="004B7443"/>
    <w:rsid w:val="004C2F5F"/>
    <w:rsid w:val="004C582D"/>
    <w:rsid w:val="004D38F3"/>
    <w:rsid w:val="004D5509"/>
    <w:rsid w:val="004E1736"/>
    <w:rsid w:val="004E36A1"/>
    <w:rsid w:val="004E42D8"/>
    <w:rsid w:val="004E688A"/>
    <w:rsid w:val="004E7BA2"/>
    <w:rsid w:val="004F43AD"/>
    <w:rsid w:val="004F66CC"/>
    <w:rsid w:val="004F6A29"/>
    <w:rsid w:val="004F7599"/>
    <w:rsid w:val="004F78B6"/>
    <w:rsid w:val="004F7EDF"/>
    <w:rsid w:val="005001AC"/>
    <w:rsid w:val="00503D49"/>
    <w:rsid w:val="005058D0"/>
    <w:rsid w:val="00505BB7"/>
    <w:rsid w:val="005230A1"/>
    <w:rsid w:val="00524B1C"/>
    <w:rsid w:val="00525289"/>
    <w:rsid w:val="00527D71"/>
    <w:rsid w:val="00530281"/>
    <w:rsid w:val="00531AFD"/>
    <w:rsid w:val="00532844"/>
    <w:rsid w:val="005341EF"/>
    <w:rsid w:val="00534DB2"/>
    <w:rsid w:val="00544561"/>
    <w:rsid w:val="0054587E"/>
    <w:rsid w:val="0054592D"/>
    <w:rsid w:val="00546D94"/>
    <w:rsid w:val="00550C80"/>
    <w:rsid w:val="005520A8"/>
    <w:rsid w:val="00552BA4"/>
    <w:rsid w:val="00555632"/>
    <w:rsid w:val="005607DD"/>
    <w:rsid w:val="00560D20"/>
    <w:rsid w:val="005616C1"/>
    <w:rsid w:val="00561B04"/>
    <w:rsid w:val="005636F5"/>
    <w:rsid w:val="00567D62"/>
    <w:rsid w:val="00571ED4"/>
    <w:rsid w:val="00574A57"/>
    <w:rsid w:val="00576073"/>
    <w:rsid w:val="005817FF"/>
    <w:rsid w:val="00582C78"/>
    <w:rsid w:val="00584179"/>
    <w:rsid w:val="00584CEC"/>
    <w:rsid w:val="005902AD"/>
    <w:rsid w:val="00594AC3"/>
    <w:rsid w:val="00597134"/>
    <w:rsid w:val="005A05B5"/>
    <w:rsid w:val="005A303D"/>
    <w:rsid w:val="005A558C"/>
    <w:rsid w:val="005B0C70"/>
    <w:rsid w:val="005B3038"/>
    <w:rsid w:val="005B4D4E"/>
    <w:rsid w:val="005C10DD"/>
    <w:rsid w:val="005C1377"/>
    <w:rsid w:val="005C2093"/>
    <w:rsid w:val="005C6FC5"/>
    <w:rsid w:val="005C741C"/>
    <w:rsid w:val="005D230F"/>
    <w:rsid w:val="005D359A"/>
    <w:rsid w:val="005E1883"/>
    <w:rsid w:val="005E1B68"/>
    <w:rsid w:val="005E2306"/>
    <w:rsid w:val="005E28F8"/>
    <w:rsid w:val="005E43AA"/>
    <w:rsid w:val="005E6513"/>
    <w:rsid w:val="005F3F6A"/>
    <w:rsid w:val="00603402"/>
    <w:rsid w:val="006055A3"/>
    <w:rsid w:val="006066DF"/>
    <w:rsid w:val="00611306"/>
    <w:rsid w:val="006204B8"/>
    <w:rsid w:val="00620B27"/>
    <w:rsid w:val="00622552"/>
    <w:rsid w:val="00622B16"/>
    <w:rsid w:val="00623CC7"/>
    <w:rsid w:val="00630499"/>
    <w:rsid w:val="00631674"/>
    <w:rsid w:val="006334A3"/>
    <w:rsid w:val="006357F6"/>
    <w:rsid w:val="00635A8E"/>
    <w:rsid w:val="006364D7"/>
    <w:rsid w:val="006374AD"/>
    <w:rsid w:val="00645516"/>
    <w:rsid w:val="00645D18"/>
    <w:rsid w:val="006471E4"/>
    <w:rsid w:val="00651114"/>
    <w:rsid w:val="006536D4"/>
    <w:rsid w:val="00654353"/>
    <w:rsid w:val="00655258"/>
    <w:rsid w:val="006644BF"/>
    <w:rsid w:val="00664560"/>
    <w:rsid w:val="00667896"/>
    <w:rsid w:val="00670299"/>
    <w:rsid w:val="00670AF5"/>
    <w:rsid w:val="00673FE6"/>
    <w:rsid w:val="00676FF5"/>
    <w:rsid w:val="0068134C"/>
    <w:rsid w:val="00682921"/>
    <w:rsid w:val="00684665"/>
    <w:rsid w:val="00686DF6"/>
    <w:rsid w:val="00691985"/>
    <w:rsid w:val="0069471D"/>
    <w:rsid w:val="00694BCD"/>
    <w:rsid w:val="006A1B64"/>
    <w:rsid w:val="006A1F21"/>
    <w:rsid w:val="006A4AE1"/>
    <w:rsid w:val="006A75B3"/>
    <w:rsid w:val="006B024D"/>
    <w:rsid w:val="006B268C"/>
    <w:rsid w:val="006B2B30"/>
    <w:rsid w:val="006C329F"/>
    <w:rsid w:val="006C330E"/>
    <w:rsid w:val="006C4277"/>
    <w:rsid w:val="006C5A53"/>
    <w:rsid w:val="006D0C28"/>
    <w:rsid w:val="006D3605"/>
    <w:rsid w:val="006D73E0"/>
    <w:rsid w:val="006E08F6"/>
    <w:rsid w:val="006E74A4"/>
    <w:rsid w:val="006F26DE"/>
    <w:rsid w:val="006F5815"/>
    <w:rsid w:val="00700A52"/>
    <w:rsid w:val="00704857"/>
    <w:rsid w:val="00705836"/>
    <w:rsid w:val="007108F5"/>
    <w:rsid w:val="00713E5B"/>
    <w:rsid w:val="00717EAF"/>
    <w:rsid w:val="007230B4"/>
    <w:rsid w:val="00724268"/>
    <w:rsid w:val="00731BCB"/>
    <w:rsid w:val="00731F6A"/>
    <w:rsid w:val="00732EDF"/>
    <w:rsid w:val="00734E0F"/>
    <w:rsid w:val="007402FC"/>
    <w:rsid w:val="007411A1"/>
    <w:rsid w:val="00760180"/>
    <w:rsid w:val="00760D61"/>
    <w:rsid w:val="007624B1"/>
    <w:rsid w:val="0077377E"/>
    <w:rsid w:val="00774E5E"/>
    <w:rsid w:val="00776B95"/>
    <w:rsid w:val="00784E98"/>
    <w:rsid w:val="00785718"/>
    <w:rsid w:val="00793072"/>
    <w:rsid w:val="00793FC8"/>
    <w:rsid w:val="007A355C"/>
    <w:rsid w:val="007A486A"/>
    <w:rsid w:val="007B4CA5"/>
    <w:rsid w:val="007B5439"/>
    <w:rsid w:val="007C2F15"/>
    <w:rsid w:val="007C399D"/>
    <w:rsid w:val="007C420F"/>
    <w:rsid w:val="007C5F1F"/>
    <w:rsid w:val="007E5B9F"/>
    <w:rsid w:val="007E7707"/>
    <w:rsid w:val="007E7AD3"/>
    <w:rsid w:val="007F2182"/>
    <w:rsid w:val="007F3090"/>
    <w:rsid w:val="007F33C1"/>
    <w:rsid w:val="007F4ADD"/>
    <w:rsid w:val="00807D35"/>
    <w:rsid w:val="00814DE2"/>
    <w:rsid w:val="008217BD"/>
    <w:rsid w:val="008218C4"/>
    <w:rsid w:val="008249C4"/>
    <w:rsid w:val="00825F43"/>
    <w:rsid w:val="00826F51"/>
    <w:rsid w:val="00831111"/>
    <w:rsid w:val="0083457E"/>
    <w:rsid w:val="00835F4E"/>
    <w:rsid w:val="00842880"/>
    <w:rsid w:val="008436E5"/>
    <w:rsid w:val="00844D51"/>
    <w:rsid w:val="00844DBF"/>
    <w:rsid w:val="00852B0F"/>
    <w:rsid w:val="008577DF"/>
    <w:rsid w:val="00860294"/>
    <w:rsid w:val="008607CE"/>
    <w:rsid w:val="00860BF0"/>
    <w:rsid w:val="00864E30"/>
    <w:rsid w:val="00866F09"/>
    <w:rsid w:val="00867A98"/>
    <w:rsid w:val="00870867"/>
    <w:rsid w:val="00883AC4"/>
    <w:rsid w:val="00885C9B"/>
    <w:rsid w:val="0089046F"/>
    <w:rsid w:val="00895CE7"/>
    <w:rsid w:val="008A3BD8"/>
    <w:rsid w:val="008A4FA2"/>
    <w:rsid w:val="008A7249"/>
    <w:rsid w:val="008B379D"/>
    <w:rsid w:val="008B3CA8"/>
    <w:rsid w:val="008B74A3"/>
    <w:rsid w:val="008C145F"/>
    <w:rsid w:val="008C4C76"/>
    <w:rsid w:val="008C7778"/>
    <w:rsid w:val="008D0AB0"/>
    <w:rsid w:val="008D0D35"/>
    <w:rsid w:val="008D2843"/>
    <w:rsid w:val="008D4116"/>
    <w:rsid w:val="008D5D2A"/>
    <w:rsid w:val="008E4641"/>
    <w:rsid w:val="008E57CF"/>
    <w:rsid w:val="008F0A84"/>
    <w:rsid w:val="008F4FF4"/>
    <w:rsid w:val="0090200D"/>
    <w:rsid w:val="009032A5"/>
    <w:rsid w:val="00903EDA"/>
    <w:rsid w:val="00906CF1"/>
    <w:rsid w:val="00907508"/>
    <w:rsid w:val="00912561"/>
    <w:rsid w:val="00912EF4"/>
    <w:rsid w:val="00912FB0"/>
    <w:rsid w:val="0091318E"/>
    <w:rsid w:val="00914B63"/>
    <w:rsid w:val="00914B6B"/>
    <w:rsid w:val="0091524F"/>
    <w:rsid w:val="00920483"/>
    <w:rsid w:val="00924083"/>
    <w:rsid w:val="00924A88"/>
    <w:rsid w:val="00925367"/>
    <w:rsid w:val="0092651C"/>
    <w:rsid w:val="00927704"/>
    <w:rsid w:val="00930391"/>
    <w:rsid w:val="00931256"/>
    <w:rsid w:val="009315AB"/>
    <w:rsid w:val="0093335D"/>
    <w:rsid w:val="00934783"/>
    <w:rsid w:val="009354F3"/>
    <w:rsid w:val="0093762E"/>
    <w:rsid w:val="00940FE4"/>
    <w:rsid w:val="009447DC"/>
    <w:rsid w:val="00946D5C"/>
    <w:rsid w:val="0095036F"/>
    <w:rsid w:val="00952F24"/>
    <w:rsid w:val="00955F7A"/>
    <w:rsid w:val="00961BA5"/>
    <w:rsid w:val="0096280C"/>
    <w:rsid w:val="009654B3"/>
    <w:rsid w:val="009743A9"/>
    <w:rsid w:val="009764DF"/>
    <w:rsid w:val="0098292E"/>
    <w:rsid w:val="00983D56"/>
    <w:rsid w:val="009918F2"/>
    <w:rsid w:val="00992A1A"/>
    <w:rsid w:val="009951CD"/>
    <w:rsid w:val="009968C0"/>
    <w:rsid w:val="009A1300"/>
    <w:rsid w:val="009A28F4"/>
    <w:rsid w:val="009A4278"/>
    <w:rsid w:val="009A5287"/>
    <w:rsid w:val="009A7F20"/>
    <w:rsid w:val="009B2337"/>
    <w:rsid w:val="009B2AC5"/>
    <w:rsid w:val="009B5668"/>
    <w:rsid w:val="009B5D8F"/>
    <w:rsid w:val="009B66FB"/>
    <w:rsid w:val="009B7984"/>
    <w:rsid w:val="009D1B0A"/>
    <w:rsid w:val="009E1506"/>
    <w:rsid w:val="009E35EB"/>
    <w:rsid w:val="009E4B15"/>
    <w:rsid w:val="009E5D5A"/>
    <w:rsid w:val="009F4BED"/>
    <w:rsid w:val="009F5E03"/>
    <w:rsid w:val="009F7D93"/>
    <w:rsid w:val="00A0540C"/>
    <w:rsid w:val="00A12DA9"/>
    <w:rsid w:val="00A13CD0"/>
    <w:rsid w:val="00A141DF"/>
    <w:rsid w:val="00A17205"/>
    <w:rsid w:val="00A206D9"/>
    <w:rsid w:val="00A27214"/>
    <w:rsid w:val="00A302D8"/>
    <w:rsid w:val="00A3403B"/>
    <w:rsid w:val="00A3726C"/>
    <w:rsid w:val="00A451B8"/>
    <w:rsid w:val="00A50E05"/>
    <w:rsid w:val="00A51A12"/>
    <w:rsid w:val="00A53DBC"/>
    <w:rsid w:val="00A5727F"/>
    <w:rsid w:val="00A627D4"/>
    <w:rsid w:val="00A64614"/>
    <w:rsid w:val="00A6736B"/>
    <w:rsid w:val="00A677F2"/>
    <w:rsid w:val="00A74DA2"/>
    <w:rsid w:val="00A7681C"/>
    <w:rsid w:val="00A76A38"/>
    <w:rsid w:val="00A76ADE"/>
    <w:rsid w:val="00A81040"/>
    <w:rsid w:val="00A8319D"/>
    <w:rsid w:val="00A839E0"/>
    <w:rsid w:val="00A86293"/>
    <w:rsid w:val="00A87043"/>
    <w:rsid w:val="00A87C58"/>
    <w:rsid w:val="00A977AF"/>
    <w:rsid w:val="00AA0234"/>
    <w:rsid w:val="00AA0EA6"/>
    <w:rsid w:val="00AB2723"/>
    <w:rsid w:val="00AB399E"/>
    <w:rsid w:val="00AB39FB"/>
    <w:rsid w:val="00AB78B0"/>
    <w:rsid w:val="00AC59D0"/>
    <w:rsid w:val="00AC681C"/>
    <w:rsid w:val="00AD04E6"/>
    <w:rsid w:val="00AD16B1"/>
    <w:rsid w:val="00AD4711"/>
    <w:rsid w:val="00AD499C"/>
    <w:rsid w:val="00AD60FF"/>
    <w:rsid w:val="00AE15BD"/>
    <w:rsid w:val="00AE2841"/>
    <w:rsid w:val="00AE5A10"/>
    <w:rsid w:val="00AF25A4"/>
    <w:rsid w:val="00AF2B51"/>
    <w:rsid w:val="00B0071D"/>
    <w:rsid w:val="00B02AA8"/>
    <w:rsid w:val="00B02ED1"/>
    <w:rsid w:val="00B05EF0"/>
    <w:rsid w:val="00B15EB0"/>
    <w:rsid w:val="00B24D97"/>
    <w:rsid w:val="00B25C80"/>
    <w:rsid w:val="00B25FC2"/>
    <w:rsid w:val="00B27BA9"/>
    <w:rsid w:val="00B3186E"/>
    <w:rsid w:val="00B36869"/>
    <w:rsid w:val="00B36F77"/>
    <w:rsid w:val="00B376F1"/>
    <w:rsid w:val="00B40FD2"/>
    <w:rsid w:val="00B43B31"/>
    <w:rsid w:val="00B46ADA"/>
    <w:rsid w:val="00B47CFA"/>
    <w:rsid w:val="00B5040C"/>
    <w:rsid w:val="00B504C3"/>
    <w:rsid w:val="00B52F82"/>
    <w:rsid w:val="00B53B00"/>
    <w:rsid w:val="00B57F00"/>
    <w:rsid w:val="00B57F19"/>
    <w:rsid w:val="00B63AB1"/>
    <w:rsid w:val="00B63B5C"/>
    <w:rsid w:val="00B6415F"/>
    <w:rsid w:val="00B77B2A"/>
    <w:rsid w:val="00B82C22"/>
    <w:rsid w:val="00B82EC6"/>
    <w:rsid w:val="00B8782C"/>
    <w:rsid w:val="00B900F2"/>
    <w:rsid w:val="00B93DBA"/>
    <w:rsid w:val="00B9440A"/>
    <w:rsid w:val="00B95966"/>
    <w:rsid w:val="00B973CB"/>
    <w:rsid w:val="00BA1BD9"/>
    <w:rsid w:val="00BA309E"/>
    <w:rsid w:val="00BA39F0"/>
    <w:rsid w:val="00BA4548"/>
    <w:rsid w:val="00BA78CF"/>
    <w:rsid w:val="00BA7C75"/>
    <w:rsid w:val="00BB0F12"/>
    <w:rsid w:val="00BB1DF3"/>
    <w:rsid w:val="00BB2D2A"/>
    <w:rsid w:val="00BC3E04"/>
    <w:rsid w:val="00BC57B1"/>
    <w:rsid w:val="00BC70AA"/>
    <w:rsid w:val="00BC79DE"/>
    <w:rsid w:val="00BD58CF"/>
    <w:rsid w:val="00BD61F2"/>
    <w:rsid w:val="00BD77DF"/>
    <w:rsid w:val="00BE3C73"/>
    <w:rsid w:val="00BE5DB1"/>
    <w:rsid w:val="00BF0C92"/>
    <w:rsid w:val="00BF4B68"/>
    <w:rsid w:val="00BF6427"/>
    <w:rsid w:val="00C00404"/>
    <w:rsid w:val="00C04CC1"/>
    <w:rsid w:val="00C10A32"/>
    <w:rsid w:val="00C12728"/>
    <w:rsid w:val="00C12B83"/>
    <w:rsid w:val="00C16DC3"/>
    <w:rsid w:val="00C20BCE"/>
    <w:rsid w:val="00C23482"/>
    <w:rsid w:val="00C23497"/>
    <w:rsid w:val="00C23B39"/>
    <w:rsid w:val="00C26D99"/>
    <w:rsid w:val="00C27ADB"/>
    <w:rsid w:val="00C32BB9"/>
    <w:rsid w:val="00C3351A"/>
    <w:rsid w:val="00C367A7"/>
    <w:rsid w:val="00C4096C"/>
    <w:rsid w:val="00C439EE"/>
    <w:rsid w:val="00C50C6D"/>
    <w:rsid w:val="00C600D9"/>
    <w:rsid w:val="00C6154A"/>
    <w:rsid w:val="00C61FA0"/>
    <w:rsid w:val="00C63E81"/>
    <w:rsid w:val="00C66F11"/>
    <w:rsid w:val="00C74946"/>
    <w:rsid w:val="00C7512D"/>
    <w:rsid w:val="00C752C7"/>
    <w:rsid w:val="00C761B0"/>
    <w:rsid w:val="00C77FE1"/>
    <w:rsid w:val="00C800E5"/>
    <w:rsid w:val="00C82E88"/>
    <w:rsid w:val="00C84B8B"/>
    <w:rsid w:val="00C92B22"/>
    <w:rsid w:val="00C9336B"/>
    <w:rsid w:val="00C951FA"/>
    <w:rsid w:val="00CA0F7A"/>
    <w:rsid w:val="00CA3B75"/>
    <w:rsid w:val="00CA3E9D"/>
    <w:rsid w:val="00CA480E"/>
    <w:rsid w:val="00CA5825"/>
    <w:rsid w:val="00CB1A83"/>
    <w:rsid w:val="00CB365B"/>
    <w:rsid w:val="00CB673E"/>
    <w:rsid w:val="00CC1384"/>
    <w:rsid w:val="00CD3720"/>
    <w:rsid w:val="00CD7124"/>
    <w:rsid w:val="00CF1848"/>
    <w:rsid w:val="00CF5C2F"/>
    <w:rsid w:val="00D039FD"/>
    <w:rsid w:val="00D04BCF"/>
    <w:rsid w:val="00D05497"/>
    <w:rsid w:val="00D1412E"/>
    <w:rsid w:val="00D143D9"/>
    <w:rsid w:val="00D1544C"/>
    <w:rsid w:val="00D175C0"/>
    <w:rsid w:val="00D20ADB"/>
    <w:rsid w:val="00D21336"/>
    <w:rsid w:val="00D21E5F"/>
    <w:rsid w:val="00D221F8"/>
    <w:rsid w:val="00D247EC"/>
    <w:rsid w:val="00D27F30"/>
    <w:rsid w:val="00D32950"/>
    <w:rsid w:val="00D470A5"/>
    <w:rsid w:val="00D52DA2"/>
    <w:rsid w:val="00D548A9"/>
    <w:rsid w:val="00D5511B"/>
    <w:rsid w:val="00D56179"/>
    <w:rsid w:val="00D639EE"/>
    <w:rsid w:val="00D63B81"/>
    <w:rsid w:val="00D6405F"/>
    <w:rsid w:val="00D766F1"/>
    <w:rsid w:val="00D8478D"/>
    <w:rsid w:val="00D93734"/>
    <w:rsid w:val="00D9514A"/>
    <w:rsid w:val="00D9744B"/>
    <w:rsid w:val="00DA166E"/>
    <w:rsid w:val="00DA31AE"/>
    <w:rsid w:val="00DA5AE6"/>
    <w:rsid w:val="00DA7151"/>
    <w:rsid w:val="00DB20F0"/>
    <w:rsid w:val="00DB4999"/>
    <w:rsid w:val="00DB61DB"/>
    <w:rsid w:val="00DB7974"/>
    <w:rsid w:val="00DC010E"/>
    <w:rsid w:val="00DC1BA3"/>
    <w:rsid w:val="00DC22BA"/>
    <w:rsid w:val="00DC2F9F"/>
    <w:rsid w:val="00DC617A"/>
    <w:rsid w:val="00DD1E08"/>
    <w:rsid w:val="00DD3E00"/>
    <w:rsid w:val="00DE5034"/>
    <w:rsid w:val="00DE5C56"/>
    <w:rsid w:val="00DE6018"/>
    <w:rsid w:val="00DF0D9F"/>
    <w:rsid w:val="00DF2664"/>
    <w:rsid w:val="00DF4A74"/>
    <w:rsid w:val="00DF5794"/>
    <w:rsid w:val="00E01BD6"/>
    <w:rsid w:val="00E05D34"/>
    <w:rsid w:val="00E07EC5"/>
    <w:rsid w:val="00E122F4"/>
    <w:rsid w:val="00E12C1C"/>
    <w:rsid w:val="00E146A7"/>
    <w:rsid w:val="00E15FE6"/>
    <w:rsid w:val="00E23127"/>
    <w:rsid w:val="00E257C8"/>
    <w:rsid w:val="00E3531D"/>
    <w:rsid w:val="00E353A1"/>
    <w:rsid w:val="00E41512"/>
    <w:rsid w:val="00E44DDC"/>
    <w:rsid w:val="00E4519A"/>
    <w:rsid w:val="00E454BB"/>
    <w:rsid w:val="00E612D4"/>
    <w:rsid w:val="00E73F56"/>
    <w:rsid w:val="00E770E2"/>
    <w:rsid w:val="00E779CE"/>
    <w:rsid w:val="00E853D5"/>
    <w:rsid w:val="00E85A30"/>
    <w:rsid w:val="00E96230"/>
    <w:rsid w:val="00E969DE"/>
    <w:rsid w:val="00E97215"/>
    <w:rsid w:val="00E9773B"/>
    <w:rsid w:val="00EA03B1"/>
    <w:rsid w:val="00EA3F22"/>
    <w:rsid w:val="00EA6F42"/>
    <w:rsid w:val="00EB1498"/>
    <w:rsid w:val="00EB1CCC"/>
    <w:rsid w:val="00EB3BB3"/>
    <w:rsid w:val="00EC13A3"/>
    <w:rsid w:val="00EC6E9D"/>
    <w:rsid w:val="00EC6FCB"/>
    <w:rsid w:val="00EC7C85"/>
    <w:rsid w:val="00ED4407"/>
    <w:rsid w:val="00ED4DB7"/>
    <w:rsid w:val="00ED5A6C"/>
    <w:rsid w:val="00ED6D5A"/>
    <w:rsid w:val="00EE06D9"/>
    <w:rsid w:val="00EE2E48"/>
    <w:rsid w:val="00EE70F5"/>
    <w:rsid w:val="00EF0DD7"/>
    <w:rsid w:val="00EF3B66"/>
    <w:rsid w:val="00EF6047"/>
    <w:rsid w:val="00F039D1"/>
    <w:rsid w:val="00F07AA7"/>
    <w:rsid w:val="00F10D19"/>
    <w:rsid w:val="00F125EE"/>
    <w:rsid w:val="00F12E98"/>
    <w:rsid w:val="00F12F40"/>
    <w:rsid w:val="00F16454"/>
    <w:rsid w:val="00F22029"/>
    <w:rsid w:val="00F22DE0"/>
    <w:rsid w:val="00F23A7E"/>
    <w:rsid w:val="00F2636A"/>
    <w:rsid w:val="00F314EA"/>
    <w:rsid w:val="00F319AD"/>
    <w:rsid w:val="00F401F4"/>
    <w:rsid w:val="00F4181D"/>
    <w:rsid w:val="00F4427B"/>
    <w:rsid w:val="00F45312"/>
    <w:rsid w:val="00F5060C"/>
    <w:rsid w:val="00F5102B"/>
    <w:rsid w:val="00F515FB"/>
    <w:rsid w:val="00F517B9"/>
    <w:rsid w:val="00F541BA"/>
    <w:rsid w:val="00F62B97"/>
    <w:rsid w:val="00F630EA"/>
    <w:rsid w:val="00F634CE"/>
    <w:rsid w:val="00F66BD2"/>
    <w:rsid w:val="00F7007E"/>
    <w:rsid w:val="00F705BE"/>
    <w:rsid w:val="00F73193"/>
    <w:rsid w:val="00F74F95"/>
    <w:rsid w:val="00F76032"/>
    <w:rsid w:val="00F776EA"/>
    <w:rsid w:val="00F80705"/>
    <w:rsid w:val="00F81F29"/>
    <w:rsid w:val="00F84BD9"/>
    <w:rsid w:val="00FA0F0F"/>
    <w:rsid w:val="00FA10FA"/>
    <w:rsid w:val="00FA1481"/>
    <w:rsid w:val="00FA2F5A"/>
    <w:rsid w:val="00FA6DD3"/>
    <w:rsid w:val="00FB2065"/>
    <w:rsid w:val="00FB441B"/>
    <w:rsid w:val="00FB6DEB"/>
    <w:rsid w:val="00FB7969"/>
    <w:rsid w:val="00FC1E64"/>
    <w:rsid w:val="00FC38B4"/>
    <w:rsid w:val="00FC6AC5"/>
    <w:rsid w:val="00FC6C50"/>
    <w:rsid w:val="00FD03E0"/>
    <w:rsid w:val="00FD53BA"/>
    <w:rsid w:val="00FD6062"/>
    <w:rsid w:val="00FE0F1C"/>
    <w:rsid w:val="00FE22EA"/>
    <w:rsid w:val="00FE3948"/>
    <w:rsid w:val="00FE5FDE"/>
    <w:rsid w:val="00FE769B"/>
    <w:rsid w:val="00FF04E3"/>
    <w:rsid w:val="00FF190F"/>
    <w:rsid w:val="00FF3896"/>
    <w:rsid w:val="00FF3DDD"/>
    <w:rsid w:val="00FF5C59"/>
    <w:rsid w:val="00FF60BB"/>
    <w:rsid w:val="00FF7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styleId="affff9">
    <w:name w:val="Revision"/>
    <w:hidden/>
    <w:uiPriority w:val="99"/>
    <w:semiHidden/>
    <w:rsid w:val="003227A1"/>
    <w:rPr>
      <w:sz w:val="24"/>
    </w:rPr>
  </w:style>
  <w:style w:type="paragraph" w:customStyle="1" w:styleId="Articletype">
    <w:name w:val="Article type"/>
    <w:basedOn w:val="a1"/>
    <w:rsid w:val="00400CF8"/>
    <w:pPr>
      <w:spacing w:before="120"/>
    </w:pPr>
    <w:rPr>
      <w:rFonts w:eastAsia="Times New Roman"/>
      <w:szCs w:val="24"/>
    </w:rPr>
  </w:style>
  <w:style w:type="paragraph" w:customStyle="1" w:styleId="Paragraph">
    <w:name w:val="Paragraph"/>
    <w:basedOn w:val="a1"/>
    <w:rsid w:val="00400CF8"/>
    <w:pPr>
      <w:spacing w:before="120"/>
      <w:ind w:firstLine="720"/>
    </w:pPr>
    <w:rPr>
      <w:rFonts w:eastAsia="Times New Roman"/>
      <w:szCs w:val="24"/>
    </w:rPr>
  </w:style>
  <w:style w:type="character" w:customStyle="1" w:styleId="aubase">
    <w:name w:val="au_base"/>
    <w:rsid w:val="004B57FF"/>
    <w:rPr>
      <w:sz w:val="24"/>
    </w:rPr>
  </w:style>
  <w:style w:type="table" w:styleId="affffa">
    <w:name w:val="Table Grid"/>
    <w:basedOn w:val="a3"/>
    <w:uiPriority w:val="39"/>
    <w:rsid w:val="004B57FF"/>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b">
    <w:name w:val="line number"/>
    <w:basedOn w:val="a2"/>
    <w:semiHidden/>
    <w:unhideWhenUsed/>
    <w:rsid w:val="00645D18"/>
  </w:style>
  <w:style w:type="paragraph" w:customStyle="1" w:styleId="EndNoteBibliography">
    <w:name w:val="EndNote Bibliography"/>
    <w:basedOn w:val="a1"/>
    <w:link w:val="EndNoteBibliography0"/>
    <w:rsid w:val="0043699A"/>
    <w:rPr>
      <w:noProof/>
    </w:rPr>
  </w:style>
  <w:style w:type="character" w:customStyle="1" w:styleId="EndNoteBibliography0">
    <w:name w:val="EndNote Bibliography 字符"/>
    <w:basedOn w:val="a2"/>
    <w:link w:val="EndNoteBibliography"/>
    <w:rsid w:val="0043699A"/>
    <w:rPr>
      <w:noProof/>
      <w:sz w:val="24"/>
    </w:rPr>
  </w:style>
  <w:style w:type="paragraph" w:customStyle="1" w:styleId="EndNoteBibliographyTitle">
    <w:name w:val="EndNote Bibliography Title"/>
    <w:basedOn w:val="a1"/>
    <w:link w:val="EndNoteBibliographyTitle0"/>
    <w:rsid w:val="00454F57"/>
    <w:pPr>
      <w:jc w:val="center"/>
    </w:pPr>
    <w:rPr>
      <w:noProof/>
    </w:rPr>
  </w:style>
  <w:style w:type="character" w:customStyle="1" w:styleId="EndNoteBibliographyTitle0">
    <w:name w:val="EndNote Bibliography Title 字符"/>
    <w:basedOn w:val="a2"/>
    <w:link w:val="EndNoteBibliographyTitle"/>
    <w:rsid w:val="00454F57"/>
    <w:rPr>
      <w:noProof/>
      <w:sz w:val="24"/>
    </w:rPr>
  </w:style>
  <w:style w:type="paragraph" w:customStyle="1" w:styleId="PublishedOnline">
    <w:name w:val="Published Online"/>
    <w:basedOn w:val="a1"/>
    <w:rsid w:val="00057204"/>
    <w:pPr>
      <w:spacing w:before="360"/>
    </w:pPr>
    <w:rPr>
      <w:rFonts w:eastAsia="Times New Roman"/>
      <w:szCs w:val="24"/>
    </w:rPr>
  </w:style>
  <w:style w:type="paragraph" w:customStyle="1" w:styleId="Authors">
    <w:name w:val="Authors"/>
    <w:basedOn w:val="a1"/>
    <w:rsid w:val="00A451B8"/>
    <w:pPr>
      <w:spacing w:before="120" w:after="360"/>
      <w:jc w:val="center"/>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hyperlink" Target="http://www.gloh2o.org/koppen/" TargetMode="External"/><Relationship Id="rId21" Type="http://schemas.openxmlformats.org/officeDocument/2006/relationships/image" Target="media/image10.png"/><Relationship Id="rId34" Type="http://schemas.openxmlformats.org/officeDocument/2006/relationships/hyperlink" Target="https://doi.org/10.5067/MODIS/MCD64A1.006"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s://globalecology.unh.edu/data/GOSIF.html"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png"/><Relationship Id="rId32" Type="http://schemas.openxmlformats.org/officeDocument/2006/relationships/hyperlink" Target="https://cwfis.cfs.nrcan.gc.ca/datamart" TargetMode="External"/><Relationship Id="rId37" Type="http://schemas.openxmlformats.org/officeDocument/2006/relationships/hyperlink" Target="https://cds.climate.copernicus.eu/cdsapp%23!/dataset/cems-fire-historical?tab=overview" TargetMode="External"/><Relationship Id="rId40" Type="http://schemas.openxmlformats.org/officeDocument/2006/relationships/hyperlink" Target="https://doi.org/10.5281/zenodo.3555562"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s://doi.org/10.17605/OSF.IO/8XQY6" TargetMode="External"/><Relationship Id="rId36" Type="http://schemas.openxmlformats.org/officeDocument/2006/relationships/hyperlink" Target="https://www.climatologylab.org/terraclimate.html" TargetMode="External"/><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hyperlink" Target="https://zenodo.org/records/8253971" TargetMode="External"/><Relationship Id="rId4" Type="http://schemas.openxmlformats.org/officeDocument/2006/relationships/settings" Target="settings.xml"/><Relationship Id="rId9" Type="http://schemas.openxmlformats.org/officeDocument/2006/relationships/hyperlink" Target="file:///C:\Users\LaiGengke\Desktop\yongguang_zhang@nju.edu.cn"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hyperlink" Target="https://zenodo.org/records/7916879" TargetMode="External"/><Relationship Id="rId35" Type="http://schemas.openxmlformats.org/officeDocument/2006/relationships/hyperlink" Target="https://cds.climate.copernicus.eu/cdsapp%23!/dataset/reanalysis-era5-land-monthly-means?tab=overview" TargetMode="External"/><Relationship Id="rId8" Type="http://schemas.openxmlformats.org/officeDocument/2006/relationships/hyperlink" Target="file:///C:\Users\LaiGengke\Desktop\wucy@igsnrr.ac.cn"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hyperlink" Target="https://www.mtbs.gov/direct-download" TargetMode="External"/><Relationship Id="rId38" Type="http://schemas.openxmlformats.org/officeDocument/2006/relationships/hyperlink" Target="https://doi.org/10.5067/MODIS/MCD12Q1.0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E077E-8D52-4A5F-A37D-D167A0698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1934</TotalTime>
  <Pages>21</Pages>
  <Words>4028</Words>
  <Characters>22966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26941</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Gengke Lai</cp:lastModifiedBy>
  <cp:revision>613</cp:revision>
  <cp:lastPrinted>2018-01-11T19:53:00Z</cp:lastPrinted>
  <dcterms:created xsi:type="dcterms:W3CDTF">2022-11-11T22:05:00Z</dcterms:created>
  <dcterms:modified xsi:type="dcterms:W3CDTF">2023-12-28T11:58:00Z</dcterms:modified>
</cp:coreProperties>
</file>