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24"/>
          <w:szCs w:val="24"/>
        </w:rPr>
      </w:pPr>
      <w:r>
        <w:rPr>
          <w:rFonts w:hint="default" w:ascii="Times New Roman" w:hAnsi="Times New Roman" w:cs="Times New Roman"/>
          <w:b/>
          <w:bCs/>
          <w:sz w:val="28"/>
          <w:szCs w:val="28"/>
        </w:rPr>
        <w:t>Method</w:t>
      </w:r>
    </w:p>
    <w:p>
      <w:pPr>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The Random Intercept Cross-Lagged Panel Model (RI-CLPM) adopts a multilevel perspective to distinguish between intra-individual processes and inter-individual stable differences, allowing for the separation of within-individual effects from between-individual effects [1][2]. Traditional CLPMs assume that all individuals have the same baseline level. The RI-CLPM introduces random intercepts to allow for individual differences in baseline levels, aiding in the capture of heterogeneity between individuals. By separating individuals' stable characteristics (such as personal traits, long-term average levels, etc.) from time-specific measurements, RI-CLPM provides a more accurate estimation of causal relationships [3].</w:t>
      </w:r>
    </w:p>
    <w:p>
      <w:pPr>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Calculation method:</w:t>
      </w:r>
    </w:p>
    <w:p>
      <w:pPr>
        <w:rPr>
          <w:rFonts w:hint="default" w:ascii="Times New Roman" w:hAnsi="Times New Roman" w:cs="Times New Roman"/>
          <w:sz w:val="24"/>
          <w:szCs w:val="24"/>
        </w:rPr>
      </w:pPr>
      <w:r>
        <w:rPr>
          <w:rFonts w:hint="default" w:ascii="Times New Roman" w:hAnsi="Times New Roman" w:cs="Times New Roman"/>
          <w:sz w:val="24"/>
          <w:szCs w:val="24"/>
        </w:rPr>
        <w:t xml:space="preserve">Suppose there are two variables, </w:t>
      </w:r>
      <w:r>
        <w:rPr>
          <w:rFonts w:hint="default" w:ascii="Times New Roman" w:hAnsi="Times New Roman" w:cs="Times New Roman"/>
          <w:i/>
          <w:iCs/>
          <w:sz w:val="24"/>
          <w:szCs w:val="24"/>
        </w:rPr>
        <w:t>X</w:t>
      </w:r>
      <w:r>
        <w:rPr>
          <w:rFonts w:hint="default" w:ascii="Times New Roman" w:hAnsi="Times New Roman" w:cs="Times New Roman"/>
          <w:sz w:val="24"/>
          <w:szCs w:val="24"/>
        </w:rPr>
        <w:t xml:space="preserve"> and </w:t>
      </w:r>
      <w:r>
        <w:rPr>
          <w:rFonts w:hint="default" w:ascii="Times New Roman" w:hAnsi="Times New Roman" w:cs="Times New Roman"/>
          <w:i/>
          <w:iCs/>
          <w:sz w:val="24"/>
          <w:szCs w:val="24"/>
        </w:rPr>
        <w:t>Y</w:t>
      </w:r>
      <w:r>
        <w:rPr>
          <w:rFonts w:hint="default" w:ascii="Times New Roman" w:hAnsi="Times New Roman" w:cs="Times New Roman"/>
          <w:sz w:val="24"/>
          <w:szCs w:val="24"/>
        </w:rPr>
        <w:t xml:space="preserve">, measured at </w:t>
      </w:r>
      <w:r>
        <w:rPr>
          <w:rFonts w:hint="default" w:ascii="Times New Roman" w:hAnsi="Times New Roman" w:cs="Times New Roman"/>
          <w:i/>
          <w:iCs/>
          <w:sz w:val="24"/>
          <w:szCs w:val="24"/>
        </w:rPr>
        <w:t xml:space="preserve">T </w:t>
      </w:r>
      <w:r>
        <w:rPr>
          <w:rFonts w:hint="default" w:ascii="Times New Roman" w:hAnsi="Times New Roman" w:cs="Times New Roman"/>
          <w:sz w:val="24"/>
          <w:szCs w:val="24"/>
        </w:rPr>
        <w:t xml:space="preserve">time points. For each individual </w:t>
      </w:r>
      <w:r>
        <w:rPr>
          <w:rFonts w:hint="default" w:ascii="Times New Roman" w:hAnsi="Times New Roman" w:cs="Times New Roman"/>
          <w:i/>
          <w:iCs/>
          <w:sz w:val="24"/>
          <w:szCs w:val="24"/>
        </w:rPr>
        <w:t>i</w:t>
      </w:r>
      <w:r>
        <w:rPr>
          <w:rFonts w:hint="default" w:ascii="Times New Roman" w:hAnsi="Times New Roman" w:cs="Times New Roman"/>
          <w:sz w:val="24"/>
          <w:szCs w:val="24"/>
        </w:rPr>
        <w:t>, the basic structure of the model is as follows:</w:t>
      </w:r>
    </w:p>
    <w:p>
      <w:pPr>
        <w:rPr>
          <w:rFonts w:hint="default" w:ascii="Times New Roman" w:hAnsi="Times New Roman" w:cs="Times New Roman"/>
          <w:sz w:val="24"/>
          <w:szCs w:val="24"/>
        </w:rPr>
      </w:pPr>
      <w:r>
        <w:rPr>
          <w:rFonts w:hint="default" w:ascii="Times New Roman" w:hAnsi="Times New Roman" w:eastAsia="KaTeX_Math" w:cs="Times New Roman"/>
          <w:i/>
          <w:iCs/>
          <w:sz w:val="24"/>
          <w:szCs w:val="24"/>
        </w:rPr>
        <w:t>Xit</w:t>
      </w:r>
      <w:r>
        <w:rPr>
          <w:rFonts w:hint="default" w:ascii="Times New Roman" w:hAnsi="Times New Roman" w:eastAsia="宋体" w:cs="Times New Roman"/>
          <w:sz w:val="24"/>
          <w:szCs w:val="24"/>
        </w:rPr>
        <w:t>​=</w:t>
      </w:r>
      <w:r>
        <w:rPr>
          <w:rFonts w:hint="default" w:ascii="Times New Roman" w:hAnsi="Times New Roman" w:eastAsia="KaTeX_Math" w:cs="Times New Roman"/>
          <w:i/>
          <w:iCs/>
          <w:sz w:val="24"/>
          <w:szCs w:val="24"/>
        </w:rPr>
        <w:t>βX</w:t>
      </w:r>
      <w:r>
        <w:rPr>
          <w:rFonts w:hint="default" w:ascii="Times New Roman" w:hAnsi="Times New Roman" w:eastAsia="宋体" w:cs="Times New Roman"/>
          <w:sz w:val="24"/>
          <w:szCs w:val="24"/>
        </w:rPr>
        <w:t>0​+</w:t>
      </w:r>
      <w:r>
        <w:rPr>
          <w:rFonts w:hint="default" w:ascii="Times New Roman" w:hAnsi="Times New Roman" w:eastAsia="KaTeX_Math" w:cs="Times New Roman"/>
          <w:i/>
          <w:iCs/>
          <w:sz w:val="24"/>
          <w:szCs w:val="24"/>
        </w:rPr>
        <w:t>βXX</w:t>
      </w:r>
      <w:r>
        <w:rPr>
          <w:rFonts w:hint="default" w:ascii="Times New Roman" w:hAnsi="Times New Roman" w:eastAsia="宋体" w:cs="Times New Roman"/>
          <w:sz w:val="24"/>
          <w:szCs w:val="24"/>
        </w:rPr>
        <w:t>​</w:t>
      </w:r>
      <w:r>
        <w:rPr>
          <w:rFonts w:hint="default" w:ascii="Times New Roman" w:hAnsi="Times New Roman" w:eastAsia="KaTeX_Math" w:cs="Times New Roman"/>
          <w:i/>
          <w:iCs/>
          <w:sz w:val="24"/>
          <w:szCs w:val="24"/>
        </w:rPr>
        <w:t>Xi</w:t>
      </w:r>
      <w:r>
        <w:rPr>
          <w:rFonts w:hint="default" w:ascii="Times New Roman" w:hAnsi="Times New Roman" w:eastAsia="宋体" w:cs="Times New Roman"/>
          <w:sz w:val="24"/>
          <w:szCs w:val="24"/>
        </w:rPr>
        <w:t>,</w:t>
      </w:r>
      <w:r>
        <w:rPr>
          <w:rFonts w:hint="default" w:ascii="Times New Roman" w:hAnsi="Times New Roman" w:eastAsia="KaTeX_Math" w:cs="Times New Roman"/>
          <w:i/>
          <w:iCs/>
          <w:sz w:val="24"/>
          <w:szCs w:val="24"/>
        </w:rPr>
        <w:t>t</w:t>
      </w:r>
      <w:r>
        <w:rPr>
          <w:rFonts w:hint="default" w:ascii="Times New Roman" w:hAnsi="Times New Roman" w:eastAsia="宋体" w:cs="Times New Roman"/>
          <w:sz w:val="24"/>
          <w:szCs w:val="24"/>
        </w:rPr>
        <w:t>−1​+</w:t>
      </w:r>
      <w:r>
        <w:rPr>
          <w:rFonts w:hint="default" w:ascii="Times New Roman" w:hAnsi="Times New Roman" w:eastAsia="KaTeX_Math" w:cs="Times New Roman"/>
          <w:i/>
          <w:iCs/>
          <w:sz w:val="24"/>
          <w:szCs w:val="24"/>
        </w:rPr>
        <w:t>βXY</w:t>
      </w:r>
      <w:r>
        <w:rPr>
          <w:rFonts w:hint="default" w:ascii="Times New Roman" w:hAnsi="Times New Roman" w:eastAsia="宋体" w:cs="Times New Roman"/>
          <w:sz w:val="24"/>
          <w:szCs w:val="24"/>
        </w:rPr>
        <w:t>​</w:t>
      </w:r>
      <w:r>
        <w:rPr>
          <w:rFonts w:hint="default" w:ascii="Times New Roman" w:hAnsi="Times New Roman" w:eastAsia="KaTeX_Math" w:cs="Times New Roman"/>
          <w:i/>
          <w:iCs/>
          <w:sz w:val="24"/>
          <w:szCs w:val="24"/>
        </w:rPr>
        <w:t>Yi</w:t>
      </w:r>
      <w:r>
        <w:rPr>
          <w:rFonts w:hint="default" w:ascii="Times New Roman" w:hAnsi="Times New Roman" w:eastAsia="宋体" w:cs="Times New Roman"/>
          <w:sz w:val="24"/>
          <w:szCs w:val="24"/>
        </w:rPr>
        <w:t>,</w:t>
      </w:r>
      <w:r>
        <w:rPr>
          <w:rFonts w:hint="default" w:ascii="Times New Roman" w:hAnsi="Times New Roman" w:eastAsia="KaTeX_Math" w:cs="Times New Roman"/>
          <w:i/>
          <w:iCs/>
          <w:sz w:val="24"/>
          <w:szCs w:val="24"/>
        </w:rPr>
        <w:t>t</w:t>
      </w:r>
      <w:r>
        <w:rPr>
          <w:rFonts w:hint="default" w:ascii="Times New Roman" w:hAnsi="Times New Roman" w:eastAsia="宋体" w:cs="Times New Roman"/>
          <w:sz w:val="24"/>
          <w:szCs w:val="24"/>
        </w:rPr>
        <w:t>−1​+</w:t>
      </w:r>
      <w:r>
        <w:rPr>
          <w:rFonts w:hint="default" w:ascii="Times New Roman" w:hAnsi="Times New Roman" w:eastAsia="KaTeX_Math" w:cs="Times New Roman"/>
          <w:i/>
          <w:iCs/>
          <w:sz w:val="24"/>
          <w:szCs w:val="24"/>
        </w:rPr>
        <w:t>μXi</w:t>
      </w:r>
      <w:r>
        <w:rPr>
          <w:rFonts w:hint="default" w:ascii="Times New Roman" w:hAnsi="Times New Roman" w:eastAsia="宋体" w:cs="Times New Roman"/>
          <w:sz w:val="24"/>
          <w:szCs w:val="24"/>
        </w:rPr>
        <w:t>​+</w:t>
      </w:r>
      <w:r>
        <w:rPr>
          <w:rFonts w:hint="default" w:ascii="Times New Roman" w:hAnsi="Times New Roman" w:eastAsia="KaTeX_Math" w:cs="Times New Roman"/>
          <w:i/>
          <w:iCs/>
          <w:sz w:val="24"/>
          <w:szCs w:val="24"/>
        </w:rPr>
        <w:t>ϵ</w:t>
      </w:r>
      <w:r>
        <w:rPr>
          <w:rFonts w:hint="default" w:ascii="Times New Roman" w:hAnsi="Times New Roman" w:eastAsia="KaTeX_Math" w:cs="Times New Roman"/>
          <w:i/>
          <w:iCs/>
          <w:caps w:val="0"/>
          <w:color w:val="374151"/>
          <w:spacing w:val="0"/>
          <w:sz w:val="24"/>
          <w:szCs w:val="24"/>
        </w:rPr>
        <w:t>Xit</w:t>
      </w:r>
      <w:r>
        <w:rPr>
          <w:rFonts w:hint="default" w:ascii="Times New Roman" w:hAnsi="Times New Roman" w:eastAsia="Times New Roman" w:cs="Times New Roman"/>
          <w:i w:val="0"/>
          <w:iCs w:val="0"/>
          <w:caps w:val="0"/>
          <w:color w:val="374151"/>
          <w:spacing w:val="0"/>
          <w:sz w:val="24"/>
          <w:szCs w:val="24"/>
        </w:rPr>
        <w:t>​</w:t>
      </w:r>
    </w:p>
    <w:p>
      <w:pPr>
        <w:rPr>
          <w:rFonts w:hint="default" w:ascii="Times New Roman" w:hAnsi="Times New Roman" w:cs="Times New Roman"/>
          <w:sz w:val="24"/>
          <w:szCs w:val="24"/>
        </w:rPr>
      </w:pPr>
      <w:r>
        <w:rPr>
          <w:rFonts w:hint="default" w:ascii="Times New Roman" w:hAnsi="Times New Roman" w:eastAsia="KaTeX_Math" w:cs="Times New Roman"/>
          <w:i/>
          <w:iCs/>
          <w:caps w:val="0"/>
          <w:color w:val="374151"/>
          <w:spacing w:val="0"/>
          <w:sz w:val="24"/>
          <w:szCs w:val="24"/>
        </w:rPr>
        <w:t>Yit</w:t>
      </w:r>
      <w:r>
        <w:rPr>
          <w:rFonts w:hint="default" w:ascii="Times New Roman" w:hAnsi="Times New Roman" w:eastAsia="Times New Roman" w:cs="Times New Roman"/>
          <w:i w:val="0"/>
          <w:iCs w:val="0"/>
          <w:caps w:val="0"/>
          <w:color w:val="374151"/>
          <w:spacing w:val="0"/>
          <w:sz w:val="24"/>
          <w:szCs w:val="24"/>
        </w:rPr>
        <w:t>​=</w:t>
      </w:r>
      <w:r>
        <w:rPr>
          <w:rFonts w:hint="default" w:ascii="Times New Roman" w:hAnsi="Times New Roman" w:eastAsia="KaTeX_Math" w:cs="Times New Roman"/>
          <w:i/>
          <w:iCs/>
          <w:caps w:val="0"/>
          <w:color w:val="374151"/>
          <w:spacing w:val="0"/>
          <w:sz w:val="24"/>
          <w:szCs w:val="24"/>
        </w:rPr>
        <w:t>βY</w:t>
      </w:r>
      <w:r>
        <w:rPr>
          <w:rFonts w:hint="default" w:ascii="Times New Roman" w:hAnsi="Times New Roman" w:eastAsia="Times New Roman" w:cs="Times New Roman"/>
          <w:i w:val="0"/>
          <w:iCs w:val="0"/>
          <w:caps w:val="0"/>
          <w:color w:val="374151"/>
          <w:spacing w:val="0"/>
          <w:sz w:val="24"/>
          <w:szCs w:val="24"/>
        </w:rPr>
        <w:t>0​+</w:t>
      </w:r>
      <w:r>
        <w:rPr>
          <w:rFonts w:hint="default" w:ascii="Times New Roman" w:hAnsi="Times New Roman" w:eastAsia="KaTeX_Math" w:cs="Times New Roman"/>
          <w:i/>
          <w:iCs/>
          <w:caps w:val="0"/>
          <w:color w:val="374151"/>
          <w:spacing w:val="0"/>
          <w:sz w:val="24"/>
          <w:szCs w:val="24"/>
        </w:rPr>
        <w:t>βYX</w:t>
      </w:r>
      <w:r>
        <w:rPr>
          <w:rFonts w:hint="default" w:ascii="Times New Roman" w:hAnsi="Times New Roman" w:eastAsia="Times New Roman" w:cs="Times New Roman"/>
          <w:i w:val="0"/>
          <w:iCs w:val="0"/>
          <w:caps w:val="0"/>
          <w:color w:val="374151"/>
          <w:spacing w:val="0"/>
          <w:sz w:val="24"/>
          <w:szCs w:val="24"/>
        </w:rPr>
        <w:t>​</w:t>
      </w:r>
      <w:r>
        <w:rPr>
          <w:rFonts w:hint="default" w:ascii="Times New Roman" w:hAnsi="Times New Roman" w:eastAsia="KaTeX_Math" w:cs="Times New Roman"/>
          <w:i/>
          <w:iCs/>
          <w:caps w:val="0"/>
          <w:color w:val="374151"/>
          <w:spacing w:val="0"/>
          <w:sz w:val="24"/>
          <w:szCs w:val="24"/>
        </w:rPr>
        <w:t>Xi</w:t>
      </w:r>
      <w:r>
        <w:rPr>
          <w:rFonts w:hint="default" w:ascii="Times New Roman" w:hAnsi="Times New Roman" w:eastAsia="Times New Roman" w:cs="Times New Roman"/>
          <w:i w:val="0"/>
          <w:iCs w:val="0"/>
          <w:caps w:val="0"/>
          <w:color w:val="374151"/>
          <w:spacing w:val="0"/>
          <w:sz w:val="24"/>
          <w:szCs w:val="24"/>
        </w:rPr>
        <w:t>,</w:t>
      </w:r>
      <w:r>
        <w:rPr>
          <w:rFonts w:hint="default" w:ascii="Times New Roman" w:hAnsi="Times New Roman" w:eastAsia="KaTeX_Math" w:cs="Times New Roman"/>
          <w:i/>
          <w:iCs/>
          <w:caps w:val="0"/>
          <w:color w:val="374151"/>
          <w:spacing w:val="0"/>
          <w:sz w:val="24"/>
          <w:szCs w:val="24"/>
        </w:rPr>
        <w:t>t</w:t>
      </w:r>
      <w:r>
        <w:rPr>
          <w:rFonts w:hint="default" w:ascii="Times New Roman" w:hAnsi="Times New Roman" w:eastAsia="Times New Roman" w:cs="Times New Roman"/>
          <w:i w:val="0"/>
          <w:iCs w:val="0"/>
          <w:caps w:val="0"/>
          <w:color w:val="374151"/>
          <w:spacing w:val="0"/>
          <w:sz w:val="24"/>
          <w:szCs w:val="24"/>
        </w:rPr>
        <w:t>−1​+</w:t>
      </w:r>
      <w:r>
        <w:rPr>
          <w:rFonts w:hint="default" w:ascii="Times New Roman" w:hAnsi="Times New Roman" w:eastAsia="KaTeX_Math" w:cs="Times New Roman"/>
          <w:i/>
          <w:iCs/>
          <w:caps w:val="0"/>
          <w:color w:val="374151"/>
          <w:spacing w:val="0"/>
          <w:sz w:val="24"/>
          <w:szCs w:val="24"/>
        </w:rPr>
        <w:t>βYY</w:t>
      </w:r>
      <w:r>
        <w:rPr>
          <w:rFonts w:hint="default" w:ascii="Times New Roman" w:hAnsi="Times New Roman" w:eastAsia="Times New Roman" w:cs="Times New Roman"/>
          <w:i w:val="0"/>
          <w:iCs w:val="0"/>
          <w:caps w:val="0"/>
          <w:color w:val="374151"/>
          <w:spacing w:val="0"/>
          <w:sz w:val="24"/>
          <w:szCs w:val="24"/>
        </w:rPr>
        <w:t>​</w:t>
      </w:r>
      <w:r>
        <w:rPr>
          <w:rFonts w:hint="default" w:ascii="Times New Roman" w:hAnsi="Times New Roman" w:eastAsia="KaTeX_Math" w:cs="Times New Roman"/>
          <w:i/>
          <w:iCs/>
          <w:caps w:val="0"/>
          <w:color w:val="374151"/>
          <w:spacing w:val="0"/>
          <w:sz w:val="24"/>
          <w:szCs w:val="24"/>
        </w:rPr>
        <w:t>Yi</w:t>
      </w:r>
      <w:r>
        <w:rPr>
          <w:rFonts w:hint="default" w:ascii="Times New Roman" w:hAnsi="Times New Roman" w:eastAsia="Times New Roman" w:cs="Times New Roman"/>
          <w:i w:val="0"/>
          <w:iCs w:val="0"/>
          <w:caps w:val="0"/>
          <w:color w:val="374151"/>
          <w:spacing w:val="0"/>
          <w:sz w:val="24"/>
          <w:szCs w:val="24"/>
        </w:rPr>
        <w:t>,</w:t>
      </w:r>
      <w:r>
        <w:rPr>
          <w:rFonts w:hint="default" w:ascii="Times New Roman" w:hAnsi="Times New Roman" w:eastAsia="KaTeX_Math" w:cs="Times New Roman"/>
          <w:i/>
          <w:iCs/>
          <w:caps w:val="0"/>
          <w:color w:val="374151"/>
          <w:spacing w:val="0"/>
          <w:sz w:val="24"/>
          <w:szCs w:val="24"/>
        </w:rPr>
        <w:t>t</w:t>
      </w:r>
      <w:r>
        <w:rPr>
          <w:rFonts w:hint="default" w:ascii="Times New Roman" w:hAnsi="Times New Roman" w:eastAsia="Times New Roman" w:cs="Times New Roman"/>
          <w:i w:val="0"/>
          <w:iCs w:val="0"/>
          <w:caps w:val="0"/>
          <w:color w:val="374151"/>
          <w:spacing w:val="0"/>
          <w:sz w:val="24"/>
          <w:szCs w:val="24"/>
        </w:rPr>
        <w:t>−1​+</w:t>
      </w:r>
      <w:r>
        <w:rPr>
          <w:rFonts w:hint="default" w:ascii="Times New Roman" w:hAnsi="Times New Roman" w:eastAsia="KaTeX_Math" w:cs="Times New Roman"/>
          <w:i/>
          <w:iCs/>
          <w:caps w:val="0"/>
          <w:color w:val="374151"/>
          <w:spacing w:val="0"/>
          <w:sz w:val="24"/>
          <w:szCs w:val="24"/>
        </w:rPr>
        <w:t>μYi</w:t>
      </w:r>
      <w:r>
        <w:rPr>
          <w:rFonts w:hint="default" w:ascii="Times New Roman" w:hAnsi="Times New Roman" w:eastAsia="Times New Roman" w:cs="Times New Roman"/>
          <w:i w:val="0"/>
          <w:iCs w:val="0"/>
          <w:caps w:val="0"/>
          <w:color w:val="374151"/>
          <w:spacing w:val="0"/>
          <w:sz w:val="24"/>
          <w:szCs w:val="24"/>
        </w:rPr>
        <w:t>​+</w:t>
      </w:r>
      <w:r>
        <w:rPr>
          <w:rFonts w:hint="default" w:ascii="Times New Roman" w:hAnsi="Times New Roman" w:eastAsia="KaTeX_Math" w:cs="Times New Roman"/>
          <w:i/>
          <w:iCs/>
          <w:caps w:val="0"/>
          <w:color w:val="374151"/>
          <w:spacing w:val="0"/>
          <w:sz w:val="24"/>
          <w:szCs w:val="24"/>
        </w:rPr>
        <w:t>ϵYit</w:t>
      </w:r>
      <w:r>
        <w:rPr>
          <w:rFonts w:hint="default" w:ascii="Times New Roman" w:hAnsi="Times New Roman" w:eastAsia="Times New Roman" w:cs="Times New Roman"/>
          <w:i w:val="0"/>
          <w:iCs w:val="0"/>
          <w:caps w:val="0"/>
          <w:color w:val="374151"/>
          <w:spacing w:val="0"/>
          <w:sz w:val="24"/>
          <w:szCs w:val="24"/>
        </w:rPr>
        <w:t>​</w:t>
      </w:r>
    </w:p>
    <w:p>
      <w:pPr>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 xml:space="preserve">Here, </w:t>
      </w:r>
      <w:r>
        <w:rPr>
          <w:rFonts w:hint="default" w:ascii="Times New Roman" w:hAnsi="Times New Roman" w:eastAsia="KaTeX_Math" w:cs="Times New Roman"/>
          <w:i/>
          <w:iCs/>
          <w:caps w:val="0"/>
          <w:color w:val="374151"/>
          <w:spacing w:val="0"/>
          <w:sz w:val="24"/>
          <w:szCs w:val="24"/>
        </w:rPr>
        <w:t>Xit</w:t>
      </w:r>
      <w:r>
        <w:rPr>
          <w:rFonts w:hint="default" w:ascii="Times New Roman" w:hAnsi="Times New Roman" w:cs="Times New Roman"/>
          <w:sz w:val="24"/>
          <w:szCs w:val="24"/>
        </w:rPr>
        <w:t xml:space="preserve"> and</w:t>
      </w:r>
      <w:r>
        <w:rPr>
          <w:rFonts w:hint="default" w:ascii="Times New Roman" w:hAnsi="Times New Roman" w:eastAsia="KaTeX_Math" w:cs="Times New Roman"/>
          <w:i/>
          <w:iCs/>
          <w:caps w:val="0"/>
          <w:color w:val="374151"/>
          <w:spacing w:val="0"/>
          <w:sz w:val="24"/>
          <w:szCs w:val="24"/>
        </w:rPr>
        <w:t>Yit</w:t>
      </w:r>
      <w:r>
        <w:rPr>
          <w:rFonts w:hint="default" w:ascii="Times New Roman" w:hAnsi="Times New Roman" w:cs="Times New Roman"/>
          <w:sz w:val="24"/>
          <w:szCs w:val="24"/>
        </w:rPr>
        <w:t xml:space="preserve"> are the observed values of variables </w:t>
      </w:r>
      <w:r>
        <w:rPr>
          <w:rFonts w:hint="default" w:ascii="Times New Roman" w:hAnsi="Times New Roman" w:cs="Times New Roman"/>
          <w:i/>
          <w:iCs/>
          <w:sz w:val="24"/>
          <w:szCs w:val="24"/>
        </w:rPr>
        <w:t>X</w:t>
      </w:r>
      <w:r>
        <w:rPr>
          <w:rFonts w:hint="default" w:ascii="Times New Roman" w:hAnsi="Times New Roman" w:cs="Times New Roman"/>
          <w:sz w:val="24"/>
          <w:szCs w:val="24"/>
        </w:rPr>
        <w:t xml:space="preserve"> and </w:t>
      </w:r>
      <w:r>
        <w:rPr>
          <w:rFonts w:hint="default" w:ascii="Times New Roman" w:hAnsi="Times New Roman" w:cs="Times New Roman"/>
          <w:i/>
          <w:iCs/>
          <w:sz w:val="24"/>
          <w:szCs w:val="24"/>
        </w:rPr>
        <w:t>Y</w:t>
      </w:r>
      <w:r>
        <w:rPr>
          <w:rFonts w:hint="default" w:ascii="Times New Roman" w:hAnsi="Times New Roman" w:cs="Times New Roman"/>
          <w:sz w:val="24"/>
          <w:szCs w:val="24"/>
        </w:rPr>
        <w:t xml:space="preserve"> for individual </w:t>
      </w:r>
      <w:r>
        <w:rPr>
          <w:rFonts w:hint="default" w:ascii="Times New Roman" w:hAnsi="Times New Roman" w:cs="Times New Roman"/>
          <w:i/>
          <w:iCs/>
          <w:sz w:val="24"/>
          <w:szCs w:val="24"/>
        </w:rPr>
        <w:t>i</w:t>
      </w:r>
      <w:r>
        <w:rPr>
          <w:rFonts w:hint="default" w:ascii="Times New Roman" w:hAnsi="Times New Roman" w:cs="Times New Roman"/>
          <w:sz w:val="24"/>
          <w:szCs w:val="24"/>
        </w:rPr>
        <w:t xml:space="preserve"> at time point </w:t>
      </w:r>
      <w:r>
        <w:rPr>
          <w:rFonts w:hint="default" w:ascii="Times New Roman" w:hAnsi="Times New Roman" w:cs="Times New Roman"/>
          <w:i/>
          <w:iCs/>
          <w:sz w:val="24"/>
          <w:szCs w:val="24"/>
        </w:rPr>
        <w:t>t</w:t>
      </w:r>
      <w:r>
        <w:rPr>
          <w:rFonts w:hint="default" w:ascii="Times New Roman" w:hAnsi="Times New Roman" w:cs="Times New Roman"/>
          <w:sz w:val="24"/>
          <w:szCs w:val="24"/>
        </w:rPr>
        <w:t xml:space="preserve">. </w:t>
      </w:r>
      <w:r>
        <w:rPr>
          <w:rFonts w:hint="default" w:ascii="Times New Roman" w:hAnsi="Times New Roman" w:eastAsia="KaTeX_Math" w:cs="Times New Roman"/>
          <w:i/>
          <w:iCs/>
          <w:caps w:val="0"/>
          <w:color w:val="374151"/>
          <w:spacing w:val="0"/>
          <w:sz w:val="24"/>
          <w:szCs w:val="24"/>
        </w:rPr>
        <w:t>βXX</w:t>
      </w:r>
      <w:r>
        <w:rPr>
          <w:rFonts w:hint="default" w:ascii="Times New Roman" w:hAnsi="Times New Roman" w:eastAsia="Segoe UI" w:cs="Times New Roman"/>
          <w:i w:val="0"/>
          <w:iCs w:val="0"/>
          <w:caps w:val="0"/>
          <w:color w:val="374151"/>
          <w:spacing w:val="0"/>
          <w:sz w:val="24"/>
          <w:szCs w:val="24"/>
        </w:rPr>
        <w:t>、</w:t>
      </w:r>
      <w:r>
        <w:rPr>
          <w:rFonts w:hint="default" w:ascii="Times New Roman" w:hAnsi="Times New Roman" w:eastAsia="KaTeX_Math" w:cs="Times New Roman"/>
          <w:i/>
          <w:iCs/>
          <w:caps w:val="0"/>
          <w:color w:val="374151"/>
          <w:spacing w:val="0"/>
          <w:sz w:val="24"/>
          <w:szCs w:val="24"/>
        </w:rPr>
        <w:t>βXY</w:t>
      </w:r>
      <w:r>
        <w:rPr>
          <w:rFonts w:hint="default" w:ascii="Times New Roman" w:hAnsi="Times New Roman" w:eastAsia="Segoe UI" w:cs="Times New Roman"/>
          <w:i w:val="0"/>
          <w:iCs w:val="0"/>
          <w:caps w:val="0"/>
          <w:color w:val="374151"/>
          <w:spacing w:val="0"/>
          <w:sz w:val="24"/>
          <w:szCs w:val="24"/>
        </w:rPr>
        <w:t>、</w:t>
      </w:r>
      <w:r>
        <w:rPr>
          <w:rFonts w:hint="default" w:ascii="Times New Roman" w:hAnsi="Times New Roman" w:eastAsia="KaTeX_Math" w:cs="Times New Roman"/>
          <w:i/>
          <w:iCs/>
          <w:caps w:val="0"/>
          <w:color w:val="374151"/>
          <w:spacing w:val="0"/>
          <w:sz w:val="24"/>
          <w:szCs w:val="24"/>
        </w:rPr>
        <w:t>βYX</w:t>
      </w:r>
      <w:r>
        <w:rPr>
          <w:rFonts w:hint="default" w:ascii="Times New Roman" w:hAnsi="Times New Roman" w:eastAsia="Segoe UI" w:cs="Times New Roman"/>
          <w:i w:val="0"/>
          <w:iCs w:val="0"/>
          <w:caps w:val="0"/>
          <w:color w:val="374151"/>
          <w:spacing w:val="0"/>
          <w:sz w:val="24"/>
          <w:szCs w:val="24"/>
        </w:rPr>
        <w:t xml:space="preserve"> </w:t>
      </w:r>
      <w:r>
        <w:rPr>
          <w:rFonts w:hint="eastAsia" w:ascii="Times New Roman" w:hAnsi="Times New Roman" w:eastAsia="宋体" w:cs="Times New Roman"/>
          <w:i w:val="0"/>
          <w:iCs w:val="0"/>
          <w:caps w:val="0"/>
          <w:color w:val="374151"/>
          <w:spacing w:val="0"/>
          <w:sz w:val="24"/>
          <w:szCs w:val="24"/>
          <w:lang w:val="en-US" w:eastAsia="zh-CN"/>
        </w:rPr>
        <w:t xml:space="preserve">and </w:t>
      </w:r>
      <w:r>
        <w:rPr>
          <w:rFonts w:hint="default" w:ascii="Times New Roman" w:hAnsi="Times New Roman" w:eastAsia="KaTeX_Math" w:cs="Times New Roman"/>
          <w:i/>
          <w:iCs/>
          <w:caps w:val="0"/>
          <w:color w:val="374151"/>
          <w:spacing w:val="0"/>
          <w:sz w:val="24"/>
          <w:szCs w:val="24"/>
        </w:rPr>
        <w:t>βYY</w:t>
      </w:r>
      <w:r>
        <w:rPr>
          <w:rFonts w:hint="default" w:ascii="Times New Roman" w:hAnsi="Times New Roman" w:cs="Times New Roman"/>
          <w:sz w:val="24"/>
          <w:szCs w:val="24"/>
        </w:rPr>
        <w:t xml:space="preserve">are parameters for cross-lagged effects, representing the influence of one variable at the previous time point on another variable at the current time point. </w:t>
      </w:r>
      <w:r>
        <w:rPr>
          <w:rFonts w:hint="default" w:ascii="Times New Roman" w:hAnsi="Times New Roman" w:eastAsia="KaTeX_Math" w:cs="Times New Roman"/>
          <w:i/>
          <w:iCs/>
          <w:caps w:val="0"/>
          <w:color w:val="374151"/>
          <w:spacing w:val="0"/>
          <w:sz w:val="24"/>
          <w:szCs w:val="24"/>
        </w:rPr>
        <w:t>ϵXit</w:t>
      </w:r>
      <w:r>
        <w:rPr>
          <w:rFonts w:hint="default" w:ascii="Times New Roman" w:hAnsi="Times New Roman" w:cs="Times New Roman"/>
          <w:sz w:val="24"/>
          <w:szCs w:val="24"/>
        </w:rPr>
        <w:t xml:space="preserve"> and </w:t>
      </w:r>
      <w:r>
        <w:rPr>
          <w:rFonts w:hint="default" w:ascii="Times New Roman" w:hAnsi="Times New Roman" w:eastAsia="KaTeX_Math" w:cs="Times New Roman"/>
          <w:i/>
          <w:iCs/>
          <w:caps w:val="0"/>
          <w:color w:val="374151"/>
          <w:spacing w:val="0"/>
          <w:sz w:val="24"/>
          <w:szCs w:val="24"/>
        </w:rPr>
        <w:t>ϵYit</w:t>
      </w:r>
      <w:r>
        <w:rPr>
          <w:rFonts w:hint="default" w:ascii="Times New Roman" w:hAnsi="Times New Roman" w:cs="Times New Roman"/>
          <w:sz w:val="24"/>
          <w:szCs w:val="24"/>
        </w:rPr>
        <w:t xml:space="preserve"> are random error terms. </w:t>
      </w:r>
      <w:r>
        <w:rPr>
          <w:rFonts w:hint="default" w:ascii="Times New Roman" w:hAnsi="Times New Roman" w:eastAsia="KaTeX_Math" w:cs="Times New Roman"/>
          <w:i/>
          <w:iCs/>
          <w:caps w:val="0"/>
          <w:color w:val="374151"/>
          <w:spacing w:val="0"/>
          <w:sz w:val="24"/>
          <w:szCs w:val="24"/>
        </w:rPr>
        <w:t>μXi</w:t>
      </w:r>
      <w:r>
        <w:rPr>
          <w:rFonts w:hint="default" w:ascii="Times New Roman" w:hAnsi="Times New Roman" w:cs="Times New Roman"/>
          <w:sz w:val="24"/>
          <w:szCs w:val="24"/>
        </w:rPr>
        <w:t xml:space="preserve"> and </w:t>
      </w:r>
      <w:r>
        <w:rPr>
          <w:rFonts w:hint="default" w:ascii="Times New Roman" w:hAnsi="Times New Roman" w:eastAsia="KaTeX_Math" w:cs="Times New Roman"/>
          <w:i/>
          <w:iCs/>
          <w:caps w:val="0"/>
          <w:color w:val="374151"/>
          <w:spacing w:val="0"/>
          <w:sz w:val="24"/>
          <w:szCs w:val="24"/>
        </w:rPr>
        <w:t>μYi</w:t>
      </w:r>
      <w:r>
        <w:rPr>
          <w:rFonts w:hint="default" w:ascii="Times New Roman" w:hAnsi="Times New Roman" w:cs="Times New Roman"/>
          <w:sz w:val="24"/>
          <w:szCs w:val="24"/>
        </w:rPr>
        <w:t xml:space="preserve"> are the random intercepts for individual </w:t>
      </w:r>
      <w:r>
        <w:rPr>
          <w:rFonts w:hint="default" w:ascii="Times New Roman" w:hAnsi="Times New Roman" w:cs="Times New Roman"/>
          <w:i/>
          <w:iCs/>
          <w:sz w:val="24"/>
          <w:szCs w:val="24"/>
        </w:rPr>
        <w:t>i</w:t>
      </w:r>
      <w:r>
        <w:rPr>
          <w:rFonts w:hint="default" w:ascii="Times New Roman" w:hAnsi="Times New Roman" w:cs="Times New Roman"/>
          <w:sz w:val="24"/>
          <w:szCs w:val="24"/>
        </w:rPr>
        <w:t xml:space="preserve"> on variables </w:t>
      </w:r>
      <w:r>
        <w:rPr>
          <w:rFonts w:hint="default" w:ascii="Times New Roman" w:hAnsi="Times New Roman" w:cs="Times New Roman"/>
          <w:i/>
          <w:iCs/>
          <w:sz w:val="24"/>
          <w:szCs w:val="24"/>
        </w:rPr>
        <w:t>X</w:t>
      </w:r>
      <w:r>
        <w:rPr>
          <w:rFonts w:hint="default" w:ascii="Times New Roman" w:hAnsi="Times New Roman" w:cs="Times New Roman"/>
          <w:sz w:val="24"/>
          <w:szCs w:val="24"/>
        </w:rPr>
        <w:t xml:space="preserve"> and </w:t>
      </w:r>
      <w:r>
        <w:rPr>
          <w:rFonts w:hint="default" w:ascii="Times New Roman" w:hAnsi="Times New Roman" w:cs="Times New Roman"/>
          <w:i/>
          <w:iCs/>
          <w:sz w:val="24"/>
          <w:szCs w:val="24"/>
        </w:rPr>
        <w:t>Y</w:t>
      </w:r>
      <w:r>
        <w:rPr>
          <w:rFonts w:hint="default" w:ascii="Times New Roman" w:hAnsi="Times New Roman" w:cs="Times New Roman"/>
          <w:sz w:val="24"/>
          <w:szCs w:val="24"/>
        </w:rPr>
        <w:t>, reflecting the individual's baseline level.</w:t>
      </w:r>
    </w:p>
    <w:p>
      <w:pPr>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 xml:space="preserve">In this study, RI-CLPM analysis is employed to examine the direction and strength of the relationship between </w:t>
      </w:r>
      <w:r>
        <w:rPr>
          <w:rFonts w:hint="default" w:ascii="Times New Roman" w:hAnsi="Times New Roman" w:cs="Times New Roman"/>
          <w:sz w:val="24"/>
          <w:szCs w:val="24"/>
          <w:lang w:val="en-US" w:eastAsia="zh-CN"/>
        </w:rPr>
        <w:t>Community Service</w:t>
      </w:r>
      <w:r>
        <w:rPr>
          <w:rFonts w:hint="default" w:ascii="Times New Roman" w:hAnsi="Times New Roman" w:cs="Times New Roman"/>
          <w:sz w:val="24"/>
          <w:szCs w:val="24"/>
        </w:rPr>
        <w:t xml:space="preserve"> and </w:t>
      </w:r>
      <w:r>
        <w:rPr>
          <w:rFonts w:hint="default" w:ascii="Times New Roman" w:hAnsi="Times New Roman" w:cs="Times New Roman"/>
          <w:sz w:val="24"/>
          <w:szCs w:val="24"/>
          <w:lang w:val="en-US" w:eastAsia="zh-CN"/>
        </w:rPr>
        <w:t>Geriatric Depression</w:t>
      </w:r>
      <w:r>
        <w:rPr>
          <w:rFonts w:hint="default" w:ascii="Times New Roman" w:hAnsi="Times New Roman" w:cs="Times New Roman"/>
          <w:sz w:val="24"/>
          <w:szCs w:val="24"/>
        </w:rPr>
        <w:t xml:space="preserve">. Four project packages representing domains were created as indicators of </w:t>
      </w:r>
      <w:r>
        <w:rPr>
          <w:rFonts w:hint="default" w:ascii="Times New Roman" w:hAnsi="Times New Roman" w:cs="Times New Roman"/>
          <w:sz w:val="24"/>
          <w:szCs w:val="24"/>
          <w:lang w:val="en-US" w:eastAsia="zh-CN"/>
        </w:rPr>
        <w:t>Community Service</w:t>
      </w:r>
      <w:r>
        <w:rPr>
          <w:rFonts w:hint="default" w:ascii="Times New Roman" w:hAnsi="Times New Roman" w:cs="Times New Roman"/>
          <w:sz w:val="24"/>
          <w:szCs w:val="24"/>
        </w:rPr>
        <w:t xml:space="preserve">, with each package representing each domain defined in our measurement invariance. Random intercepts reflect the individual's average stable level in terms of </w:t>
      </w:r>
      <w:r>
        <w:rPr>
          <w:rFonts w:hint="default" w:ascii="Times New Roman" w:hAnsi="Times New Roman" w:cs="Times New Roman"/>
          <w:sz w:val="24"/>
          <w:szCs w:val="24"/>
          <w:lang w:val="en-US" w:eastAsia="zh-CN"/>
        </w:rPr>
        <w:t>Community Service</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eastAsia="zh-CN"/>
        </w:rPr>
        <w:t xml:space="preserve">Psychological </w:t>
      </w:r>
      <w:r>
        <w:rPr>
          <w:rFonts w:hint="eastAsia" w:ascii="Times New Roman" w:hAnsi="Times New Roman" w:cs="Times New Roman"/>
          <w:sz w:val="24"/>
          <w:szCs w:val="24"/>
          <w:lang w:val="en-US" w:eastAsia="zh-CN"/>
        </w:rPr>
        <w:t>R</w:t>
      </w:r>
      <w:r>
        <w:rPr>
          <w:rFonts w:hint="default" w:ascii="Times New Roman" w:hAnsi="Times New Roman" w:cs="Times New Roman"/>
          <w:sz w:val="24"/>
          <w:szCs w:val="24"/>
          <w:lang w:val="en-US" w:eastAsia="zh-CN"/>
        </w:rPr>
        <w:t>esilience</w:t>
      </w:r>
      <w:r>
        <w:rPr>
          <w:rFonts w:hint="default" w:ascii="Times New Roman" w:hAnsi="Times New Roman" w:cs="Times New Roman"/>
          <w:sz w:val="24"/>
          <w:szCs w:val="24"/>
        </w:rPr>
        <w:t xml:space="preserve">, and </w:t>
      </w:r>
      <w:r>
        <w:rPr>
          <w:rFonts w:hint="default" w:ascii="Times New Roman" w:hAnsi="Times New Roman" w:cs="Times New Roman"/>
          <w:sz w:val="24"/>
          <w:szCs w:val="24"/>
          <w:lang w:val="en-US" w:eastAsia="zh-CN"/>
        </w:rPr>
        <w:t>Geriatric Depression</w:t>
      </w:r>
      <w:r>
        <w:rPr>
          <w:rFonts w:hint="default" w:ascii="Times New Roman" w:hAnsi="Times New Roman" w:cs="Times New Roman"/>
          <w:sz w:val="24"/>
          <w:szCs w:val="24"/>
        </w:rPr>
        <w:t>.</w:t>
      </w:r>
    </w:p>
    <w:p>
      <w:pPr>
        <w:rPr>
          <w:rFonts w:hint="default" w:ascii="Times New Roman" w:hAnsi="Times New Roman" w:cs="Times New Roman"/>
          <w:sz w:val="24"/>
          <w:szCs w:val="24"/>
        </w:rPr>
      </w:pPr>
    </w:p>
    <w:p>
      <w:pPr>
        <w:rPr>
          <w:rFonts w:hint="eastAsia"/>
        </w:rPr>
      </w:pPr>
    </w:p>
    <w:p>
      <w:pPr>
        <w:rPr>
          <w:rFonts w:hint="eastAsia"/>
        </w:rPr>
      </w:pPr>
    </w:p>
    <w:p>
      <w:pPr>
        <w:rPr>
          <w:rFonts w:hint="eastAsia"/>
        </w:rPr>
      </w:pPr>
    </w:p>
    <w:tbl>
      <w:tblPr>
        <w:tblStyle w:val="5"/>
        <w:tblW w:w="10788" w:type="dxa"/>
        <w:tblInd w:w="-11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88" w:type="dxa"/>
            <w:tcBorders>
              <w:tl2br w:val="nil"/>
              <w:tr2bl w:val="nil"/>
            </w:tcBorders>
          </w:tcPr>
          <w:p>
            <w:pPr>
              <w:jc w:val="center"/>
              <w:rPr>
                <w:vertAlign w:val="baseline"/>
              </w:rPr>
            </w:pPr>
            <w:r>
              <w:rPr>
                <w:vertAlign w:val="baseline"/>
              </w:rPr>
              <w:drawing>
                <wp:inline distT="0" distB="0" distL="114300" distR="114300">
                  <wp:extent cx="5425440" cy="3322320"/>
                  <wp:effectExtent l="0" t="0" r="3810" b="1143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5425440" cy="3322320"/>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0788" w:type="dxa"/>
            <w:tcBorders>
              <w:tl2br w:val="nil"/>
              <w:tr2bl w:val="nil"/>
            </w:tcBorders>
          </w:tcPr>
          <w:p>
            <w:pPr>
              <w:rPr>
                <w:vertAlign w:val="baseline"/>
              </w:rPr>
            </w:pPr>
            <w:r>
              <w:rPr>
                <w:rFonts w:hint="default" w:ascii="Times New Roman" w:hAnsi="Times New Roman" w:cs="Times New Roman"/>
                <w:vertAlign w:val="baseline"/>
              </w:rPr>
              <w:t xml:space="preserve">Figure 1 A depiction of the RI-CLPM including the relationships between </w:t>
            </w:r>
            <w:r>
              <w:rPr>
                <w:rFonts w:hint="default" w:ascii="Times New Roman" w:hAnsi="Times New Roman" w:cs="Times New Roman"/>
                <w:vertAlign w:val="baseline"/>
                <w:lang w:eastAsia="zh-CN"/>
              </w:rPr>
              <w:t>Community Service</w:t>
            </w:r>
            <w:r>
              <w:rPr>
                <w:rFonts w:hint="default" w:ascii="Times New Roman" w:hAnsi="Times New Roman" w:cs="Times New Roman"/>
                <w:vertAlign w:val="baseline"/>
              </w:rPr>
              <w:t xml:space="preserve">, </w:t>
            </w:r>
            <w:r>
              <w:rPr>
                <w:rFonts w:hint="default" w:ascii="Times New Roman" w:hAnsi="Times New Roman" w:cs="Times New Roman"/>
                <w:vertAlign w:val="baseline"/>
                <w:lang w:val="en-US" w:eastAsia="zh-CN"/>
              </w:rPr>
              <w:t>Geriatric Depression</w:t>
            </w:r>
            <w:r>
              <w:rPr>
                <w:rFonts w:hint="default" w:ascii="Times New Roman" w:hAnsi="Times New Roman" w:cs="Times New Roman"/>
                <w:vertAlign w:val="baseline"/>
              </w:rPr>
              <w:t xml:space="preserve">, and </w:t>
            </w:r>
            <w:r>
              <w:rPr>
                <w:rFonts w:hint="default" w:ascii="Times New Roman" w:hAnsi="Times New Roman" w:cs="Times New Roman"/>
                <w:vertAlign w:val="baseline"/>
                <w:lang w:eastAsia="zh-CN"/>
              </w:rPr>
              <w:t>Psychological Resilience</w:t>
            </w:r>
            <w:r>
              <w:rPr>
                <w:rFonts w:hint="default" w:ascii="Times New Roman" w:hAnsi="Times New Roman" w:cs="Times New Roman"/>
                <w:vertAlign w:val="baseline"/>
              </w:rPr>
              <w:t xml:space="preserve"> across the three waves. W represents within-person variable; T1 represents 2008; T2 represents 2011; T3 represents 2014; T4 represents 2018. The observed variables are represented in the squares. Of these observed variables, latent variables at both the between and within level were constructed. These latent variables are displayed as ovals. The three random intercepts (RI </w:t>
            </w:r>
            <w:r>
              <w:rPr>
                <w:rFonts w:hint="default" w:ascii="Times New Roman" w:hAnsi="Times New Roman" w:cs="Times New Roman"/>
                <w:vertAlign w:val="baseline"/>
                <w:lang w:eastAsia="zh-CN"/>
              </w:rPr>
              <w:t>Community Service</w:t>
            </w:r>
            <w:r>
              <w:rPr>
                <w:rFonts w:hint="default" w:ascii="Times New Roman" w:hAnsi="Times New Roman" w:cs="Times New Roman"/>
                <w:vertAlign w:val="baseline"/>
              </w:rPr>
              <w:t xml:space="preserve">, RI </w:t>
            </w:r>
            <w:r>
              <w:rPr>
                <w:rFonts w:hint="default" w:ascii="Times New Roman" w:hAnsi="Times New Roman" w:cs="Times New Roman"/>
                <w:vertAlign w:val="baseline"/>
                <w:lang w:val="en-US" w:eastAsia="zh-CN"/>
              </w:rPr>
              <w:t>Geriatric Depression</w:t>
            </w:r>
            <w:r>
              <w:rPr>
                <w:rFonts w:hint="default" w:ascii="Times New Roman" w:hAnsi="Times New Roman" w:cs="Times New Roman"/>
                <w:vertAlign w:val="baseline"/>
              </w:rPr>
              <w:t xml:space="preserve">, and RI </w:t>
            </w:r>
            <w:r>
              <w:rPr>
                <w:rFonts w:hint="default" w:ascii="Times New Roman" w:hAnsi="Times New Roman" w:cs="Times New Roman"/>
                <w:vertAlign w:val="baseline"/>
                <w:lang w:eastAsia="zh-CN"/>
              </w:rPr>
              <w:t>Psychological Resilience</w:t>
            </w:r>
            <w:r>
              <w:rPr>
                <w:rFonts w:hint="default" w:ascii="Times New Roman" w:hAnsi="Times New Roman" w:cs="Times New Roman"/>
                <w:vertAlign w:val="baseline"/>
              </w:rPr>
              <w:t xml:space="preserve">) reflect the between-person variances. The nine latent within-person variables (WT1-WT4 </w:t>
            </w:r>
            <w:r>
              <w:rPr>
                <w:rFonts w:hint="default" w:ascii="Times New Roman" w:hAnsi="Times New Roman" w:cs="Times New Roman"/>
                <w:vertAlign w:val="baseline"/>
                <w:lang w:eastAsia="zh-CN"/>
              </w:rPr>
              <w:t>Community Service</w:t>
            </w:r>
            <w:r>
              <w:rPr>
                <w:rFonts w:hint="default" w:ascii="Times New Roman" w:hAnsi="Times New Roman" w:cs="Times New Roman"/>
                <w:vertAlign w:val="baseline"/>
              </w:rPr>
              <w:t xml:space="preserve">, WT1-WT4 </w:t>
            </w:r>
            <w:r>
              <w:rPr>
                <w:rFonts w:hint="default" w:ascii="Times New Roman" w:hAnsi="Times New Roman" w:cs="Times New Roman"/>
                <w:vertAlign w:val="baseline"/>
                <w:lang w:val="en-US" w:eastAsia="zh-CN"/>
              </w:rPr>
              <w:t>Geriatric Depression</w:t>
            </w:r>
            <w:r>
              <w:rPr>
                <w:rFonts w:hint="default" w:ascii="Times New Roman" w:hAnsi="Times New Roman" w:cs="Times New Roman"/>
                <w:vertAlign w:val="baseline"/>
              </w:rPr>
              <w:t xml:space="preserve">, and WT1-WT4 </w:t>
            </w:r>
            <w:r>
              <w:rPr>
                <w:rFonts w:hint="default" w:ascii="Times New Roman" w:hAnsi="Times New Roman" w:cs="Times New Roman"/>
                <w:vertAlign w:val="baseline"/>
                <w:lang w:eastAsia="zh-CN"/>
              </w:rPr>
              <w:t>Psychological Resilience</w:t>
            </w:r>
            <w:r>
              <w:rPr>
                <w:rFonts w:hint="default" w:ascii="Times New Roman" w:hAnsi="Times New Roman" w:cs="Times New Roman"/>
                <w:vertAlign w:val="baseline"/>
              </w:rPr>
              <w:t xml:space="preserve">) reflect the within-person variances across 4 waves. The within-person paths are illustrated by the modeling structure between the nine latent within-person variables: 3 autoregressive paths between the latent factors of Within </w:t>
            </w:r>
            <w:r>
              <w:rPr>
                <w:rFonts w:hint="default" w:ascii="Times New Roman" w:hAnsi="Times New Roman" w:cs="Times New Roman"/>
                <w:vertAlign w:val="baseline"/>
                <w:lang w:eastAsia="zh-CN"/>
              </w:rPr>
              <w:t>Community Service</w:t>
            </w:r>
            <w:r>
              <w:rPr>
                <w:rFonts w:hint="default" w:ascii="Times New Roman" w:hAnsi="Times New Roman" w:cs="Times New Roman"/>
                <w:vertAlign w:val="baseline"/>
              </w:rPr>
              <w:t xml:space="preserve">, 3 autoregressive paths between the latent factors of Within </w:t>
            </w:r>
            <w:r>
              <w:rPr>
                <w:rFonts w:hint="default" w:ascii="Times New Roman" w:hAnsi="Times New Roman" w:cs="Times New Roman"/>
                <w:vertAlign w:val="baseline"/>
                <w:lang w:val="en-US" w:eastAsia="zh-CN"/>
              </w:rPr>
              <w:t>Geriatric Depression</w:t>
            </w:r>
            <w:r>
              <w:rPr>
                <w:rFonts w:hint="default" w:ascii="Times New Roman" w:hAnsi="Times New Roman" w:cs="Times New Roman"/>
                <w:vertAlign w:val="baseline"/>
              </w:rPr>
              <w:t xml:space="preserve">, and 3 autoregressive paths between the latent factors of Within </w:t>
            </w:r>
            <w:r>
              <w:rPr>
                <w:rFonts w:hint="default" w:ascii="Times New Roman" w:hAnsi="Times New Roman" w:cs="Times New Roman"/>
                <w:vertAlign w:val="baseline"/>
                <w:lang w:eastAsia="zh-CN"/>
              </w:rPr>
              <w:t>Psychological Resilience</w:t>
            </w:r>
            <w:r>
              <w:rPr>
                <w:rFonts w:hint="default" w:ascii="Times New Roman" w:hAnsi="Times New Roman" w:cs="Times New Roman"/>
                <w:vertAlign w:val="baseline"/>
              </w:rPr>
              <w:t xml:space="preserve">; 3 cross-lagged paths from the latent factors of Within </w:t>
            </w:r>
            <w:r>
              <w:rPr>
                <w:rFonts w:hint="default" w:ascii="Times New Roman" w:hAnsi="Times New Roman" w:cs="Times New Roman"/>
                <w:vertAlign w:val="baseline"/>
                <w:lang w:eastAsia="zh-CN"/>
              </w:rPr>
              <w:t>Community Service</w:t>
            </w:r>
            <w:r>
              <w:rPr>
                <w:rFonts w:hint="default" w:ascii="Times New Roman" w:hAnsi="Times New Roman" w:cs="Times New Roman"/>
                <w:vertAlign w:val="baseline"/>
              </w:rPr>
              <w:t xml:space="preserve"> to Within </w:t>
            </w:r>
            <w:r>
              <w:rPr>
                <w:rFonts w:hint="default" w:ascii="Times New Roman" w:hAnsi="Times New Roman" w:cs="Times New Roman"/>
                <w:vertAlign w:val="baseline"/>
                <w:lang w:val="en-US" w:eastAsia="zh-CN"/>
              </w:rPr>
              <w:t>Geriatric Depression</w:t>
            </w:r>
            <w:r>
              <w:rPr>
                <w:rFonts w:hint="default" w:ascii="Times New Roman" w:hAnsi="Times New Roman" w:cs="Times New Roman"/>
                <w:vertAlign w:val="baseline"/>
              </w:rPr>
              <w:t xml:space="preserve"> and 3 cross-lagged paths from the latent factors of within </w:t>
            </w:r>
            <w:r>
              <w:rPr>
                <w:rFonts w:hint="default" w:ascii="Times New Roman" w:hAnsi="Times New Roman" w:cs="Times New Roman"/>
                <w:vertAlign w:val="baseline"/>
                <w:lang w:eastAsia="zh-CN"/>
              </w:rPr>
              <w:t>Depressive</w:t>
            </w:r>
            <w:r>
              <w:rPr>
                <w:rFonts w:hint="default" w:ascii="Times New Roman" w:hAnsi="Times New Roman" w:cs="Times New Roman"/>
                <w:vertAlign w:val="baseline"/>
              </w:rPr>
              <w:t xml:space="preserve"> to Within </w:t>
            </w:r>
            <w:r>
              <w:rPr>
                <w:rFonts w:hint="default" w:ascii="Times New Roman" w:hAnsi="Times New Roman" w:cs="Times New Roman"/>
                <w:vertAlign w:val="baseline"/>
                <w:lang w:eastAsia="zh-CN"/>
              </w:rPr>
              <w:t>Community Service</w:t>
            </w:r>
            <w:r>
              <w:rPr>
                <w:rFonts w:hint="default" w:ascii="Times New Roman" w:hAnsi="Times New Roman" w:cs="Times New Roman"/>
                <w:vertAlign w:val="baseline"/>
              </w:rPr>
              <w:t xml:space="preserve">; 3 cross-lagged paths from the latent factors of Within </w:t>
            </w:r>
            <w:r>
              <w:rPr>
                <w:rFonts w:hint="default" w:ascii="Times New Roman" w:hAnsi="Times New Roman" w:cs="Times New Roman"/>
                <w:vertAlign w:val="baseline"/>
                <w:lang w:eastAsia="zh-CN"/>
              </w:rPr>
              <w:t>Community Service</w:t>
            </w:r>
            <w:r>
              <w:rPr>
                <w:rFonts w:hint="default" w:ascii="Times New Roman" w:hAnsi="Times New Roman" w:cs="Times New Roman"/>
                <w:vertAlign w:val="baseline"/>
              </w:rPr>
              <w:t xml:space="preserve"> to Within </w:t>
            </w:r>
            <w:r>
              <w:rPr>
                <w:rFonts w:hint="default" w:ascii="Times New Roman" w:hAnsi="Times New Roman" w:cs="Times New Roman"/>
                <w:vertAlign w:val="baseline"/>
                <w:lang w:eastAsia="zh-CN"/>
              </w:rPr>
              <w:t>Psychological Resilience</w:t>
            </w:r>
            <w:r>
              <w:rPr>
                <w:rFonts w:hint="default" w:ascii="Times New Roman" w:hAnsi="Times New Roman" w:cs="Times New Roman"/>
                <w:vertAlign w:val="baseline"/>
              </w:rPr>
              <w:t xml:space="preserve"> and 3 cross-lagged paths from the latent factors of Within </w:t>
            </w:r>
            <w:r>
              <w:rPr>
                <w:rFonts w:hint="default" w:ascii="Times New Roman" w:hAnsi="Times New Roman" w:cs="Times New Roman"/>
                <w:vertAlign w:val="baseline"/>
                <w:lang w:eastAsia="zh-CN"/>
              </w:rPr>
              <w:t>Psychological Resilience</w:t>
            </w:r>
            <w:r>
              <w:rPr>
                <w:rFonts w:hint="default" w:ascii="Times New Roman" w:hAnsi="Times New Roman" w:cs="Times New Roman"/>
                <w:vertAlign w:val="baseline"/>
              </w:rPr>
              <w:t xml:space="preserve"> to Within </w:t>
            </w:r>
            <w:r>
              <w:rPr>
                <w:rFonts w:hint="default" w:ascii="Times New Roman" w:hAnsi="Times New Roman" w:cs="Times New Roman"/>
                <w:vertAlign w:val="baseline"/>
                <w:lang w:eastAsia="zh-CN"/>
              </w:rPr>
              <w:t>Community Service</w:t>
            </w:r>
            <w:r>
              <w:rPr>
                <w:rFonts w:hint="default" w:ascii="Times New Roman" w:hAnsi="Times New Roman" w:cs="Times New Roman"/>
                <w:vertAlign w:val="baseline"/>
              </w:rPr>
              <w:t xml:space="preserve">; 3 cross-lagged paths from the latent factors of Within </w:t>
            </w:r>
            <w:r>
              <w:rPr>
                <w:rFonts w:hint="default" w:ascii="Times New Roman" w:hAnsi="Times New Roman" w:cs="Times New Roman"/>
                <w:vertAlign w:val="baseline"/>
                <w:lang w:val="en-US" w:eastAsia="zh-CN"/>
              </w:rPr>
              <w:t>Geriatric Depression</w:t>
            </w:r>
            <w:r>
              <w:rPr>
                <w:rFonts w:hint="default" w:ascii="Times New Roman" w:hAnsi="Times New Roman" w:cs="Times New Roman"/>
                <w:vertAlign w:val="baseline"/>
              </w:rPr>
              <w:t xml:space="preserve"> to Within </w:t>
            </w:r>
            <w:r>
              <w:rPr>
                <w:rFonts w:hint="default" w:ascii="Times New Roman" w:hAnsi="Times New Roman" w:cs="Times New Roman"/>
                <w:vertAlign w:val="baseline"/>
                <w:lang w:eastAsia="zh-CN"/>
              </w:rPr>
              <w:t>Psychological Resilience</w:t>
            </w:r>
            <w:r>
              <w:rPr>
                <w:rFonts w:hint="default" w:ascii="Times New Roman" w:hAnsi="Times New Roman" w:cs="Times New Roman"/>
                <w:vertAlign w:val="baseline"/>
              </w:rPr>
              <w:t xml:space="preserve"> and 3 cross-lagged paths from the latent factors of Within </w:t>
            </w:r>
            <w:r>
              <w:rPr>
                <w:rFonts w:hint="default" w:ascii="Times New Roman" w:hAnsi="Times New Roman" w:cs="Times New Roman"/>
                <w:vertAlign w:val="baseline"/>
                <w:lang w:eastAsia="zh-CN"/>
              </w:rPr>
              <w:t>Psychological Resilience</w:t>
            </w:r>
            <w:r>
              <w:rPr>
                <w:rFonts w:hint="default" w:ascii="Times New Roman" w:hAnsi="Times New Roman" w:cs="Times New Roman"/>
                <w:vertAlign w:val="baseline"/>
              </w:rPr>
              <w:t xml:space="preserve"> to Within </w:t>
            </w:r>
            <w:r>
              <w:rPr>
                <w:rFonts w:hint="default" w:ascii="Times New Roman" w:hAnsi="Times New Roman" w:cs="Times New Roman"/>
                <w:vertAlign w:val="baseline"/>
                <w:lang w:val="en-US" w:eastAsia="zh-CN"/>
              </w:rPr>
              <w:t>Geriatric Depression</w:t>
            </w:r>
            <w:r>
              <w:rPr>
                <w:rFonts w:hint="default" w:ascii="Times New Roman" w:hAnsi="Times New Roman" w:cs="Times New Roman"/>
                <w:vertAlign w:val="baseline"/>
              </w:rPr>
              <w:t xml:space="preserve">; correlations between Within </w:t>
            </w:r>
            <w:r>
              <w:rPr>
                <w:rFonts w:hint="default" w:ascii="Times New Roman" w:hAnsi="Times New Roman" w:cs="Times New Roman"/>
                <w:vertAlign w:val="baseline"/>
                <w:lang w:eastAsia="zh-CN"/>
              </w:rPr>
              <w:t>Community Service</w:t>
            </w:r>
            <w:r>
              <w:rPr>
                <w:rFonts w:hint="default" w:ascii="Times New Roman" w:hAnsi="Times New Roman" w:cs="Times New Roman"/>
                <w:vertAlign w:val="baseline"/>
              </w:rPr>
              <w:t xml:space="preserve">, Within </w:t>
            </w:r>
            <w:r>
              <w:rPr>
                <w:rFonts w:hint="default" w:ascii="Times New Roman" w:hAnsi="Times New Roman" w:cs="Times New Roman"/>
                <w:vertAlign w:val="baseline"/>
                <w:lang w:val="en-US" w:eastAsia="zh-CN"/>
              </w:rPr>
              <w:t>Geriatric Depression</w:t>
            </w:r>
            <w:r>
              <w:rPr>
                <w:rFonts w:hint="default" w:ascii="Times New Roman" w:hAnsi="Times New Roman" w:cs="Times New Roman"/>
                <w:vertAlign w:val="baseline"/>
              </w:rPr>
              <w:t xml:space="preserve">, and Within </w:t>
            </w:r>
            <w:r>
              <w:rPr>
                <w:rFonts w:hint="default" w:ascii="Times New Roman" w:hAnsi="Times New Roman" w:cs="Times New Roman"/>
                <w:vertAlign w:val="baseline"/>
                <w:lang w:eastAsia="zh-CN"/>
              </w:rPr>
              <w:t>Psychological Resilience</w:t>
            </w:r>
            <w:r>
              <w:rPr>
                <w:rFonts w:hint="default" w:ascii="Times New Roman" w:hAnsi="Times New Roman" w:cs="Times New Roman"/>
                <w:vertAlign w:val="baseline"/>
              </w:rPr>
              <w:t xml:space="preserve"> at Wave 1, and between the residual correlations of Within </w:t>
            </w:r>
            <w:r>
              <w:rPr>
                <w:rFonts w:hint="default" w:ascii="Times New Roman" w:hAnsi="Times New Roman" w:cs="Times New Roman"/>
                <w:vertAlign w:val="baseline"/>
                <w:lang w:eastAsia="zh-CN"/>
              </w:rPr>
              <w:t>Community Service</w:t>
            </w:r>
            <w:r>
              <w:rPr>
                <w:rFonts w:hint="default" w:ascii="Times New Roman" w:hAnsi="Times New Roman" w:cs="Times New Roman"/>
                <w:vertAlign w:val="baseline"/>
              </w:rPr>
              <w:t xml:space="preserve">, Within </w:t>
            </w:r>
            <w:r>
              <w:rPr>
                <w:rFonts w:hint="default" w:ascii="Times New Roman" w:hAnsi="Times New Roman" w:cs="Times New Roman"/>
                <w:vertAlign w:val="baseline"/>
                <w:lang w:val="en-US" w:eastAsia="zh-CN"/>
              </w:rPr>
              <w:t>Geriatric Depression</w:t>
            </w:r>
            <w:bookmarkStart w:id="0" w:name="_GoBack"/>
            <w:bookmarkEnd w:id="0"/>
            <w:r>
              <w:rPr>
                <w:rFonts w:hint="default" w:ascii="Times New Roman" w:hAnsi="Times New Roman" w:cs="Times New Roman"/>
                <w:vertAlign w:val="baseline"/>
              </w:rPr>
              <w:t xml:space="preserve">, and W </w:t>
            </w:r>
            <w:r>
              <w:rPr>
                <w:rFonts w:hint="default" w:ascii="Times New Roman" w:hAnsi="Times New Roman" w:cs="Times New Roman"/>
                <w:vertAlign w:val="baseline"/>
                <w:lang w:eastAsia="zh-CN"/>
              </w:rPr>
              <w:t>Psychological Resilience</w:t>
            </w:r>
            <w:r>
              <w:rPr>
                <w:rFonts w:hint="default" w:ascii="Times New Roman" w:hAnsi="Times New Roman" w:cs="Times New Roman"/>
                <w:vertAlign w:val="baseline"/>
              </w:rPr>
              <w:t xml:space="preserve"> at Waves 2 and 3.</w:t>
            </w:r>
          </w:p>
        </w:tc>
      </w:tr>
    </w:tbl>
    <w:p/>
    <w:p>
      <w:pPr>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References</w:t>
      </w:r>
    </w:p>
    <w:p>
      <w:pPr>
        <w:rPr>
          <w:rFonts w:hint="default" w:ascii="Times New Roman" w:hAnsi="Times New Roman" w:cs="Times New Roman"/>
        </w:rPr>
      </w:pPr>
      <w:r>
        <w:rPr>
          <w:rFonts w:hint="default" w:ascii="Times New Roman" w:hAnsi="Times New Roman" w:cs="Times New Roman"/>
          <w:lang w:val="en-US" w:eastAsia="zh-CN"/>
        </w:rPr>
        <w:t>1. Hamaker EL, Kuiper RM, Grasman RPPP. A critique of the cross-lagged panel model. Psychol Methods. 2015;20(1):102–116. doi:10.1037/ a0038889</w:t>
      </w:r>
    </w:p>
    <w:p>
      <w:pPr>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 xml:space="preserve">Hamaker, E. L., Kuiper, R. M., &amp; Grasman, R. P. P. P. (2020). Three Extensions of the Random Intercept Cross-Lagged Panel Model. Structural Equation Modeling: A Multidisciplinary Journal, 27(5), 751-768. </w:t>
      </w:r>
    </w:p>
    <w:p>
      <w:pPr>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 xml:space="preserve">Zyphur, M. J., Tay, L., &amp; Voelkle, M. C. (2022). Power Analysis for the Random Intercept Cross-Lagged Panel Model Using the powRICLPM R-Package. Structural Equation Modeling: A Multidisciplinary Journal, 29(6), 925-939. </w:t>
      </w:r>
    </w:p>
    <w:p/>
    <w:p/>
    <w:p/>
    <w:p/>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KaTeX_Math">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iMWI5ZjVhOTBkNDRmNDZlZWJmODk2NTZlNTRkYzQifQ=="/>
  </w:docVars>
  <w:rsids>
    <w:rsidRoot w:val="00000000"/>
    <w:rsid w:val="16594857"/>
    <w:rsid w:val="20B77438"/>
    <w:rsid w:val="26B23447"/>
    <w:rsid w:val="30FC337F"/>
    <w:rsid w:val="44F763A1"/>
    <w:rsid w:val="4D644D51"/>
    <w:rsid w:val="516D2A12"/>
    <w:rsid w:val="735D58F1"/>
    <w:rsid w:val="78E273CA"/>
    <w:rsid w:val="79C01D0A"/>
    <w:rsid w:val="7A8F7B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2023-12-20T13:44:00Z</dcterms:created>
  <dc:creator>Asus</dc:creator>
  <cp:lastModifiedBy>澜可刂榔皆</cp:lastModifiedBy>
  <dcterms:modified xsi:type="dcterms:W3CDTF">2023-12-25T09:21:15Z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DF56D355AEDB4DEBB12A55BC66C50095_12</vt:lpwstr>
  </property>
</Properties>
</file>