
<file path=[Content_Types].xml><?xml version="1.0" encoding="utf-8"?>
<Types xmlns="http://schemas.openxmlformats.org/package/2006/content-types">
  <Default Extension="xml" ContentType="application/xml"/>
  <Default Extension="jpeg" ContentType="image/jpeg"/>
  <Default Extension="JPG" ContentType="image/.jpg"/>
  <Default Extension="tiff" ContentType="image/tif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napToGrid w:val="0"/>
        <w:spacing w:line="360" w:lineRule="auto"/>
        <w:rPr>
          <w:rFonts w:eastAsia="宋体"/>
          <w:b/>
          <w:kern w:val="2"/>
          <w:sz w:val="28"/>
          <w:szCs w:val="36"/>
          <w:lang w:eastAsia="zh-CN"/>
        </w:rPr>
      </w:pPr>
      <w:r>
        <w:rPr>
          <w:rFonts w:hint="eastAsia" w:eastAsia="宋体"/>
          <w:b/>
          <w:kern w:val="2"/>
          <w:sz w:val="28"/>
          <w:szCs w:val="36"/>
          <w:lang w:eastAsia="zh-CN"/>
        </w:rPr>
        <w:t xml:space="preserve">An atom-level interaction design between amine and support: </w:t>
      </w:r>
      <w:r>
        <w:rPr>
          <w:rFonts w:eastAsia="宋体"/>
          <w:b/>
          <w:kern w:val="2"/>
          <w:sz w:val="28"/>
          <w:szCs w:val="36"/>
          <w:lang w:eastAsia="zh-CN"/>
        </w:rPr>
        <w:t>a</w:t>
      </w:r>
      <w:r>
        <w:rPr>
          <w:rFonts w:hint="eastAsia" w:eastAsia="宋体"/>
          <w:b/>
          <w:kern w:val="2"/>
          <w:sz w:val="28"/>
          <w:szCs w:val="36"/>
          <w:lang w:eastAsia="zh-CN"/>
        </w:rPr>
        <w:t>chieving efficient and stable CO</w:t>
      </w:r>
      <w:r>
        <w:rPr>
          <w:rFonts w:hint="eastAsia" w:eastAsia="宋体"/>
          <w:b/>
          <w:kern w:val="2"/>
          <w:sz w:val="28"/>
          <w:szCs w:val="36"/>
          <w:vertAlign w:val="subscript"/>
          <w:lang w:eastAsia="zh-CN"/>
        </w:rPr>
        <w:t>2</w:t>
      </w:r>
      <w:r>
        <w:rPr>
          <w:rFonts w:hint="eastAsia" w:eastAsia="宋体"/>
          <w:b/>
          <w:kern w:val="2"/>
          <w:sz w:val="28"/>
          <w:szCs w:val="36"/>
          <w:lang w:eastAsia="zh-CN"/>
        </w:rPr>
        <w:t xml:space="preserve"> capture</w:t>
      </w:r>
    </w:p>
    <w:p>
      <w:pPr>
        <w:widowControl w:val="0"/>
        <w:snapToGrid w:val="0"/>
        <w:spacing w:before="120" w:after="120" w:line="360" w:lineRule="auto"/>
        <w:rPr>
          <w:rFonts w:eastAsia="黑体"/>
          <w:kern w:val="2"/>
          <w:lang w:eastAsia="zh-CN"/>
        </w:rPr>
      </w:pPr>
      <w:r>
        <w:rPr>
          <w:rFonts w:eastAsia="黑体"/>
          <w:kern w:val="2"/>
          <w:lang w:eastAsia="zh-CN"/>
        </w:rPr>
        <w:t>Xin Sun</w:t>
      </w:r>
      <w:r>
        <w:rPr>
          <w:rFonts w:eastAsia="黑体"/>
          <w:kern w:val="2"/>
          <w:vertAlign w:val="superscript"/>
          <w:lang w:val="en-GB"/>
        </w:rPr>
        <w:t>1</w:t>
      </w:r>
      <w:r>
        <w:rPr>
          <w:rFonts w:eastAsia="黑体"/>
          <w:kern w:val="2"/>
          <w:lang w:val="en-GB"/>
        </w:rPr>
        <w:t>, Xuehua Shen</w:t>
      </w:r>
      <w:r>
        <w:rPr>
          <w:rFonts w:eastAsia="黑体"/>
          <w:kern w:val="2"/>
          <w:vertAlign w:val="superscript"/>
          <w:lang w:val="en-GB"/>
        </w:rPr>
        <w:t>1,</w:t>
      </w:r>
      <w:r>
        <w:rPr>
          <w:rFonts w:eastAsia="黑体"/>
          <w:kern w:val="2"/>
          <w:vertAlign w:val="superscript"/>
          <w:lang w:eastAsia="zh-CN"/>
        </w:rPr>
        <w:t>3</w:t>
      </w:r>
      <w:r>
        <w:rPr>
          <w:rFonts w:eastAsia="黑体"/>
          <w:kern w:val="2"/>
          <w:vertAlign w:val="superscript"/>
          <w:lang w:val="en-GB"/>
        </w:rPr>
        <w:t>*</w:t>
      </w:r>
      <w:r>
        <w:rPr>
          <w:rFonts w:eastAsia="黑体"/>
          <w:kern w:val="2"/>
          <w:lang w:eastAsia="zh-CN"/>
        </w:rPr>
        <w:t>, Hao Wang</w:t>
      </w:r>
      <w:r>
        <w:rPr>
          <w:rFonts w:eastAsia="黑体"/>
          <w:kern w:val="2"/>
          <w:vertAlign w:val="superscript"/>
          <w:lang w:eastAsia="zh-CN"/>
        </w:rPr>
        <w:t>2</w:t>
      </w:r>
      <w:r>
        <w:rPr>
          <w:rFonts w:eastAsia="黑体"/>
          <w:kern w:val="2"/>
          <w:vertAlign w:val="superscript"/>
          <w:lang w:val="en-GB"/>
        </w:rPr>
        <w:t>*</w:t>
      </w:r>
      <w:r>
        <w:rPr>
          <w:rFonts w:eastAsia="黑体"/>
          <w:kern w:val="2"/>
          <w:lang w:eastAsia="zh-CN"/>
        </w:rPr>
        <w:t>, Feng Yan</w:t>
      </w:r>
      <w:r>
        <w:rPr>
          <w:rFonts w:eastAsia="黑体"/>
          <w:kern w:val="2"/>
          <w:vertAlign w:val="superscript"/>
          <w:lang w:val="en-GB"/>
        </w:rPr>
        <w:t>1,</w:t>
      </w:r>
      <w:r>
        <w:rPr>
          <w:rFonts w:eastAsia="黑体"/>
          <w:kern w:val="2"/>
          <w:vertAlign w:val="superscript"/>
          <w:lang w:eastAsia="zh-CN"/>
        </w:rPr>
        <w:t>3</w:t>
      </w:r>
      <w:r>
        <w:rPr>
          <w:rFonts w:eastAsia="黑体"/>
          <w:kern w:val="2"/>
          <w:lang w:eastAsia="zh-CN"/>
        </w:rPr>
        <w:t>, Jiali Hua</w:t>
      </w:r>
      <w:r>
        <w:rPr>
          <w:rFonts w:eastAsia="黑体"/>
          <w:kern w:val="2"/>
          <w:vertAlign w:val="superscript"/>
          <w:lang w:val="en-GB"/>
        </w:rPr>
        <w:t>1</w:t>
      </w:r>
      <w:r>
        <w:rPr>
          <w:rFonts w:eastAsia="黑体"/>
          <w:kern w:val="2"/>
          <w:lang w:eastAsia="zh-CN"/>
        </w:rPr>
        <w:t>, Guanghua Li</w:t>
      </w:r>
      <w:r>
        <w:rPr>
          <w:rFonts w:eastAsia="黑体"/>
          <w:kern w:val="2"/>
          <w:vertAlign w:val="superscript"/>
          <w:lang w:eastAsia="zh-CN"/>
        </w:rPr>
        <w:t>1</w:t>
      </w:r>
      <w:r>
        <w:rPr>
          <w:rFonts w:eastAsia="黑体"/>
          <w:kern w:val="2"/>
          <w:lang w:eastAsia="zh-CN"/>
        </w:rPr>
        <w:t xml:space="preserve">, </w:t>
      </w:r>
      <w:bookmarkStart w:id="0" w:name="_Hlk151061846"/>
      <w:r>
        <w:rPr>
          <w:rFonts w:eastAsia="黑体"/>
          <w:kern w:val="2"/>
          <w:lang w:eastAsia="zh-CN"/>
        </w:rPr>
        <w:t>Zuotai</w:t>
      </w:r>
      <w:r>
        <w:rPr>
          <w:rFonts w:eastAsia="黑体"/>
          <w:kern w:val="2"/>
          <w:lang w:val="en-GB"/>
        </w:rPr>
        <w:t xml:space="preserve"> </w:t>
      </w:r>
      <w:r>
        <w:rPr>
          <w:rFonts w:eastAsia="黑体"/>
          <w:kern w:val="2"/>
          <w:lang w:eastAsia="zh-CN"/>
        </w:rPr>
        <w:t>Zhang</w:t>
      </w:r>
      <w:bookmarkEnd w:id="0"/>
      <w:r>
        <w:rPr>
          <w:rFonts w:eastAsia="黑体"/>
          <w:kern w:val="2"/>
          <w:vertAlign w:val="superscript"/>
          <w:lang w:val="en-GB"/>
        </w:rPr>
        <w:t>1,</w:t>
      </w:r>
      <w:r>
        <w:rPr>
          <w:rFonts w:eastAsia="黑体"/>
          <w:kern w:val="2"/>
          <w:vertAlign w:val="superscript"/>
          <w:lang w:eastAsia="zh-CN"/>
        </w:rPr>
        <w:t>2, 3</w:t>
      </w:r>
      <w:r>
        <w:rPr>
          <w:rFonts w:eastAsia="黑体"/>
          <w:kern w:val="2"/>
          <w:vertAlign w:val="superscript"/>
          <w:lang w:val="en-GB"/>
        </w:rPr>
        <w:t>*</w:t>
      </w:r>
      <w:r>
        <w:rPr>
          <w:rFonts w:eastAsia="黑体"/>
          <w:kern w:val="2"/>
          <w:lang w:val="en-GB"/>
        </w:rPr>
        <w:t xml:space="preserve">  </w:t>
      </w:r>
    </w:p>
    <w:p>
      <w:pPr>
        <w:widowControl w:val="0"/>
        <w:snapToGrid w:val="0"/>
        <w:spacing w:line="360" w:lineRule="auto"/>
        <w:rPr>
          <w:rFonts w:eastAsia="黑体"/>
          <w:kern w:val="2"/>
          <w:sz w:val="21"/>
          <w:szCs w:val="21"/>
          <w:lang w:val="en-GB"/>
        </w:rPr>
      </w:pPr>
      <w:r>
        <w:rPr>
          <w:rFonts w:eastAsia="黑体"/>
          <w:kern w:val="2"/>
          <w:sz w:val="21"/>
          <w:szCs w:val="21"/>
          <w:vertAlign w:val="superscript"/>
          <w:lang w:val="en-GB"/>
        </w:rPr>
        <w:t>1</w:t>
      </w:r>
      <w:r>
        <w:rPr>
          <w:rFonts w:eastAsia="黑体"/>
          <w:kern w:val="2"/>
          <w:sz w:val="21"/>
          <w:szCs w:val="21"/>
          <w:lang w:eastAsia="zh-CN"/>
        </w:rPr>
        <w:t>School of Environmental Science and Engineering, Southern University of Science and Technology, Shenzhen 518055,</w:t>
      </w:r>
      <w:r>
        <w:rPr>
          <w:rFonts w:eastAsia="黑体"/>
          <w:kern w:val="2"/>
          <w:sz w:val="21"/>
          <w:szCs w:val="21"/>
          <w:lang w:val="en-GB"/>
        </w:rPr>
        <w:t xml:space="preserve"> </w:t>
      </w:r>
      <w:r>
        <w:rPr>
          <w:rFonts w:eastAsia="黑体"/>
          <w:kern w:val="2"/>
          <w:sz w:val="21"/>
          <w:szCs w:val="21"/>
          <w:lang w:eastAsia="zh-CN"/>
        </w:rPr>
        <w:t>China.</w:t>
      </w:r>
    </w:p>
    <w:p>
      <w:pPr>
        <w:widowControl w:val="0"/>
        <w:snapToGrid w:val="0"/>
        <w:spacing w:before="120" w:line="360" w:lineRule="auto"/>
        <w:rPr>
          <w:rFonts w:eastAsia="黑体"/>
          <w:kern w:val="2"/>
          <w:sz w:val="21"/>
          <w:szCs w:val="21"/>
          <w:lang w:val="en-GB"/>
        </w:rPr>
      </w:pPr>
      <w:r>
        <w:rPr>
          <w:rFonts w:eastAsia="黑体"/>
          <w:kern w:val="2"/>
          <w:sz w:val="21"/>
          <w:szCs w:val="21"/>
          <w:vertAlign w:val="superscript"/>
          <w:lang w:eastAsia="zh-CN"/>
        </w:rPr>
        <w:t>2</w:t>
      </w:r>
      <w:r>
        <w:rPr>
          <w:rFonts w:eastAsia="黑体"/>
          <w:kern w:val="2"/>
          <w:sz w:val="21"/>
          <w:szCs w:val="21"/>
          <w:lang w:val="en-GB"/>
        </w:rPr>
        <w:t>Hoffmann Institute of Advanced Materials, Shenzhen Polytechnic University, Shenzhen, Guangdong 518055, China</w:t>
      </w:r>
    </w:p>
    <w:p>
      <w:pPr>
        <w:widowControl w:val="0"/>
        <w:snapToGrid w:val="0"/>
        <w:spacing w:before="120" w:line="360" w:lineRule="auto"/>
        <w:rPr>
          <w:kern w:val="2"/>
          <w:sz w:val="21"/>
          <w:szCs w:val="21"/>
          <w:lang w:val="en-GB" w:eastAsia="zh-CN"/>
        </w:rPr>
      </w:pPr>
      <w:r>
        <w:rPr>
          <w:rFonts w:eastAsia="黑体"/>
          <w:kern w:val="2"/>
          <w:sz w:val="21"/>
          <w:szCs w:val="21"/>
          <w:vertAlign w:val="superscript"/>
          <w:lang w:val="en-GB"/>
        </w:rPr>
        <w:t>3</w:t>
      </w:r>
      <w:r>
        <w:rPr>
          <w:rFonts w:eastAsia="黑体"/>
          <w:kern w:val="2"/>
          <w:sz w:val="21"/>
          <w:szCs w:val="21"/>
          <w:lang w:eastAsia="zh-CN"/>
        </w:rPr>
        <w:t>Key Laboratory of Municipal Solid Waste Recycling Technology and Management of Shenzhen City, Shenzhen 518055, China.</w:t>
      </w:r>
    </w:p>
    <w:p>
      <w:pPr>
        <w:widowControl w:val="0"/>
        <w:snapToGrid w:val="0"/>
        <w:spacing w:before="120" w:line="360" w:lineRule="auto"/>
        <w:jc w:val="left"/>
        <w:rPr>
          <w:rFonts w:eastAsia="宋体"/>
          <w:b/>
          <w:kern w:val="2"/>
          <w:lang w:val="en-GB"/>
        </w:rPr>
      </w:pPr>
      <w:r>
        <w:rPr>
          <w:rFonts w:eastAsia="宋体"/>
          <w:b/>
          <w:kern w:val="2"/>
          <w:lang w:val="en-GB"/>
        </w:rPr>
        <w:t>*Corresponding author:</w:t>
      </w:r>
    </w:p>
    <w:p>
      <w:pPr>
        <w:widowControl w:val="0"/>
        <w:snapToGrid w:val="0"/>
        <w:spacing w:line="360" w:lineRule="auto"/>
        <w:rPr>
          <w:rFonts w:eastAsia="宋体"/>
          <w:kern w:val="2"/>
          <w:sz w:val="21"/>
          <w:szCs w:val="21"/>
          <w:lang w:val="en-GB"/>
        </w:rPr>
      </w:pPr>
      <w:r>
        <w:rPr>
          <w:rFonts w:eastAsia="宋体"/>
          <w:kern w:val="2"/>
          <w:sz w:val="21"/>
          <w:szCs w:val="21"/>
          <w:lang w:val="en-GB"/>
        </w:rPr>
        <w:t xml:space="preserve">Dr. Xuehua Shen, E-mail address: </w:t>
      </w:r>
      <w:r>
        <w:rPr>
          <w:rFonts w:eastAsia="宋体"/>
          <w:color w:val="0000FF"/>
          <w:kern w:val="2"/>
          <w:sz w:val="21"/>
          <w:u w:val="single"/>
          <w:lang w:eastAsia="zh-CN"/>
        </w:rPr>
        <w:t>shenxh@sustech.edu.cn</w:t>
      </w:r>
    </w:p>
    <w:p>
      <w:pPr>
        <w:widowControl w:val="0"/>
        <w:snapToGrid w:val="0"/>
        <w:spacing w:line="360" w:lineRule="auto"/>
        <w:rPr>
          <w:rFonts w:eastAsia="宋体"/>
          <w:kern w:val="2"/>
          <w:sz w:val="21"/>
          <w:szCs w:val="21"/>
          <w:lang w:val="en-GB"/>
        </w:rPr>
      </w:pPr>
      <w:r>
        <w:rPr>
          <w:rFonts w:eastAsia="宋体"/>
          <w:kern w:val="2"/>
          <w:sz w:val="21"/>
          <w:szCs w:val="21"/>
          <w:lang w:val="en-GB"/>
        </w:rPr>
        <w:t xml:space="preserve">Prof. Hao Wang, E-mail address: </w:t>
      </w:r>
      <w:r>
        <w:rPr>
          <w:rFonts w:eastAsia="宋体"/>
          <w:color w:val="0000FF"/>
          <w:kern w:val="2"/>
          <w:sz w:val="21"/>
          <w:u w:val="single"/>
          <w:lang w:eastAsia="zh-CN"/>
        </w:rPr>
        <w:t>wanghao@szpt.edu.cn</w:t>
      </w:r>
    </w:p>
    <w:p>
      <w:pPr>
        <w:widowControl w:val="0"/>
        <w:snapToGrid w:val="0"/>
        <w:spacing w:line="360" w:lineRule="auto"/>
        <w:rPr>
          <w:rFonts w:eastAsia="宋体"/>
          <w:kern w:val="2"/>
          <w:sz w:val="21"/>
          <w:szCs w:val="21"/>
          <w:lang w:val="en-GB"/>
        </w:rPr>
      </w:pPr>
      <w:r>
        <w:rPr>
          <w:rFonts w:eastAsia="宋体"/>
          <w:kern w:val="2"/>
          <w:sz w:val="21"/>
          <w:szCs w:val="21"/>
          <w:lang w:val="en-GB"/>
        </w:rPr>
        <w:t xml:space="preserve">Prof. Zuotai Zhang, E-mail address: </w:t>
      </w:r>
      <w:r>
        <w:rPr>
          <w:rFonts w:hint="eastAsia" w:eastAsia="宋体"/>
          <w:color w:val="0000FF"/>
          <w:kern w:val="2"/>
          <w:sz w:val="21"/>
          <w:u w:val="single"/>
          <w:lang w:eastAsia="zh-CN"/>
        </w:rPr>
        <w:t>zhangzt@sustech.edu.cn</w:t>
      </w:r>
    </w:p>
    <w:p>
      <w:pPr>
        <w:jc w:val="left"/>
        <w:rPr>
          <w:rFonts w:cs="Arial"/>
          <w:b/>
          <w:bCs/>
          <w:iCs/>
          <w:kern w:val="32"/>
          <w:sz w:val="28"/>
          <w:szCs w:val="32"/>
          <w:lang w:val="en-GB" w:eastAsia="zh-CN"/>
        </w:rPr>
      </w:pPr>
      <w:r>
        <w:br w:type="page"/>
      </w:r>
    </w:p>
    <w:p>
      <w:pPr>
        <w:snapToGrid w:val="0"/>
        <w:spacing w:before="120" w:line="360" w:lineRule="auto"/>
        <w:rPr>
          <w:lang w:val="en-GB" w:eastAsia="zh-CN"/>
        </w:rPr>
      </w:pPr>
      <w:bookmarkStart w:id="7" w:name="_GoBack"/>
      <w:bookmarkEnd w:id="7"/>
      <w:r>
        <w:rPr>
          <w:rStyle w:val="18"/>
        </w:rPr>
        <w:drawing>
          <wp:inline distT="0" distB="0" distL="114300" distR="114300">
            <wp:extent cx="5760085" cy="2231390"/>
            <wp:effectExtent l="0" t="0" r="12065" b="16510"/>
            <wp:docPr id="5" name="图片 5" descr="Fig.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g.S1"/>
                    <pic:cNvPicPr>
                      <a:picLocks noChangeAspect="1"/>
                    </pic:cNvPicPr>
                  </pic:nvPicPr>
                  <pic:blipFill>
                    <a:blip r:embed="rId4"/>
                    <a:srcRect/>
                    <a:stretch>
                      <a:fillRect/>
                    </a:stretch>
                  </pic:blipFill>
                  <pic:spPr>
                    <a:xfrm>
                      <a:off x="0" y="0"/>
                      <a:ext cx="5760085" cy="2231390"/>
                    </a:xfrm>
                    <a:prstGeom prst="rect">
                      <a:avLst/>
                    </a:prstGeom>
                  </pic:spPr>
                </pic:pic>
              </a:graphicData>
            </a:graphic>
          </wp:inline>
        </w:drawing>
      </w:r>
      <w:r>
        <w:rPr>
          <w:b/>
          <w:bCs/>
          <w:lang w:val="en-GB"/>
        </w:rPr>
        <w:t xml:space="preserve">Supplementary Figure </w:t>
      </w:r>
      <w:r>
        <w:rPr>
          <w:b/>
          <w:bCs/>
        </w:rPr>
        <w:t>1</w:t>
      </w:r>
      <w:r>
        <w:rPr>
          <w:rFonts w:hint="eastAsia"/>
          <w:b/>
          <w:bCs/>
          <w:lang w:eastAsia="zh-CN"/>
        </w:rPr>
        <w:t xml:space="preserve"> </w:t>
      </w:r>
      <w:r>
        <w:rPr>
          <w:b/>
          <w:bCs/>
          <w:lang w:val="en-GB" w:eastAsia="zh-CN"/>
        </w:rPr>
        <w:t xml:space="preserve">| </w:t>
      </w:r>
      <w:r>
        <w:rPr>
          <w:rFonts w:hint="eastAsia"/>
          <w:b/>
          <w:bCs/>
          <w:lang w:eastAsia="zh-CN"/>
        </w:rPr>
        <w:t>The character</w:t>
      </w:r>
      <w:r>
        <w:rPr>
          <w:b/>
          <w:bCs/>
          <w:lang w:eastAsia="zh-CN"/>
        </w:rPr>
        <w:t>s</w:t>
      </w:r>
      <w:r>
        <w:rPr>
          <w:rFonts w:hint="eastAsia"/>
          <w:b/>
          <w:bCs/>
          <w:lang w:eastAsia="zh-CN"/>
        </w:rPr>
        <w:t xml:space="preserve"> of MIL-101</w:t>
      </w:r>
      <w:r>
        <w:rPr>
          <w:rFonts w:hint="eastAsia" w:eastAsia="黑体"/>
          <w:b/>
          <w:kern w:val="2"/>
          <w:szCs w:val="21"/>
          <w:lang w:eastAsia="zh-CN"/>
        </w:rPr>
        <w:t>(Cr)</w:t>
      </w:r>
      <w:r>
        <w:rPr>
          <w:rFonts w:hint="eastAsia"/>
          <w:b/>
          <w:bCs/>
          <w:lang w:eastAsia="zh-CN"/>
        </w:rPr>
        <w:t xml:space="preserve"> support. a</w:t>
      </w:r>
      <w:r>
        <w:rPr>
          <w:b/>
          <w:bCs/>
          <w:lang w:eastAsia="zh-CN"/>
        </w:rPr>
        <w:t>,</w:t>
      </w:r>
      <w:r>
        <w:rPr>
          <w:rFonts w:hint="eastAsia"/>
          <w:lang w:eastAsia="zh-CN"/>
        </w:rPr>
        <w:t xml:space="preserve"> SEM image of MIL-101</w:t>
      </w:r>
      <w:r>
        <w:rPr>
          <w:rFonts w:hint="eastAsia" w:eastAsia="黑体"/>
          <w:bCs/>
          <w:kern w:val="2"/>
          <w:szCs w:val="21"/>
          <w:lang w:eastAsia="zh-CN"/>
        </w:rPr>
        <w:t>(Cr)</w:t>
      </w:r>
      <w:r>
        <w:rPr>
          <w:rFonts w:hint="eastAsia"/>
          <w:lang w:eastAsia="zh-CN"/>
        </w:rPr>
        <w:t xml:space="preserve"> support</w:t>
      </w:r>
      <w:r>
        <w:rPr>
          <w:lang w:eastAsia="zh-CN"/>
        </w:rPr>
        <w:t>.</w:t>
      </w:r>
      <w:r>
        <w:rPr>
          <w:rFonts w:hint="eastAsia"/>
          <w:lang w:eastAsia="zh-CN"/>
        </w:rPr>
        <w:t xml:space="preserve"> </w:t>
      </w:r>
      <w:r>
        <w:rPr>
          <w:rFonts w:hint="eastAsia"/>
          <w:b/>
          <w:bCs/>
          <w:lang w:eastAsia="zh-CN"/>
        </w:rPr>
        <w:t>b</w:t>
      </w:r>
      <w:r>
        <w:rPr>
          <w:b/>
          <w:bCs/>
          <w:lang w:eastAsia="zh-CN"/>
        </w:rPr>
        <w:t>,</w:t>
      </w:r>
      <w:r>
        <w:rPr>
          <w:rFonts w:hint="eastAsia"/>
          <w:lang w:eastAsia="zh-CN"/>
        </w:rPr>
        <w:t xml:space="preserve"> FT</w:t>
      </w:r>
      <w:r>
        <w:rPr>
          <w:lang w:eastAsia="zh-CN"/>
        </w:rPr>
        <w:t>-</w:t>
      </w:r>
      <w:r>
        <w:rPr>
          <w:rFonts w:hint="eastAsia"/>
          <w:lang w:eastAsia="zh-CN"/>
        </w:rPr>
        <w:t xml:space="preserve">IR </w:t>
      </w:r>
      <w:r>
        <w:rPr>
          <w:lang w:eastAsia="zh-CN"/>
        </w:rPr>
        <w:t>spectrum</w:t>
      </w:r>
      <w:r>
        <w:rPr>
          <w:rFonts w:hint="eastAsia"/>
          <w:lang w:eastAsia="zh-CN"/>
        </w:rPr>
        <w:t>.</w:t>
      </w:r>
      <w:r>
        <w:br w:type="page"/>
      </w:r>
    </w:p>
    <w:p>
      <w:pPr>
        <w:tabs>
          <w:tab w:val="left" w:pos="5290"/>
        </w:tabs>
        <w:snapToGrid w:val="0"/>
        <w:spacing w:before="120" w:line="360" w:lineRule="auto"/>
        <w:jc w:val="center"/>
        <w:rPr>
          <w:b/>
          <w:bCs/>
          <w:lang w:val="en-GB" w:eastAsia="zh-CN"/>
        </w:rPr>
      </w:pPr>
      <w:r>
        <w:rPr>
          <w:rFonts w:hint="eastAsia"/>
          <w:b/>
          <w:bCs/>
          <w:lang w:val="en-GB" w:eastAsia="zh-CN"/>
        </w:rPr>
        <w:drawing>
          <wp:inline distT="0" distB="0" distL="114300" distR="114300">
            <wp:extent cx="4608195" cy="3935095"/>
            <wp:effectExtent l="0" t="0" r="1905" b="8255"/>
            <wp:docPr id="4" name="图片 4" descr="Fig.S2-lewis ac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S2-lewis acid"/>
                    <pic:cNvPicPr>
                      <a:picLocks noChangeAspect="1"/>
                    </pic:cNvPicPr>
                  </pic:nvPicPr>
                  <pic:blipFill>
                    <a:blip r:embed="rId5"/>
                    <a:stretch>
                      <a:fillRect/>
                    </a:stretch>
                  </pic:blipFill>
                  <pic:spPr>
                    <a:xfrm>
                      <a:off x="0" y="0"/>
                      <a:ext cx="4608195" cy="3935095"/>
                    </a:xfrm>
                    <a:prstGeom prst="rect">
                      <a:avLst/>
                    </a:prstGeom>
                  </pic:spPr>
                </pic:pic>
              </a:graphicData>
            </a:graphic>
          </wp:inline>
        </w:drawing>
      </w:r>
    </w:p>
    <w:p>
      <w:pPr>
        <w:rPr>
          <w:lang w:eastAsia="zh-CN"/>
        </w:rPr>
      </w:pPr>
      <w:r>
        <w:rPr>
          <w:b/>
          <w:bCs/>
          <w:lang w:val="en-GB"/>
        </w:rPr>
        <w:t>Supplementary Figure 2</w:t>
      </w:r>
      <w:r>
        <w:rPr>
          <w:rFonts w:hint="eastAsia"/>
          <w:b/>
          <w:bCs/>
          <w:lang w:eastAsia="zh-CN"/>
        </w:rPr>
        <w:t xml:space="preserve"> </w:t>
      </w:r>
      <w:r>
        <w:rPr>
          <w:b/>
          <w:bCs/>
          <w:lang w:val="en-GB" w:eastAsia="zh-CN"/>
        </w:rPr>
        <w:t xml:space="preserve">| </w:t>
      </w:r>
      <w:r>
        <w:rPr>
          <w:rFonts w:hint="eastAsia"/>
          <w:b/>
          <w:bCs/>
          <w:lang w:eastAsia="zh-CN"/>
        </w:rPr>
        <w:t>The identify of Lewis acid sites in MIL-101</w:t>
      </w:r>
      <w:r>
        <w:rPr>
          <w:rFonts w:hint="eastAsia" w:eastAsia="黑体"/>
          <w:b/>
          <w:kern w:val="2"/>
          <w:szCs w:val="21"/>
          <w:lang w:eastAsia="zh-CN"/>
        </w:rPr>
        <w:t>(Cr)</w:t>
      </w:r>
      <w:r>
        <w:rPr>
          <w:rFonts w:hint="eastAsia"/>
          <w:b/>
          <w:bCs/>
          <w:lang w:eastAsia="zh-CN"/>
        </w:rPr>
        <w:t xml:space="preserve"> support.</w:t>
      </w:r>
      <w:r>
        <w:rPr>
          <w:rFonts w:hint="eastAsia"/>
          <w:lang w:eastAsia="zh-CN"/>
        </w:rPr>
        <w:t xml:space="preserve"> FT-IR spectra observed after adsorption of pyridine for MIL-101(Cr) followed by vacuum treatment at 473 K.</w:t>
      </w:r>
    </w:p>
    <w:p>
      <w:pPr>
        <w:snapToGrid w:val="0"/>
        <w:spacing w:before="480"/>
        <w:jc w:val="center"/>
        <w:rPr>
          <w:lang w:eastAsia="zh-CN"/>
        </w:rPr>
      </w:pPr>
      <w:r>
        <w:rPr>
          <w:rFonts w:hint="eastAsia"/>
          <w:lang w:eastAsia="zh-CN"/>
        </w:rPr>
        <w:drawing>
          <wp:inline distT="0" distB="0" distL="114300" distR="114300">
            <wp:extent cx="5760085" cy="4211955"/>
            <wp:effectExtent l="0" t="0" r="12065" b="17145"/>
            <wp:docPr id="2" name="图片 2" descr="Fig.S1-分子模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S1-分子模型"/>
                    <pic:cNvPicPr>
                      <a:picLocks noChangeAspect="1"/>
                    </pic:cNvPicPr>
                  </pic:nvPicPr>
                  <pic:blipFill>
                    <a:blip r:embed="rId6"/>
                    <a:srcRect l="4002" t="4492" r="2712" b="5251"/>
                    <a:stretch>
                      <a:fillRect/>
                    </a:stretch>
                  </pic:blipFill>
                  <pic:spPr>
                    <a:xfrm>
                      <a:off x="0" y="0"/>
                      <a:ext cx="5760085" cy="4211955"/>
                    </a:xfrm>
                    <a:prstGeom prst="rect">
                      <a:avLst/>
                    </a:prstGeom>
                  </pic:spPr>
                </pic:pic>
              </a:graphicData>
            </a:graphic>
          </wp:inline>
        </w:drawing>
      </w:r>
    </w:p>
    <w:p>
      <w:pPr>
        <w:snapToGrid w:val="0"/>
        <w:spacing w:before="120" w:line="360" w:lineRule="auto"/>
        <w:rPr>
          <w:lang w:eastAsia="zh-CN"/>
        </w:rPr>
      </w:pPr>
      <w:r>
        <w:rPr>
          <w:b/>
          <w:bCs/>
          <w:lang w:val="en-GB"/>
        </w:rPr>
        <w:t xml:space="preserve">Supplementary Figure </w:t>
      </w:r>
      <w:r>
        <w:rPr>
          <w:b/>
          <w:bCs/>
          <w:lang w:eastAsia="zh-CN"/>
        </w:rPr>
        <w:t>3</w:t>
      </w:r>
      <w:r>
        <w:rPr>
          <w:rFonts w:hint="eastAsia"/>
          <w:b/>
          <w:bCs/>
          <w:lang w:val="en-GB" w:eastAsia="zh-CN"/>
        </w:rPr>
        <w:t xml:space="preserve"> </w:t>
      </w:r>
      <w:r>
        <w:rPr>
          <w:b/>
          <w:bCs/>
          <w:lang w:val="en-GB" w:eastAsia="zh-CN"/>
        </w:rPr>
        <w:t xml:space="preserve">| </w:t>
      </w:r>
      <w:r>
        <w:rPr>
          <w:b/>
          <w:bCs/>
          <w:lang w:eastAsia="zh-CN"/>
        </w:rPr>
        <w:t>The scenarios of different molecular weights of PEI passing through the hexagonal windows</w:t>
      </w:r>
      <w:r>
        <w:rPr>
          <w:rFonts w:hint="eastAsia"/>
          <w:b/>
          <w:bCs/>
          <w:lang w:eastAsia="zh-CN"/>
        </w:rPr>
        <w:t xml:space="preserve"> in MIL-101(Cr) from the perspective of molecular size</w:t>
      </w:r>
      <w:r>
        <w:rPr>
          <w:b/>
          <w:bCs/>
          <w:lang w:eastAsia="zh-CN"/>
        </w:rPr>
        <w:t>.</w:t>
      </w:r>
      <w:r>
        <w:rPr>
          <w:rFonts w:hint="eastAsia"/>
          <w:b/>
          <w:bCs/>
          <w:lang w:eastAsia="zh-CN"/>
        </w:rPr>
        <w:t xml:space="preserve"> a</w:t>
      </w:r>
      <w:r>
        <w:rPr>
          <w:b/>
          <w:bCs/>
          <w:lang w:eastAsia="zh-CN"/>
        </w:rPr>
        <w:t>,</w:t>
      </w:r>
      <w:r>
        <w:rPr>
          <w:rFonts w:hint="eastAsia"/>
          <w:b/>
          <w:bCs/>
          <w:lang w:eastAsia="zh-CN"/>
        </w:rPr>
        <w:t xml:space="preserve"> </w:t>
      </w:r>
      <w:r>
        <w:rPr>
          <w:rFonts w:hint="eastAsia"/>
          <w:lang w:eastAsia="zh-CN"/>
        </w:rPr>
        <w:t xml:space="preserve">simultaneous passage of two PEI-600 molecules. </w:t>
      </w:r>
      <w:r>
        <w:rPr>
          <w:rFonts w:hint="eastAsia"/>
          <w:b/>
          <w:bCs/>
          <w:lang w:eastAsia="zh-CN"/>
        </w:rPr>
        <w:t>b</w:t>
      </w:r>
      <w:r>
        <w:rPr>
          <w:b/>
          <w:bCs/>
          <w:lang w:eastAsia="zh-CN"/>
        </w:rPr>
        <w:t>,</w:t>
      </w:r>
      <w:r>
        <w:rPr>
          <w:rFonts w:hint="eastAsia"/>
          <w:b/>
          <w:bCs/>
          <w:lang w:eastAsia="zh-CN"/>
        </w:rPr>
        <w:t xml:space="preserve"> </w:t>
      </w:r>
      <w:r>
        <w:rPr>
          <w:lang w:eastAsia="zh-CN"/>
        </w:rPr>
        <w:t>P</w:t>
      </w:r>
      <w:r>
        <w:rPr>
          <w:rFonts w:hint="eastAsia"/>
          <w:lang w:eastAsia="zh-CN"/>
        </w:rPr>
        <w:t xml:space="preserve">assage of only one PEI-1200 molecule precisely. </w:t>
      </w:r>
      <w:r>
        <w:rPr>
          <w:rFonts w:hint="eastAsia"/>
          <w:b/>
          <w:bCs/>
          <w:lang w:eastAsia="zh-CN"/>
        </w:rPr>
        <w:t>c</w:t>
      </w:r>
      <w:r>
        <w:rPr>
          <w:b/>
          <w:bCs/>
          <w:lang w:eastAsia="zh-CN"/>
        </w:rPr>
        <w:t>,</w:t>
      </w:r>
      <w:r>
        <w:rPr>
          <w:rFonts w:hint="eastAsia"/>
          <w:b/>
          <w:bCs/>
          <w:lang w:eastAsia="zh-CN"/>
        </w:rPr>
        <w:t xml:space="preserve"> </w:t>
      </w:r>
      <w:r>
        <w:rPr>
          <w:lang w:eastAsia="zh-CN"/>
        </w:rPr>
        <w:t>T</w:t>
      </w:r>
      <w:r>
        <w:rPr>
          <w:rFonts w:hint="eastAsia"/>
          <w:lang w:eastAsia="zh-CN"/>
        </w:rPr>
        <w:t>he clogging of PEI-1800.</w:t>
      </w:r>
      <w:r>
        <w:rPr>
          <w:lang w:eastAsia="zh-CN"/>
        </w:rPr>
        <w:t xml:space="preserve"> Gray, blue, and white spheres represent C, N, and H, respectively</w:t>
      </w:r>
      <w:r>
        <w:rPr>
          <w:rFonts w:hint="eastAsia"/>
          <w:lang w:eastAsia="zh-CN"/>
        </w:rPr>
        <w:t>,</w:t>
      </w:r>
      <w:r>
        <w:rPr>
          <w:lang w:eastAsia="zh-CN"/>
        </w:rPr>
        <w:t xml:space="preserve"> the gray hexagon represent the window pore of cages in MIL-101(Cr).</w:t>
      </w:r>
    </w:p>
    <w:p>
      <w:pPr>
        <w:snapToGrid w:val="0"/>
        <w:spacing w:before="120" w:line="360" w:lineRule="auto"/>
        <w:rPr>
          <w:rFonts w:hint="eastAsia" w:ascii="TimesNewRomanPS-BoldMT" w:hAnsi="TimesNewRomanPS-BoldMT"/>
          <w:b/>
          <w:bCs/>
          <w:color w:val="000000"/>
        </w:rPr>
      </w:pPr>
      <w:r>
        <w:rPr>
          <w:rFonts w:hint="eastAsia"/>
          <w:lang w:eastAsia="zh-CN"/>
        </w:rPr>
        <w:br w:type="page"/>
      </w:r>
      <w:r>
        <w:rPr>
          <w:rFonts w:ascii="TimesNewRomanPS-BoldMT" w:hAnsi="TimesNewRomanPS-BoldMT"/>
          <w:b/>
          <w:bCs/>
          <w:color w:val="000000"/>
        </w:rPr>
        <w:t xml:space="preserve">Supplementary Note 1 </w:t>
      </w:r>
      <w:r>
        <w:rPr>
          <w:b/>
          <w:bCs/>
          <w:lang w:val="en-GB" w:eastAsia="zh-CN"/>
        </w:rPr>
        <w:t>|</w:t>
      </w:r>
      <w:r>
        <w:rPr>
          <w:rFonts w:ascii="TimesNewRomanPS-BoldMT" w:hAnsi="TimesNewRomanPS-BoldMT"/>
          <w:b/>
          <w:bCs/>
          <w:color w:val="000000"/>
        </w:rPr>
        <w:t xml:space="preserve"> The model of different molecular weights PEI</w:t>
      </w:r>
    </w:p>
    <w:p>
      <w:pPr>
        <w:snapToGrid w:val="0"/>
        <w:spacing w:before="120" w:line="360" w:lineRule="auto"/>
        <w:rPr>
          <w:lang w:eastAsia="zh-CN"/>
        </w:rPr>
      </w:pPr>
      <w:r>
        <w:rPr>
          <w:lang w:eastAsia="zh-CN"/>
        </w:rPr>
        <w:t>The atomic model parameter and binding energies were performed using the Forcite module of Materials Studio software package. During the geometry optimizations, all the atom position were allowed to relax. The geometry optimization convergence thresholds for energy change, maximum force, and maximum displacement between optimization cycles were chosen to be 10</w:t>
      </w:r>
      <w:r>
        <w:rPr>
          <w:vertAlign w:val="superscript"/>
          <w:lang w:eastAsia="zh-CN"/>
        </w:rPr>
        <w:t>−4</w:t>
      </w:r>
      <w:r>
        <w:rPr>
          <w:lang w:eastAsia="zh-CN"/>
        </w:rPr>
        <w:t xml:space="preserve"> kcal/mol, 0.005 kcal/mol /Å, and 0.005 Å, respectively. The charge is Forcefield assigned, the van der Waals and electrostatic summation methods </w:t>
      </w:r>
      <w:r>
        <w:rPr>
          <w:rFonts w:hint="eastAsia"/>
          <w:lang w:eastAsia="zh-CN"/>
        </w:rPr>
        <w:t>are atom based. The total potential energy calculated based on COMPASS force field is composed of three main components, including bond energy terms, non-bond energy terms and cross energy terms, as described by Equations (1)</w:t>
      </w:r>
      <w:r>
        <w:t xml:space="preserve"> </w:t>
      </w:r>
      <w:r>
        <w:rPr>
          <w:lang w:eastAsia="zh-CN"/>
        </w:rPr>
        <w:t>−</w:t>
      </w:r>
      <w:r>
        <w:rPr>
          <w:rFonts w:hint="eastAsia"/>
          <w:lang w:eastAsia="zh-CN"/>
        </w:rPr>
        <w:t xml:space="preserve"> (4)</w:t>
      </w:r>
      <w:r>
        <w:rPr>
          <w:rFonts w:eastAsia="宋体"/>
          <w:color w:val="080000"/>
          <w:vertAlign w:val="superscript"/>
          <w:lang w:eastAsia="zh-CN"/>
        </w:rPr>
        <w:t>1,2</w:t>
      </w:r>
    </w:p>
    <w:p>
      <w:pPr>
        <w:snapToGrid w:val="0"/>
        <w:spacing w:before="120" w:line="360" w:lineRule="auto"/>
        <w:rPr>
          <w:lang w:eastAsia="zh-CN"/>
        </w:rPr>
      </w:pPr>
      <m:oMath>
        <m:sSub>
          <m:sSubPr>
            <m:ctrlPr>
              <w:rPr>
                <w:rFonts w:ascii="Cambria Math" w:hAnsi="Cambria Math"/>
                <w:i/>
                <w:lang w:eastAsia="zh-CN"/>
              </w:rPr>
            </m:ctrlPr>
          </m:sSubPr>
          <m:e>
            <m:r>
              <m:rPr/>
              <w:rPr>
                <w:rFonts w:ascii="Cambria Math" w:hAnsi="Cambria Math"/>
                <w:lang w:eastAsia="zh-CN"/>
              </w:rPr>
              <m:t>E</m:t>
            </m:r>
            <m:ctrlPr>
              <w:rPr>
                <w:rFonts w:ascii="Cambria Math" w:hAnsi="Cambria Math"/>
                <w:i/>
                <w:lang w:eastAsia="zh-CN"/>
              </w:rPr>
            </m:ctrlPr>
          </m:e>
          <m:sub>
            <m:r>
              <m:rPr/>
              <w:rPr>
                <w:rFonts w:ascii="Cambria Math" w:hAnsi="Cambria Math"/>
                <w:lang w:eastAsia="zh-CN"/>
              </w:rPr>
              <m:t>potential</m:t>
            </m:r>
            <m:ctrlPr>
              <w:rPr>
                <w:rFonts w:ascii="Cambria Math" w:hAnsi="Cambria Math"/>
                <w:i/>
                <w:lang w:eastAsia="zh-CN"/>
              </w:rPr>
            </m:ctrlPr>
          </m:sub>
        </m:sSub>
        <m:r>
          <m:rPr/>
          <w:rPr>
            <w:rFonts w:ascii="Cambria Math" w:hAnsi="Cambria Math"/>
            <w:lang w:eastAsia="zh-CN"/>
          </w:rPr>
          <m:t>=</m:t>
        </m:r>
        <m:sSub>
          <m:sSubPr>
            <m:ctrlPr>
              <w:rPr>
                <w:rFonts w:ascii="Cambria Math" w:hAnsi="Cambria Math"/>
                <w:i/>
                <w:lang w:eastAsia="zh-CN"/>
              </w:rPr>
            </m:ctrlPr>
          </m:sSubPr>
          <m:e>
            <m:r>
              <m:rPr/>
              <w:rPr>
                <w:rFonts w:ascii="Cambria Math" w:hAnsi="Cambria Math"/>
                <w:lang w:eastAsia="zh-CN"/>
              </w:rPr>
              <m:t>E</m:t>
            </m:r>
            <m:ctrlPr>
              <w:rPr>
                <w:rFonts w:ascii="Cambria Math" w:hAnsi="Cambria Math"/>
                <w:i/>
                <w:lang w:eastAsia="zh-CN"/>
              </w:rPr>
            </m:ctrlPr>
          </m:e>
          <m:sub>
            <m:r>
              <m:rPr/>
              <w:rPr>
                <w:rFonts w:ascii="Cambria Math" w:hAnsi="Cambria Math"/>
                <w:lang w:eastAsia="zh-CN"/>
              </w:rPr>
              <m:t>bond</m:t>
            </m:r>
            <m:ctrlPr>
              <w:rPr>
                <w:rFonts w:ascii="Cambria Math" w:hAnsi="Cambria Math"/>
                <w:i/>
                <w:lang w:eastAsia="zh-CN"/>
              </w:rPr>
            </m:ctrlPr>
          </m:sub>
        </m:sSub>
        <m:r>
          <m:rPr/>
          <w:rPr>
            <w:rFonts w:ascii="Cambria Math" w:hAnsi="Cambria Math"/>
            <w:lang w:eastAsia="zh-CN"/>
          </w:rPr>
          <m:t>+</m:t>
        </m:r>
        <m:sSub>
          <m:sSubPr>
            <m:ctrlPr>
              <w:rPr>
                <w:rFonts w:ascii="Cambria Math" w:hAnsi="Cambria Math"/>
                <w:i/>
                <w:lang w:eastAsia="zh-CN"/>
              </w:rPr>
            </m:ctrlPr>
          </m:sSubPr>
          <m:e>
            <m:r>
              <m:rPr/>
              <w:rPr>
                <w:rFonts w:ascii="Cambria Math" w:hAnsi="Cambria Math"/>
                <w:lang w:eastAsia="zh-CN"/>
              </w:rPr>
              <m:t>E</m:t>
            </m:r>
            <m:ctrlPr>
              <w:rPr>
                <w:rFonts w:ascii="Cambria Math" w:hAnsi="Cambria Math"/>
                <w:i/>
                <w:lang w:eastAsia="zh-CN"/>
              </w:rPr>
            </m:ctrlPr>
          </m:e>
          <m:sub>
            <m:r>
              <m:rPr/>
              <w:rPr>
                <w:rFonts w:ascii="Cambria Math" w:hAnsi="Cambria Math"/>
                <w:vertAlign w:val="subscript"/>
                <w:lang w:eastAsia="zh-CN"/>
              </w:rPr>
              <m:t>non−bond</m:t>
            </m:r>
            <m:ctrlPr>
              <w:rPr>
                <w:rFonts w:ascii="Cambria Math" w:hAnsi="Cambria Math"/>
                <w:i/>
                <w:lang w:eastAsia="zh-CN"/>
              </w:rPr>
            </m:ctrlPr>
          </m:sub>
        </m:sSub>
        <m:r>
          <m:rPr/>
          <w:rPr>
            <w:rFonts w:ascii="Cambria Math" w:hAnsi="Cambria Math"/>
            <w:lang w:eastAsia="zh-CN"/>
          </w:rPr>
          <m:t>+</m:t>
        </m:r>
        <m:sSub>
          <m:sSubPr>
            <m:ctrlPr>
              <w:rPr>
                <w:rFonts w:ascii="Cambria Math" w:hAnsi="Cambria Math"/>
                <w:i/>
                <w:lang w:eastAsia="zh-CN"/>
              </w:rPr>
            </m:ctrlPr>
          </m:sSubPr>
          <m:e>
            <m:r>
              <m:rPr/>
              <w:rPr>
                <w:rFonts w:ascii="Cambria Math" w:hAnsi="Cambria Math"/>
                <w:lang w:eastAsia="zh-CN"/>
              </w:rPr>
              <m:t>E</m:t>
            </m:r>
            <m:ctrlPr>
              <w:rPr>
                <w:rFonts w:ascii="Cambria Math" w:hAnsi="Cambria Math"/>
                <w:i/>
                <w:lang w:eastAsia="zh-CN"/>
              </w:rPr>
            </m:ctrlPr>
          </m:e>
          <m:sub>
            <m:r>
              <m:rPr/>
              <w:rPr>
                <w:rFonts w:ascii="Cambria Math" w:hAnsi="Cambria Math"/>
                <w:vertAlign w:val="subscript"/>
                <w:lang w:eastAsia="zh-CN"/>
              </w:rPr>
              <m:t>cross</m:t>
            </m:r>
            <m:ctrlPr>
              <w:rPr>
                <w:rFonts w:ascii="Cambria Math" w:hAnsi="Cambria Math"/>
                <w:i/>
                <w:lang w:eastAsia="zh-CN"/>
              </w:rPr>
            </m:ctrlPr>
          </m:sub>
        </m:sSub>
        <m:r>
          <m:rPr/>
          <w:rPr>
            <w:rFonts w:ascii="Cambria Math" w:hAnsi="Cambria Math"/>
            <w:lang w:eastAsia="zh-CN"/>
          </w:rPr>
          <m:t xml:space="preserve"> </m:t>
        </m:r>
      </m:oMath>
      <w:r>
        <w:rPr>
          <w:rFonts w:hint="eastAsia"/>
          <w:lang w:eastAsia="zh-CN"/>
        </w:rPr>
        <w:t xml:space="preserve"> </w:t>
      </w:r>
      <w:r>
        <w:rPr>
          <w:lang w:eastAsia="zh-CN"/>
        </w:rPr>
        <w:t xml:space="preserve">              </w:t>
      </w:r>
      <w:r>
        <w:rPr>
          <w:i/>
          <w:iCs/>
          <w:lang w:eastAsia="zh-CN"/>
        </w:rPr>
        <w:t xml:space="preserve">                                                                 </w:t>
      </w:r>
      <w:r>
        <w:rPr>
          <w:lang w:eastAsia="zh-CN"/>
        </w:rPr>
        <w:t xml:space="preserve">(1)   </w:t>
      </w:r>
    </w:p>
    <w:p>
      <w:pPr>
        <w:snapToGrid w:val="0"/>
        <w:spacing w:before="120" w:line="360" w:lineRule="auto"/>
        <w:rPr>
          <w:lang w:eastAsia="zh-CN"/>
        </w:rPr>
      </w:pPr>
      <m:oMath>
        <m:sSub>
          <m:sSubPr>
            <m:ctrlPr>
              <w:rPr>
                <w:rFonts w:ascii="Cambria Math" w:hAnsi="Cambria Math"/>
                <w:i/>
                <w:lang w:eastAsia="zh-CN"/>
              </w:rPr>
            </m:ctrlPr>
          </m:sSubPr>
          <m:e>
            <m:r>
              <m:rPr/>
              <w:rPr>
                <w:rFonts w:ascii="Cambria Math" w:hAnsi="Cambria Math"/>
                <w:lang w:eastAsia="zh-CN"/>
              </w:rPr>
              <m:t>E</m:t>
            </m:r>
            <m:ctrlPr>
              <w:rPr>
                <w:rFonts w:ascii="Cambria Math" w:hAnsi="Cambria Math"/>
                <w:i/>
                <w:lang w:eastAsia="zh-CN"/>
              </w:rPr>
            </m:ctrlPr>
          </m:e>
          <m:sub>
            <m:r>
              <m:rPr/>
              <w:rPr>
                <w:rFonts w:ascii="Cambria Math" w:hAnsi="Cambria Math"/>
                <w:lang w:eastAsia="zh-CN"/>
              </w:rPr>
              <m:t>bond</m:t>
            </m:r>
            <m:ctrlPr>
              <w:rPr>
                <w:rFonts w:ascii="Cambria Math" w:hAnsi="Cambria Math"/>
                <w:i/>
                <w:lang w:eastAsia="zh-CN"/>
              </w:rPr>
            </m:ctrlPr>
          </m:sub>
        </m:sSub>
        <m:r>
          <m:rPr/>
          <w:rPr>
            <w:rFonts w:ascii="Cambria Math" w:hAnsi="Cambria Math"/>
            <w:lang w:eastAsia="zh-CN"/>
          </w:rPr>
          <m:t>=</m:t>
        </m:r>
        <m:sSub>
          <m:sSubPr>
            <m:ctrlPr>
              <w:rPr>
                <w:rFonts w:ascii="Cambria Math" w:hAnsi="Cambria Math"/>
                <w:i/>
                <w:lang w:eastAsia="zh-CN"/>
              </w:rPr>
            </m:ctrlPr>
          </m:sSubPr>
          <m:e>
            <m:r>
              <m:rPr/>
              <w:rPr>
                <w:rFonts w:ascii="Cambria Math" w:hAnsi="Cambria Math"/>
                <w:lang w:eastAsia="zh-CN"/>
              </w:rPr>
              <m:t>E</m:t>
            </m:r>
            <m:ctrlPr>
              <w:rPr>
                <w:rFonts w:ascii="Cambria Math" w:hAnsi="Cambria Math"/>
                <w:i/>
                <w:lang w:eastAsia="zh-CN"/>
              </w:rPr>
            </m:ctrlPr>
          </m:e>
          <m:sub>
            <m:r>
              <m:rPr/>
              <w:rPr>
                <w:rFonts w:ascii="Cambria Math" w:hAnsi="Cambria Math"/>
                <w:lang w:eastAsia="zh-CN"/>
              </w:rPr>
              <m:t>b</m:t>
            </m:r>
            <m:ctrlPr>
              <w:rPr>
                <w:rFonts w:ascii="Cambria Math" w:hAnsi="Cambria Math"/>
                <w:i/>
                <w:lang w:eastAsia="zh-CN"/>
              </w:rPr>
            </m:ctrlPr>
          </m:sub>
        </m:sSub>
        <m:r>
          <m:rPr/>
          <w:rPr>
            <w:rFonts w:ascii="Cambria Math" w:hAnsi="Cambria Math"/>
            <w:lang w:eastAsia="zh-CN"/>
          </w:rPr>
          <m:t>+</m:t>
        </m:r>
      </m:oMath>
      <w:r>
        <w:rPr>
          <w:lang w:eastAsia="zh-CN"/>
        </w:rPr>
        <w:t xml:space="preserve"> </w:t>
      </w:r>
      <m:oMath>
        <m:sSub>
          <m:sSubPr>
            <m:ctrlPr>
              <w:rPr>
                <w:rFonts w:ascii="Cambria Math" w:hAnsi="Cambria Math"/>
                <w:i/>
                <w:lang w:eastAsia="zh-CN"/>
              </w:rPr>
            </m:ctrlPr>
          </m:sSubPr>
          <m:e>
            <m:r>
              <m:rPr/>
              <w:rPr>
                <w:rFonts w:ascii="Cambria Math" w:hAnsi="Cambria Math"/>
                <w:lang w:eastAsia="zh-CN"/>
              </w:rPr>
              <m:t>E</m:t>
            </m:r>
            <m:ctrlPr>
              <w:rPr>
                <w:rFonts w:ascii="Cambria Math" w:hAnsi="Cambria Math"/>
                <w:i/>
                <w:lang w:eastAsia="zh-CN"/>
              </w:rPr>
            </m:ctrlPr>
          </m:e>
          <m:sub>
            <m:r>
              <m:rPr/>
              <w:rPr>
                <w:rFonts w:ascii="Cambria Math" w:hAnsi="Cambria Math"/>
                <w:vertAlign w:val="subscript"/>
                <w:lang w:eastAsia="zh-CN"/>
              </w:rPr>
              <m:t>θ</m:t>
            </m:r>
            <m:ctrlPr>
              <w:rPr>
                <w:rFonts w:ascii="Cambria Math" w:hAnsi="Cambria Math"/>
                <w:i/>
                <w:lang w:eastAsia="zh-CN"/>
              </w:rPr>
            </m:ctrlPr>
          </m:sub>
        </m:sSub>
        <m:r>
          <m:rPr/>
          <w:rPr>
            <w:rFonts w:ascii="Cambria Math" w:hAnsi="Cambria Math"/>
            <w:lang w:eastAsia="zh-CN"/>
          </w:rPr>
          <m:t>+</m:t>
        </m:r>
        <m:sSub>
          <m:sSubPr>
            <m:ctrlPr>
              <w:rPr>
                <w:rFonts w:ascii="Cambria Math" w:hAnsi="Cambria Math"/>
                <w:i/>
                <w:lang w:eastAsia="zh-CN"/>
              </w:rPr>
            </m:ctrlPr>
          </m:sSubPr>
          <m:e>
            <m:r>
              <m:rPr/>
              <w:rPr>
                <w:rFonts w:ascii="Cambria Math" w:hAnsi="Cambria Math"/>
                <w:lang w:eastAsia="zh-CN"/>
              </w:rPr>
              <m:t>E</m:t>
            </m:r>
            <m:ctrlPr>
              <w:rPr>
                <w:rFonts w:ascii="Cambria Math" w:hAnsi="Cambria Math"/>
                <w:i/>
                <w:lang w:eastAsia="zh-CN"/>
              </w:rPr>
            </m:ctrlPr>
          </m:e>
          <m:sub>
            <m:r>
              <m:rPr/>
              <w:rPr>
                <w:rFonts w:ascii="Cambria Math" w:hAnsi="Cambria Math"/>
                <w:vertAlign w:val="subscript"/>
                <w:lang w:eastAsia="zh-CN"/>
              </w:rPr>
              <m:t>φ</m:t>
            </m:r>
            <m:ctrlPr>
              <w:rPr>
                <w:rFonts w:ascii="Cambria Math" w:hAnsi="Cambria Math"/>
                <w:i/>
                <w:lang w:eastAsia="zh-CN"/>
              </w:rPr>
            </m:ctrlPr>
          </m:sub>
        </m:sSub>
        <m:r>
          <m:rPr/>
          <w:rPr>
            <w:rFonts w:ascii="Cambria Math" w:hAnsi="Cambria Math"/>
            <w:lang w:eastAsia="zh-CN"/>
          </w:rPr>
          <m:t>+</m:t>
        </m:r>
        <m:sSub>
          <m:sSubPr>
            <m:ctrlPr>
              <w:rPr>
                <w:rFonts w:ascii="Cambria Math" w:hAnsi="Cambria Math"/>
                <w:i/>
                <w:lang w:eastAsia="zh-CN"/>
              </w:rPr>
            </m:ctrlPr>
          </m:sSubPr>
          <m:e>
            <m:r>
              <m:rPr/>
              <w:rPr>
                <w:rFonts w:ascii="Cambria Math" w:hAnsi="Cambria Math"/>
                <w:lang w:eastAsia="zh-CN"/>
              </w:rPr>
              <m:t>E</m:t>
            </m:r>
            <m:ctrlPr>
              <w:rPr>
                <w:rFonts w:ascii="Cambria Math" w:hAnsi="Cambria Math"/>
                <w:i/>
                <w:lang w:eastAsia="zh-CN"/>
              </w:rPr>
            </m:ctrlPr>
          </m:e>
          <m:sub>
            <m:r>
              <m:rPr/>
              <w:rPr>
                <w:rFonts w:hint="eastAsia" w:ascii="Cambria Math" w:hAnsi="Cambria Math"/>
                <w:vertAlign w:val="subscript"/>
                <w:lang w:eastAsia="zh-CN"/>
              </w:rPr>
              <m:t>inv</m:t>
            </m:r>
            <m:ctrlPr>
              <w:rPr>
                <w:rFonts w:ascii="Cambria Math" w:hAnsi="Cambria Math"/>
                <w:i/>
                <w:lang w:eastAsia="zh-CN"/>
              </w:rPr>
            </m:ctrlPr>
          </m:sub>
        </m:sSub>
      </m:oMath>
      <w:r>
        <w:rPr>
          <w:lang w:eastAsia="zh-CN"/>
        </w:rPr>
        <w:t xml:space="preserve">   </w:t>
      </w:r>
      <w:r>
        <w:rPr>
          <w:i/>
          <w:iCs/>
          <w:lang w:eastAsia="zh-CN"/>
        </w:rPr>
        <w:t xml:space="preserve">                                                                                             </w:t>
      </w:r>
      <w:r>
        <w:rPr>
          <w:lang w:eastAsia="zh-CN"/>
        </w:rPr>
        <w:t>(2)</w:t>
      </w:r>
    </w:p>
    <w:p>
      <w:pPr>
        <w:snapToGrid w:val="0"/>
        <w:spacing w:before="120" w:line="360" w:lineRule="auto"/>
        <w:rPr>
          <w:lang w:eastAsia="zh-CN"/>
        </w:rPr>
      </w:pPr>
      <m:oMath>
        <m:sSub>
          <m:sSubPr>
            <m:ctrlPr>
              <w:rPr>
                <w:rFonts w:ascii="Cambria Math" w:hAnsi="Cambria Math"/>
                <w:i/>
                <w:lang w:eastAsia="zh-CN"/>
              </w:rPr>
            </m:ctrlPr>
          </m:sSubPr>
          <m:e>
            <m:r>
              <m:rPr/>
              <w:rPr>
                <w:rFonts w:ascii="Cambria Math" w:hAnsi="Cambria Math"/>
                <w:lang w:eastAsia="zh-CN"/>
              </w:rPr>
              <m:t>E</m:t>
            </m:r>
            <m:ctrlPr>
              <w:rPr>
                <w:rFonts w:ascii="Cambria Math" w:hAnsi="Cambria Math"/>
                <w:i/>
                <w:lang w:eastAsia="zh-CN"/>
              </w:rPr>
            </m:ctrlPr>
          </m:e>
          <m:sub>
            <m:r>
              <m:rPr/>
              <w:rPr>
                <w:rFonts w:ascii="Cambria Math" w:hAnsi="Cambria Math"/>
                <w:vertAlign w:val="subscript"/>
                <w:lang w:eastAsia="zh-CN"/>
              </w:rPr>
              <m:t>non−bond</m:t>
            </m:r>
            <m:ctrlPr>
              <w:rPr>
                <w:rFonts w:ascii="Cambria Math" w:hAnsi="Cambria Math"/>
                <w:i/>
                <w:lang w:eastAsia="zh-CN"/>
              </w:rPr>
            </m:ctrlPr>
          </m:sub>
        </m:sSub>
        <m:r>
          <m:rPr/>
          <w:rPr>
            <w:rFonts w:ascii="Cambria Math" w:hAnsi="Cambria Math"/>
            <w:lang w:eastAsia="zh-CN"/>
          </w:rPr>
          <m:t>=</m:t>
        </m:r>
        <m:sSub>
          <m:sSubPr>
            <m:ctrlPr>
              <w:rPr>
                <w:rFonts w:ascii="Cambria Math" w:hAnsi="Cambria Math"/>
                <w:i/>
                <w:lang w:eastAsia="zh-CN"/>
              </w:rPr>
            </m:ctrlPr>
          </m:sSubPr>
          <m:e>
            <m:r>
              <m:rPr/>
              <w:rPr>
                <w:rFonts w:ascii="Cambria Math" w:hAnsi="Cambria Math"/>
                <w:lang w:eastAsia="zh-CN"/>
              </w:rPr>
              <m:t>E</m:t>
            </m:r>
            <m:ctrlPr>
              <w:rPr>
                <w:rFonts w:ascii="Cambria Math" w:hAnsi="Cambria Math"/>
                <w:i/>
                <w:lang w:eastAsia="zh-CN"/>
              </w:rPr>
            </m:ctrlPr>
          </m:e>
          <m:sub>
            <m:r>
              <m:rPr/>
              <w:rPr>
                <w:rFonts w:ascii="Cambria Math" w:hAnsi="Cambria Math"/>
                <w:vertAlign w:val="subscript"/>
                <w:lang w:eastAsia="zh-CN"/>
              </w:rPr>
              <m:t>vdW</m:t>
            </m:r>
            <m:ctrlPr>
              <w:rPr>
                <w:rFonts w:ascii="Cambria Math" w:hAnsi="Cambria Math"/>
                <w:i/>
                <w:lang w:eastAsia="zh-CN"/>
              </w:rPr>
            </m:ctrlPr>
          </m:sub>
        </m:sSub>
        <m:r>
          <m:rPr/>
          <w:rPr>
            <w:rFonts w:ascii="Cambria Math" w:hAnsi="Cambria Math"/>
            <w:lang w:eastAsia="zh-CN"/>
          </w:rPr>
          <m:t>+</m:t>
        </m:r>
      </m:oMath>
      <w:r>
        <w:rPr>
          <w:lang w:eastAsia="zh-CN"/>
        </w:rPr>
        <w:t xml:space="preserve"> </w:t>
      </w:r>
      <m:oMath>
        <m:sSub>
          <m:sSubPr>
            <m:ctrlPr>
              <w:rPr>
                <w:rFonts w:ascii="Cambria Math" w:hAnsi="Cambria Math"/>
                <w:i/>
                <w:lang w:eastAsia="zh-CN"/>
              </w:rPr>
            </m:ctrlPr>
          </m:sSubPr>
          <m:e>
            <m:r>
              <m:rPr/>
              <w:rPr>
                <w:rFonts w:ascii="Cambria Math" w:hAnsi="Cambria Math"/>
                <w:lang w:eastAsia="zh-CN"/>
              </w:rPr>
              <m:t>E</m:t>
            </m:r>
            <m:ctrlPr>
              <w:rPr>
                <w:rFonts w:ascii="Cambria Math" w:hAnsi="Cambria Math"/>
                <w:i/>
                <w:lang w:eastAsia="zh-CN"/>
              </w:rPr>
            </m:ctrlPr>
          </m:e>
          <m:sub>
            <m:r>
              <m:rPr/>
              <w:rPr>
                <w:rFonts w:ascii="Cambria Math" w:hAnsi="Cambria Math"/>
                <w:vertAlign w:val="subscript"/>
                <w:lang w:eastAsia="zh-CN"/>
              </w:rPr>
              <m:t>elec</m:t>
            </m:r>
            <m:ctrlPr>
              <w:rPr>
                <w:rFonts w:ascii="Cambria Math" w:hAnsi="Cambria Math"/>
                <w:i/>
                <w:lang w:eastAsia="zh-CN"/>
              </w:rPr>
            </m:ctrlPr>
          </m:sub>
        </m:sSub>
      </m:oMath>
      <w:r>
        <w:rPr>
          <w:lang w:eastAsia="zh-CN"/>
        </w:rPr>
        <w:t xml:space="preserve">                     </w:t>
      </w:r>
      <w:r>
        <w:rPr>
          <w:i/>
          <w:iCs/>
          <w:lang w:eastAsia="zh-CN"/>
        </w:rPr>
        <w:t xml:space="preserve">                                                                                </w:t>
      </w:r>
      <w:r>
        <w:rPr>
          <w:i/>
          <w:iCs/>
          <w:sz w:val="18"/>
          <w:szCs w:val="18"/>
          <w:lang w:eastAsia="zh-CN"/>
        </w:rPr>
        <w:t xml:space="preserve"> </w:t>
      </w:r>
      <w:r>
        <w:rPr>
          <w:i/>
          <w:iCs/>
          <w:lang w:eastAsia="zh-CN"/>
        </w:rPr>
        <w:t xml:space="preserve"> </w:t>
      </w:r>
      <w:r>
        <w:rPr>
          <w:lang w:eastAsia="zh-CN"/>
        </w:rPr>
        <w:t>(3)</w:t>
      </w:r>
    </w:p>
    <w:p>
      <w:pPr>
        <w:snapToGrid w:val="0"/>
        <w:spacing w:before="120" w:line="360" w:lineRule="auto"/>
        <w:rPr>
          <w:lang w:eastAsia="zh-CN"/>
        </w:rPr>
      </w:pPr>
      <m:oMath>
        <m:sSub>
          <m:sSubPr>
            <m:ctrlPr>
              <w:rPr>
                <w:rFonts w:ascii="Cambria Math" w:hAnsi="Cambria Math"/>
                <w:i/>
                <w:lang w:eastAsia="zh-CN"/>
              </w:rPr>
            </m:ctrlPr>
          </m:sSubPr>
          <m:e>
            <m:r>
              <m:rPr/>
              <w:rPr>
                <w:rFonts w:ascii="Cambria Math" w:hAnsi="Cambria Math"/>
                <w:lang w:eastAsia="zh-CN"/>
              </w:rPr>
              <m:t>E</m:t>
            </m:r>
            <m:ctrlPr>
              <w:rPr>
                <w:rFonts w:ascii="Cambria Math" w:hAnsi="Cambria Math"/>
                <w:i/>
                <w:lang w:eastAsia="zh-CN"/>
              </w:rPr>
            </m:ctrlPr>
          </m:e>
          <m:sub>
            <m:r>
              <m:rPr/>
              <w:rPr>
                <w:rFonts w:ascii="Cambria Math" w:hAnsi="Cambria Math"/>
                <w:vertAlign w:val="subscript"/>
                <w:lang w:eastAsia="zh-CN"/>
              </w:rPr>
              <m:t>cross</m:t>
            </m:r>
            <m:ctrlPr>
              <w:rPr>
                <w:rFonts w:ascii="Cambria Math" w:hAnsi="Cambria Math"/>
                <w:i/>
                <w:lang w:eastAsia="zh-CN"/>
              </w:rPr>
            </m:ctrlPr>
          </m:sub>
        </m:sSub>
        <m:r>
          <m:rPr/>
          <w:rPr>
            <w:rFonts w:ascii="Cambria Math" w:hAnsi="Cambria Math"/>
            <w:lang w:eastAsia="zh-CN"/>
          </w:rPr>
          <m:t>=</m:t>
        </m:r>
        <m:sSub>
          <m:sSubPr>
            <m:ctrlPr>
              <w:rPr>
                <w:rFonts w:ascii="Cambria Math" w:hAnsi="Cambria Math"/>
                <w:i/>
                <w:lang w:eastAsia="zh-CN"/>
              </w:rPr>
            </m:ctrlPr>
          </m:sSubPr>
          <m:e>
            <m:r>
              <m:rPr/>
              <w:rPr>
                <w:rFonts w:ascii="Cambria Math" w:hAnsi="Cambria Math"/>
                <w:lang w:eastAsia="zh-CN"/>
              </w:rPr>
              <m:t>E</m:t>
            </m:r>
            <m:ctrlPr>
              <w:rPr>
                <w:rFonts w:ascii="Cambria Math" w:hAnsi="Cambria Math"/>
                <w:i/>
                <w:lang w:eastAsia="zh-CN"/>
              </w:rPr>
            </m:ctrlPr>
          </m:e>
          <m:sub>
            <m:r>
              <m:rPr/>
              <w:rPr>
                <w:rFonts w:ascii="Cambria Math" w:hAnsi="Cambria Math"/>
                <w:vertAlign w:val="subscript"/>
                <w:lang w:eastAsia="zh-CN"/>
              </w:rPr>
              <m:t>b,b’</m:t>
            </m:r>
            <m:ctrlPr>
              <w:rPr>
                <w:rFonts w:ascii="Cambria Math" w:hAnsi="Cambria Math"/>
                <w:i/>
                <w:lang w:eastAsia="zh-CN"/>
              </w:rPr>
            </m:ctrlPr>
          </m:sub>
        </m:sSub>
        <m:r>
          <m:rPr/>
          <w:rPr>
            <w:rFonts w:ascii="Cambria Math" w:hAnsi="Cambria Math"/>
            <w:lang w:eastAsia="zh-CN"/>
          </w:rPr>
          <m:t>+</m:t>
        </m:r>
        <m:sSub>
          <m:sSubPr>
            <m:ctrlPr>
              <w:rPr>
                <w:rFonts w:ascii="Cambria Math" w:hAnsi="Cambria Math"/>
                <w:i/>
                <w:lang w:eastAsia="zh-CN"/>
              </w:rPr>
            </m:ctrlPr>
          </m:sSubPr>
          <m:e>
            <m:r>
              <m:rPr/>
              <w:rPr>
                <w:rFonts w:ascii="Cambria Math" w:hAnsi="Cambria Math"/>
                <w:lang w:eastAsia="zh-CN"/>
              </w:rPr>
              <m:t>E</m:t>
            </m:r>
            <m:ctrlPr>
              <w:rPr>
                <w:rFonts w:ascii="Cambria Math" w:hAnsi="Cambria Math"/>
                <w:i/>
                <w:lang w:eastAsia="zh-CN"/>
              </w:rPr>
            </m:ctrlPr>
          </m:e>
          <m:sub>
            <m:r>
              <m:rPr/>
              <w:rPr>
                <w:rFonts w:ascii="Cambria Math" w:hAnsi="Cambria Math"/>
                <w:vertAlign w:val="subscript"/>
                <w:lang w:eastAsia="zh-CN"/>
              </w:rPr>
              <m:t>θ,θ’</m:t>
            </m:r>
            <m:ctrlPr>
              <w:rPr>
                <w:rFonts w:ascii="Cambria Math" w:hAnsi="Cambria Math"/>
                <w:i/>
                <w:lang w:eastAsia="zh-CN"/>
              </w:rPr>
            </m:ctrlPr>
          </m:sub>
        </m:sSub>
        <m:r>
          <m:rPr/>
          <w:rPr>
            <w:rFonts w:ascii="Cambria Math" w:hAnsi="Cambria Math"/>
            <w:lang w:eastAsia="zh-CN"/>
          </w:rPr>
          <m:t>+</m:t>
        </m:r>
        <m:sSub>
          <m:sSubPr>
            <m:ctrlPr>
              <w:rPr>
                <w:rFonts w:ascii="Cambria Math" w:hAnsi="Cambria Math"/>
                <w:i/>
                <w:lang w:eastAsia="zh-CN"/>
              </w:rPr>
            </m:ctrlPr>
          </m:sSubPr>
          <m:e>
            <m:r>
              <m:rPr/>
              <w:rPr>
                <w:rFonts w:ascii="Cambria Math" w:hAnsi="Cambria Math"/>
                <w:lang w:eastAsia="zh-CN"/>
              </w:rPr>
              <m:t>E</m:t>
            </m:r>
            <m:ctrlPr>
              <w:rPr>
                <w:rFonts w:ascii="Cambria Math" w:hAnsi="Cambria Math"/>
                <w:i/>
                <w:lang w:eastAsia="zh-CN"/>
              </w:rPr>
            </m:ctrlPr>
          </m:e>
          <m:sub>
            <m:r>
              <m:rPr/>
              <w:rPr>
                <w:rFonts w:ascii="Cambria Math" w:hAnsi="Cambria Math"/>
                <w:vertAlign w:val="subscript"/>
                <w:lang w:eastAsia="zh-CN"/>
              </w:rPr>
              <m:t>b,φ</m:t>
            </m:r>
            <m:ctrlPr>
              <w:rPr>
                <w:rFonts w:ascii="Cambria Math" w:hAnsi="Cambria Math"/>
                <w:i/>
                <w:lang w:eastAsia="zh-CN"/>
              </w:rPr>
            </m:ctrlPr>
          </m:sub>
        </m:sSub>
        <m:r>
          <m:rPr/>
          <w:rPr>
            <w:rFonts w:ascii="Cambria Math" w:hAnsi="Cambria Math"/>
            <w:lang w:eastAsia="zh-CN"/>
          </w:rPr>
          <m:t>+</m:t>
        </m:r>
        <m:sSub>
          <m:sSubPr>
            <m:ctrlPr>
              <w:rPr>
                <w:rFonts w:ascii="Cambria Math" w:hAnsi="Cambria Math"/>
                <w:i/>
                <w:lang w:eastAsia="zh-CN"/>
              </w:rPr>
            </m:ctrlPr>
          </m:sSubPr>
          <m:e>
            <m:r>
              <m:rPr/>
              <w:rPr>
                <w:rFonts w:ascii="Cambria Math" w:hAnsi="Cambria Math"/>
                <w:lang w:eastAsia="zh-CN"/>
              </w:rPr>
              <m:t>E</m:t>
            </m:r>
            <m:ctrlPr>
              <w:rPr>
                <w:rFonts w:ascii="Cambria Math" w:hAnsi="Cambria Math"/>
                <w:i/>
                <w:lang w:eastAsia="zh-CN"/>
              </w:rPr>
            </m:ctrlPr>
          </m:e>
          <m:sub>
            <m:r>
              <m:rPr/>
              <w:rPr>
                <w:rFonts w:ascii="Cambria Math" w:hAnsi="Cambria Math"/>
                <w:vertAlign w:val="subscript"/>
                <w:lang w:eastAsia="zh-CN"/>
              </w:rPr>
              <m:t>b,θ</m:t>
            </m:r>
            <m:ctrlPr>
              <w:rPr>
                <w:rFonts w:ascii="Cambria Math" w:hAnsi="Cambria Math"/>
                <w:i/>
                <w:lang w:eastAsia="zh-CN"/>
              </w:rPr>
            </m:ctrlPr>
          </m:sub>
        </m:sSub>
        <m:r>
          <m:rPr/>
          <w:rPr>
            <w:rFonts w:ascii="Cambria Math" w:hAnsi="Cambria Math"/>
            <w:lang w:eastAsia="zh-CN"/>
          </w:rPr>
          <m:t>+</m:t>
        </m:r>
        <m:sSub>
          <m:sSubPr>
            <m:ctrlPr>
              <w:rPr>
                <w:rFonts w:ascii="Cambria Math" w:hAnsi="Cambria Math"/>
                <w:i/>
                <w:lang w:eastAsia="zh-CN"/>
              </w:rPr>
            </m:ctrlPr>
          </m:sSubPr>
          <m:e>
            <m:r>
              <m:rPr/>
              <w:rPr>
                <w:rFonts w:ascii="Cambria Math" w:hAnsi="Cambria Math"/>
                <w:lang w:eastAsia="zh-CN"/>
              </w:rPr>
              <m:t>E</m:t>
            </m:r>
            <m:ctrlPr>
              <w:rPr>
                <w:rFonts w:ascii="Cambria Math" w:hAnsi="Cambria Math"/>
                <w:i/>
                <w:lang w:eastAsia="zh-CN"/>
              </w:rPr>
            </m:ctrlPr>
          </m:e>
          <m:sub>
            <m:r>
              <m:rPr/>
              <w:rPr>
                <w:rFonts w:ascii="Cambria Math" w:hAnsi="Cambria Math"/>
                <w:vertAlign w:val="subscript"/>
                <w:lang w:eastAsia="zh-CN"/>
              </w:rPr>
              <m:t>θ,φ</m:t>
            </m:r>
            <m:ctrlPr>
              <w:rPr>
                <w:rFonts w:ascii="Cambria Math" w:hAnsi="Cambria Math"/>
                <w:i/>
                <w:lang w:eastAsia="zh-CN"/>
              </w:rPr>
            </m:ctrlPr>
          </m:sub>
        </m:sSub>
        <m:r>
          <m:rPr/>
          <w:rPr>
            <w:rFonts w:ascii="Cambria Math" w:hAnsi="Cambria Math"/>
            <w:lang w:eastAsia="zh-CN"/>
          </w:rPr>
          <m:t>+</m:t>
        </m:r>
        <m:sSub>
          <m:sSubPr>
            <m:ctrlPr>
              <w:rPr>
                <w:rFonts w:ascii="Cambria Math" w:hAnsi="Cambria Math"/>
                <w:i/>
                <w:lang w:eastAsia="zh-CN"/>
              </w:rPr>
            </m:ctrlPr>
          </m:sSubPr>
          <m:e>
            <m:r>
              <m:rPr/>
              <w:rPr>
                <w:rFonts w:ascii="Cambria Math" w:hAnsi="Cambria Math"/>
                <w:lang w:eastAsia="zh-CN"/>
              </w:rPr>
              <m:t>E</m:t>
            </m:r>
            <m:ctrlPr>
              <w:rPr>
                <w:rFonts w:ascii="Cambria Math" w:hAnsi="Cambria Math"/>
                <w:i/>
                <w:lang w:eastAsia="zh-CN"/>
              </w:rPr>
            </m:ctrlPr>
          </m:e>
          <m:sub>
            <m:r>
              <m:rPr/>
              <w:rPr>
                <w:rFonts w:ascii="Cambria Math" w:hAnsi="Cambria Math"/>
                <w:vertAlign w:val="subscript"/>
                <w:lang w:eastAsia="zh-CN"/>
              </w:rPr>
              <m:t>θ,θ’,φ</m:t>
            </m:r>
            <m:ctrlPr>
              <w:rPr>
                <w:rFonts w:ascii="Cambria Math" w:hAnsi="Cambria Math"/>
                <w:i/>
                <w:lang w:eastAsia="zh-CN"/>
              </w:rPr>
            </m:ctrlPr>
          </m:sub>
        </m:sSub>
      </m:oMath>
      <w:r>
        <w:rPr>
          <w:rFonts w:hint="eastAsia"/>
          <w:lang w:eastAsia="zh-CN"/>
        </w:rPr>
        <w:t xml:space="preserve"> </w:t>
      </w:r>
      <w:r>
        <w:rPr>
          <w:lang w:eastAsia="zh-CN"/>
        </w:rPr>
        <w:t xml:space="preserve"> </w:t>
      </w:r>
      <w:r>
        <w:rPr>
          <w:i/>
          <w:iCs/>
          <w:lang w:eastAsia="zh-CN"/>
        </w:rPr>
        <w:t xml:space="preserve">                                                             </w:t>
      </w:r>
      <w:r>
        <w:rPr>
          <w:lang w:eastAsia="zh-CN"/>
        </w:rPr>
        <w:t>(4)</w:t>
      </w:r>
      <w:r>
        <w:rPr>
          <w:lang w:eastAsia="zh-CN"/>
        </w:rPr>
        <w:br w:type="page"/>
      </w:r>
    </w:p>
    <w:p>
      <w:pPr>
        <w:snapToGrid w:val="0"/>
        <w:jc w:val="center"/>
        <w:rPr>
          <w:lang w:eastAsia="zh-CN"/>
        </w:rPr>
      </w:pPr>
      <w:r>
        <w:rPr>
          <w:lang w:eastAsia="zh-CN"/>
        </w:rPr>
        <w:drawing>
          <wp:inline distT="0" distB="0" distL="114300" distR="114300">
            <wp:extent cx="5760085" cy="3376930"/>
            <wp:effectExtent l="0" t="0" r="12065" b="13970"/>
            <wp:docPr id="14" name="图片 14" descr="Fig.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Fig.S2"/>
                    <pic:cNvPicPr>
                      <a:picLocks noChangeAspect="1"/>
                    </pic:cNvPicPr>
                  </pic:nvPicPr>
                  <pic:blipFill>
                    <a:blip r:embed="rId7"/>
                    <a:srcRect l="26508" t="13772" r="4003" b="1152"/>
                    <a:stretch>
                      <a:fillRect/>
                    </a:stretch>
                  </pic:blipFill>
                  <pic:spPr>
                    <a:xfrm>
                      <a:off x="0" y="0"/>
                      <a:ext cx="5760085" cy="3376930"/>
                    </a:xfrm>
                    <a:prstGeom prst="rect">
                      <a:avLst/>
                    </a:prstGeom>
                  </pic:spPr>
                </pic:pic>
              </a:graphicData>
            </a:graphic>
          </wp:inline>
        </w:drawing>
      </w:r>
    </w:p>
    <w:p>
      <w:pPr>
        <w:snapToGrid w:val="0"/>
        <w:spacing w:before="120" w:line="360" w:lineRule="auto"/>
        <w:rPr>
          <w:lang w:eastAsia="zh-CN"/>
        </w:rPr>
      </w:pPr>
      <w:r>
        <w:rPr>
          <w:b/>
          <w:bCs/>
          <w:lang w:val="en-GB"/>
        </w:rPr>
        <w:t xml:space="preserve">Supplementary Figure </w:t>
      </w:r>
      <w:r>
        <w:rPr>
          <w:rFonts w:hint="eastAsia"/>
          <w:b/>
          <w:bCs/>
          <w:lang w:eastAsia="zh-CN"/>
        </w:rPr>
        <w:t xml:space="preserve">4 </w:t>
      </w:r>
      <w:r>
        <w:rPr>
          <w:b/>
          <w:bCs/>
          <w:lang w:val="en-GB" w:eastAsia="zh-CN"/>
        </w:rPr>
        <w:t xml:space="preserve">| </w:t>
      </w:r>
      <w:r>
        <w:rPr>
          <w:rFonts w:hint="eastAsia"/>
          <w:b/>
          <w:bCs/>
          <w:lang w:eastAsia="zh-CN"/>
        </w:rPr>
        <w:t xml:space="preserve">The synthesis process of </w:t>
      </w:r>
      <w:r>
        <w:rPr>
          <w:rFonts w:hint="eastAsia" w:eastAsia="宋体"/>
          <w:b/>
          <w:bCs/>
          <w:kern w:val="2"/>
          <w:szCs w:val="21"/>
          <w:lang w:eastAsia="zh-CN"/>
        </w:rPr>
        <w:t>i</w:t>
      </w:r>
      <w:r>
        <w:rPr>
          <w:rFonts w:eastAsia="宋体"/>
          <w:b/>
          <w:bCs/>
          <w:kern w:val="2"/>
          <w:szCs w:val="32"/>
          <w:lang w:eastAsia="zh-CN"/>
        </w:rPr>
        <w:t>mpregnating amine into crystal internalization</w:t>
      </w:r>
      <w:r>
        <w:rPr>
          <w:rFonts w:hint="eastAsia"/>
          <w:b/>
          <w:bCs/>
          <w:lang w:eastAsia="zh-CN"/>
        </w:rPr>
        <w:t xml:space="preserve"> </w:t>
      </w:r>
      <w:r>
        <w:rPr>
          <w:b/>
          <w:bCs/>
          <w:lang w:eastAsia="zh-CN"/>
        </w:rPr>
        <w:t>(</w:t>
      </w:r>
      <w:r>
        <w:rPr>
          <w:rFonts w:hint="eastAsia"/>
          <w:b/>
          <w:bCs/>
          <w:lang w:eastAsia="zh-CN"/>
        </w:rPr>
        <w:t>IACI</w:t>
      </w:r>
      <w:r>
        <w:rPr>
          <w:b/>
          <w:bCs/>
          <w:lang w:eastAsia="zh-CN"/>
        </w:rPr>
        <w:t>)</w:t>
      </w:r>
      <w:r>
        <w:rPr>
          <w:rFonts w:hint="eastAsia"/>
          <w:b/>
          <w:bCs/>
          <w:lang w:eastAsia="zh-CN"/>
        </w:rPr>
        <w:t xml:space="preserve"> in PEI-functionalized MIL-101</w:t>
      </w:r>
      <w:r>
        <w:rPr>
          <w:rFonts w:hint="eastAsia" w:eastAsia="黑体"/>
          <w:b/>
          <w:kern w:val="2"/>
          <w:szCs w:val="21"/>
          <w:lang w:eastAsia="zh-CN"/>
        </w:rPr>
        <w:t>(Cr)</w:t>
      </w:r>
      <w:r>
        <w:rPr>
          <w:rFonts w:eastAsia="黑体"/>
          <w:b/>
          <w:kern w:val="2"/>
          <w:szCs w:val="21"/>
          <w:lang w:eastAsia="zh-CN"/>
        </w:rPr>
        <w:t>.</w:t>
      </w:r>
      <w:r>
        <w:rPr>
          <w:rFonts w:hint="eastAsia"/>
          <w:b/>
          <w:bCs/>
          <w:lang w:eastAsia="zh-CN"/>
        </w:rPr>
        <w:t xml:space="preserve"> </w:t>
      </w:r>
      <w:r>
        <w:rPr>
          <w:b/>
          <w:bCs/>
          <w:lang w:eastAsia="zh-CN"/>
        </w:rPr>
        <w:t>a,</w:t>
      </w:r>
      <w:r>
        <w:rPr>
          <w:rFonts w:hint="eastAsia"/>
          <w:lang w:eastAsia="zh-CN"/>
        </w:rPr>
        <w:t xml:space="preserve"> Schematic diagram of actual impregnation operation</w:t>
      </w:r>
      <w:r>
        <w:rPr>
          <w:lang w:eastAsia="zh-CN"/>
        </w:rPr>
        <w:t>.</w:t>
      </w:r>
      <w:r>
        <w:rPr>
          <w:rFonts w:hint="eastAsia"/>
          <w:lang w:eastAsia="zh-CN"/>
        </w:rPr>
        <w:t xml:space="preserve"> </w:t>
      </w:r>
      <w:r>
        <w:rPr>
          <w:rFonts w:hint="eastAsia"/>
          <w:b/>
          <w:bCs/>
          <w:lang w:eastAsia="zh-CN"/>
        </w:rPr>
        <w:t>b</w:t>
      </w:r>
      <w:r>
        <w:rPr>
          <w:b/>
          <w:bCs/>
          <w:lang w:eastAsia="zh-CN"/>
        </w:rPr>
        <w:t>,</w:t>
      </w:r>
      <w:r>
        <w:rPr>
          <w:rFonts w:hint="eastAsia"/>
          <w:lang w:eastAsia="zh-CN"/>
        </w:rPr>
        <w:t xml:space="preserve"> </w:t>
      </w:r>
      <w:r>
        <w:rPr>
          <w:lang w:eastAsia="zh-CN"/>
        </w:rPr>
        <w:t>T</w:t>
      </w:r>
      <w:r>
        <w:rPr>
          <w:rFonts w:hint="eastAsia"/>
          <w:lang w:eastAsia="zh-CN"/>
        </w:rPr>
        <w:t>he formation of IACI in PEI-functionalized MIL-101</w:t>
      </w:r>
      <w:r>
        <w:rPr>
          <w:lang w:eastAsia="zh-CN"/>
        </w:rPr>
        <w:t>(Cr)</w:t>
      </w:r>
      <w:r>
        <w:rPr>
          <w:rFonts w:hint="eastAsia"/>
          <w:lang w:eastAsia="zh-CN"/>
        </w:rPr>
        <w:t>.</w:t>
      </w:r>
    </w:p>
    <w:p>
      <w:pPr>
        <w:snapToGrid w:val="0"/>
        <w:jc w:val="center"/>
        <w:rPr>
          <w:lang w:val="en-GB" w:eastAsia="zh-CN"/>
        </w:rPr>
      </w:pPr>
      <w:r>
        <w:rPr>
          <w:rFonts w:hint="eastAsia"/>
          <w:lang w:val="en-GB" w:eastAsia="zh-CN"/>
        </w:rPr>
        <w:drawing>
          <wp:inline distT="0" distB="0" distL="114300" distR="114300">
            <wp:extent cx="3804285" cy="4969510"/>
            <wp:effectExtent l="0" t="0" r="5715" b="2540"/>
            <wp:docPr id="12" name="图片 12" descr="Fig.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Fig.S3"/>
                    <pic:cNvPicPr>
                      <a:picLocks noChangeAspect="1"/>
                    </pic:cNvPicPr>
                  </pic:nvPicPr>
                  <pic:blipFill>
                    <a:blip r:embed="rId8"/>
                    <a:srcRect l="32922" t="8197" r="1004" b="4876"/>
                    <a:stretch>
                      <a:fillRect/>
                    </a:stretch>
                  </pic:blipFill>
                  <pic:spPr>
                    <a:xfrm>
                      <a:off x="0" y="0"/>
                      <a:ext cx="3804285" cy="4969510"/>
                    </a:xfrm>
                    <a:prstGeom prst="rect">
                      <a:avLst/>
                    </a:prstGeom>
                  </pic:spPr>
                </pic:pic>
              </a:graphicData>
            </a:graphic>
          </wp:inline>
        </w:drawing>
      </w:r>
    </w:p>
    <w:p>
      <w:pPr>
        <w:snapToGrid w:val="0"/>
        <w:spacing w:before="120" w:line="360" w:lineRule="auto"/>
        <w:rPr>
          <w:lang w:val="en-GB"/>
        </w:rPr>
      </w:pPr>
      <w:r>
        <w:rPr>
          <w:b/>
          <w:bCs/>
          <w:lang w:val="en-GB"/>
        </w:rPr>
        <w:t xml:space="preserve">Supplementary Figure </w:t>
      </w:r>
      <w:r>
        <w:rPr>
          <w:rFonts w:hint="eastAsia"/>
          <w:b/>
          <w:bCs/>
          <w:lang w:eastAsia="zh-CN"/>
        </w:rPr>
        <w:t xml:space="preserve">5 </w:t>
      </w:r>
      <w:r>
        <w:rPr>
          <w:b/>
          <w:bCs/>
          <w:lang w:val="en-GB" w:eastAsia="zh-CN"/>
        </w:rPr>
        <w:t xml:space="preserve">| </w:t>
      </w:r>
      <w:r>
        <w:rPr>
          <w:rFonts w:hint="eastAsia"/>
          <w:b/>
          <w:bCs/>
          <w:lang w:eastAsia="zh-CN"/>
        </w:rPr>
        <w:t>The element distribution of N and Cr in the ultrathin cut from PEI-functionalized MIL-101</w:t>
      </w:r>
      <w:r>
        <w:rPr>
          <w:rFonts w:hint="eastAsia" w:eastAsia="黑体"/>
          <w:b/>
          <w:kern w:val="2"/>
          <w:szCs w:val="21"/>
          <w:lang w:eastAsia="zh-CN"/>
        </w:rPr>
        <w:t>(Cr)</w:t>
      </w:r>
      <w:r>
        <w:rPr>
          <w:rFonts w:hint="eastAsia"/>
          <w:b/>
          <w:bCs/>
          <w:lang w:eastAsia="zh-CN"/>
        </w:rPr>
        <w:t xml:space="preserve"> under different impregnation time. a</w:t>
      </w:r>
      <w:r>
        <w:rPr>
          <w:b/>
          <w:bCs/>
          <w:lang w:eastAsia="zh-CN"/>
        </w:rPr>
        <w:t>,</w:t>
      </w:r>
      <w:r>
        <w:rPr>
          <w:rFonts w:hint="eastAsia"/>
          <w:lang w:eastAsia="zh-CN"/>
        </w:rPr>
        <w:t xml:space="preserve"> </w:t>
      </w:r>
      <w:r>
        <w:rPr>
          <w:lang w:eastAsia="zh-CN"/>
        </w:rPr>
        <w:t>T</w:t>
      </w:r>
      <w:r>
        <w:rPr>
          <w:rFonts w:hint="eastAsia"/>
          <w:lang w:eastAsia="zh-CN"/>
        </w:rPr>
        <w:t>he EDX line scan sites</w:t>
      </w:r>
      <w:r>
        <w:rPr>
          <w:lang w:eastAsia="zh-CN"/>
        </w:rPr>
        <w:t>.</w:t>
      </w:r>
      <w:r>
        <w:rPr>
          <w:rFonts w:hint="eastAsia"/>
          <w:lang w:eastAsia="zh-CN"/>
        </w:rPr>
        <w:t xml:space="preserve"> </w:t>
      </w:r>
      <w:r>
        <w:rPr>
          <w:rFonts w:hint="eastAsia"/>
          <w:b/>
          <w:bCs/>
          <w:lang w:eastAsia="zh-CN"/>
        </w:rPr>
        <w:t>b</w:t>
      </w:r>
      <w:r>
        <w:rPr>
          <w:b/>
          <w:bCs/>
          <w:lang w:eastAsia="zh-CN"/>
        </w:rPr>
        <w:t>,</w:t>
      </w:r>
      <w:r>
        <w:rPr>
          <w:rFonts w:hint="eastAsia"/>
          <w:lang w:eastAsia="zh-CN"/>
        </w:rPr>
        <w:t xml:space="preserve"> </w:t>
      </w:r>
      <w:r>
        <w:rPr>
          <w:lang w:eastAsia="zh-CN"/>
        </w:rPr>
        <w:t>T</w:t>
      </w:r>
      <w:r>
        <w:rPr>
          <w:rFonts w:hint="eastAsia"/>
          <w:lang w:eastAsia="zh-CN"/>
        </w:rPr>
        <w:t>he N and Cr change with position.</w:t>
      </w:r>
      <w:r>
        <w:rPr>
          <w:lang w:val="en-GB"/>
        </w:rPr>
        <w:br w:type="page"/>
      </w:r>
    </w:p>
    <w:p>
      <w:pPr>
        <w:snapToGrid w:val="0"/>
        <w:rPr>
          <w:lang w:eastAsia="zh-CN"/>
        </w:rPr>
      </w:pPr>
    </w:p>
    <w:p>
      <w:pPr>
        <w:snapToGrid w:val="0"/>
        <w:jc w:val="center"/>
        <w:rPr>
          <w:lang w:eastAsia="zh-CN"/>
        </w:rPr>
      </w:pPr>
      <w:r>
        <w:rPr>
          <w:rFonts w:hint="eastAsia"/>
          <w:lang w:eastAsia="zh-CN"/>
        </w:rPr>
        <w:drawing>
          <wp:inline distT="0" distB="0" distL="114300" distR="114300">
            <wp:extent cx="4001135" cy="3493770"/>
            <wp:effectExtent l="0" t="0" r="18415" b="11430"/>
            <wp:docPr id="16" name="图片 16" descr="Fig.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Fig.S4"/>
                    <pic:cNvPicPr>
                      <a:picLocks noChangeAspect="1"/>
                    </pic:cNvPicPr>
                  </pic:nvPicPr>
                  <pic:blipFill>
                    <a:blip r:embed="rId9"/>
                    <a:srcRect l="11472" t="22594" r="13123" b="24741"/>
                    <a:stretch>
                      <a:fillRect/>
                    </a:stretch>
                  </pic:blipFill>
                  <pic:spPr>
                    <a:xfrm>
                      <a:off x="0" y="0"/>
                      <a:ext cx="4001135" cy="3493770"/>
                    </a:xfrm>
                    <a:prstGeom prst="rect">
                      <a:avLst/>
                    </a:prstGeom>
                  </pic:spPr>
                </pic:pic>
              </a:graphicData>
            </a:graphic>
          </wp:inline>
        </w:drawing>
      </w:r>
    </w:p>
    <w:p>
      <w:pPr>
        <w:snapToGrid w:val="0"/>
        <w:spacing w:before="120" w:line="360" w:lineRule="auto"/>
        <w:rPr>
          <w:lang w:eastAsia="zh-CN"/>
        </w:rPr>
      </w:pPr>
      <w:r>
        <w:rPr>
          <w:b/>
          <w:bCs/>
          <w:lang w:val="en-GB"/>
        </w:rPr>
        <w:t xml:space="preserve">Supplementary Figure </w:t>
      </w:r>
      <w:r>
        <w:rPr>
          <w:rFonts w:hint="eastAsia"/>
          <w:b/>
          <w:bCs/>
          <w:lang w:eastAsia="zh-CN"/>
        </w:rPr>
        <w:t xml:space="preserve">6 </w:t>
      </w:r>
      <w:r>
        <w:rPr>
          <w:b/>
          <w:bCs/>
          <w:lang w:val="en-GB" w:eastAsia="zh-CN"/>
        </w:rPr>
        <w:t xml:space="preserve">| </w:t>
      </w:r>
      <w:r>
        <w:rPr>
          <w:rFonts w:hint="eastAsia"/>
          <w:b/>
          <w:bCs/>
          <w:lang w:eastAsia="zh-CN"/>
        </w:rPr>
        <w:t>FT</w:t>
      </w:r>
      <w:r>
        <w:rPr>
          <w:b/>
          <w:bCs/>
          <w:lang w:eastAsia="zh-CN"/>
        </w:rPr>
        <w:t>-</w:t>
      </w:r>
      <w:r>
        <w:rPr>
          <w:rFonts w:hint="eastAsia"/>
          <w:b/>
          <w:bCs/>
          <w:lang w:eastAsia="zh-CN"/>
        </w:rPr>
        <w:t>IR spectra of the MIL-101</w:t>
      </w:r>
      <w:r>
        <w:rPr>
          <w:rFonts w:hint="eastAsia" w:eastAsia="黑体"/>
          <w:b/>
          <w:kern w:val="2"/>
          <w:szCs w:val="21"/>
          <w:lang w:eastAsia="zh-CN"/>
        </w:rPr>
        <w:t>(Cr)</w:t>
      </w:r>
      <w:r>
        <w:rPr>
          <w:rFonts w:hint="eastAsia"/>
          <w:b/>
          <w:bCs/>
          <w:lang w:eastAsia="zh-CN"/>
        </w:rPr>
        <w:t xml:space="preserve"> and PEI-functionalized MIL-101</w:t>
      </w:r>
      <w:r>
        <w:rPr>
          <w:rFonts w:hint="eastAsia" w:eastAsia="黑体"/>
          <w:b/>
          <w:kern w:val="2"/>
          <w:szCs w:val="21"/>
          <w:lang w:eastAsia="zh-CN"/>
        </w:rPr>
        <w:t>(Cr)</w:t>
      </w:r>
      <w:r>
        <w:rPr>
          <w:rFonts w:hint="eastAsia"/>
          <w:b/>
          <w:bCs/>
          <w:lang w:eastAsia="zh-CN"/>
        </w:rPr>
        <w:t xml:space="preserve"> characterization</w:t>
      </w:r>
      <w:r>
        <w:rPr>
          <w:b/>
          <w:bCs/>
          <w:lang w:eastAsia="zh-CN"/>
        </w:rPr>
        <w:t>.</w:t>
      </w:r>
      <w:r>
        <w:rPr>
          <w:rFonts w:hint="eastAsia"/>
          <w:b/>
          <w:bCs/>
          <w:lang w:eastAsia="zh-CN"/>
        </w:rPr>
        <w:t xml:space="preserve"> </w:t>
      </w:r>
      <w:r>
        <w:rPr>
          <w:lang w:eastAsia="zh-CN"/>
        </w:rPr>
        <w:t>FT-IR</w:t>
      </w:r>
      <w:r>
        <w:rPr>
          <w:rFonts w:hint="eastAsia"/>
          <w:b/>
          <w:bCs/>
          <w:lang w:eastAsia="zh-CN"/>
        </w:rPr>
        <w:t xml:space="preserve"> </w:t>
      </w:r>
      <w:r>
        <w:rPr>
          <w:rFonts w:hint="eastAsia"/>
          <w:lang w:eastAsia="zh-CN"/>
        </w:rPr>
        <w:t>spectra recorded at 100 K of MIL-101</w:t>
      </w:r>
      <w:r>
        <w:rPr>
          <w:rFonts w:hint="eastAsia" w:eastAsia="黑体"/>
          <w:bCs/>
          <w:kern w:val="2"/>
          <w:szCs w:val="21"/>
          <w:lang w:eastAsia="zh-CN"/>
        </w:rPr>
        <w:t>(Cr)</w:t>
      </w:r>
      <w:r>
        <w:rPr>
          <w:rFonts w:hint="eastAsia"/>
          <w:lang w:eastAsia="zh-CN"/>
        </w:rPr>
        <w:t xml:space="preserve"> and PEI-functionalized MIL-101</w:t>
      </w:r>
      <w:r>
        <w:rPr>
          <w:rFonts w:hint="eastAsia" w:eastAsia="黑体"/>
          <w:bCs/>
          <w:kern w:val="2"/>
          <w:szCs w:val="21"/>
          <w:lang w:eastAsia="zh-CN"/>
        </w:rPr>
        <w:t>(Cr)</w:t>
      </w:r>
      <w:r>
        <w:rPr>
          <w:rFonts w:hint="eastAsia"/>
          <w:lang w:eastAsia="zh-CN"/>
        </w:rPr>
        <w:t xml:space="preserve"> after introduction of an equilibrium pressure (200 Pa) of CO</w:t>
      </w:r>
      <w:r>
        <w:rPr>
          <w:vertAlign w:val="subscript"/>
          <w:lang w:eastAsia="zh-CN"/>
        </w:rPr>
        <w:t>2</w:t>
      </w:r>
      <w:r>
        <w:rPr>
          <w:rFonts w:hint="eastAsia"/>
          <w:lang w:eastAsia="zh-CN"/>
        </w:rPr>
        <w:t>.</w:t>
      </w:r>
    </w:p>
    <w:p>
      <w:pPr>
        <w:snapToGrid w:val="0"/>
        <w:spacing w:before="120" w:line="360" w:lineRule="auto"/>
        <w:rPr>
          <w:lang w:eastAsia="zh-CN"/>
        </w:rPr>
      </w:pPr>
      <w:r>
        <w:rPr>
          <w:lang w:eastAsia="zh-CN"/>
        </w:rPr>
        <w:br w:type="page"/>
      </w:r>
      <w:r>
        <w:rPr>
          <w:rFonts w:ascii="TimesNewRomanPS-BoldMT" w:hAnsi="TimesNewRomanPS-BoldMT"/>
          <w:b/>
          <w:bCs/>
          <w:color w:val="000000"/>
        </w:rPr>
        <w:t>Supplementary Note 2 | Th</w:t>
      </w:r>
      <w:r>
        <w:rPr>
          <w:rFonts w:hint="eastAsia" w:ascii="TimesNewRomanPS-BoldMT" w:hAnsi="TimesNewRomanPS-BoldMT"/>
          <w:b/>
          <w:bCs/>
          <w:color w:val="000000"/>
        </w:rPr>
        <w:t>e</w:t>
      </w:r>
      <w:r>
        <w:rPr>
          <w:rFonts w:ascii="TimesNewRomanPS-BoldMT" w:hAnsi="TimesNewRomanPS-BoldMT"/>
          <w:b/>
          <w:bCs/>
          <w:color w:val="000000"/>
        </w:rPr>
        <w:t xml:space="preserve"> calculation </w:t>
      </w:r>
      <w:r>
        <w:rPr>
          <w:rFonts w:hint="eastAsia" w:ascii="TimesNewRomanPS-BoldMT" w:hAnsi="TimesNewRomanPS-BoldMT"/>
          <w:b/>
          <w:bCs/>
          <w:color w:val="000000"/>
        </w:rPr>
        <w:t>f</w:t>
      </w:r>
      <w:r>
        <w:rPr>
          <w:rFonts w:ascii="TimesNewRomanPS-BoldMT" w:hAnsi="TimesNewRomanPS-BoldMT"/>
          <w:b/>
          <w:bCs/>
          <w:color w:val="000000"/>
        </w:rPr>
        <w:t xml:space="preserve">or the </w:t>
      </w:r>
      <w:bookmarkStart w:id="1" w:name="OLE_LINK2"/>
      <w:r>
        <w:rPr>
          <w:rFonts w:ascii="TimesNewRomanPS-BoldMT" w:hAnsi="TimesNewRomanPS-BoldMT"/>
          <w:b/>
          <w:bCs/>
          <w:color w:val="000000"/>
        </w:rPr>
        <w:t>consumption comparison</w:t>
      </w:r>
      <w:bookmarkEnd w:id="1"/>
      <w:r>
        <w:rPr>
          <w:rFonts w:hint="eastAsia" w:ascii="TimesNewRomanPS-BoldMT" w:hAnsi="TimesNewRomanPS-BoldMT"/>
          <w:b/>
          <w:bCs/>
          <w:color w:val="000000"/>
        </w:rPr>
        <w:t xml:space="preserve"> </w:t>
      </w:r>
    </w:p>
    <w:p>
      <w:pPr>
        <w:spacing w:before="12" w:line="360" w:lineRule="auto"/>
        <w:rPr>
          <w:lang w:eastAsia="zh-CN"/>
        </w:rPr>
      </w:pPr>
      <w:r>
        <w:rPr>
          <w:lang w:eastAsia="zh-CN"/>
        </w:rPr>
        <w:t xml:space="preserve">To investigate </w:t>
      </w:r>
      <w:r>
        <w:rPr>
          <w:rFonts w:hint="eastAsia"/>
          <w:lang w:eastAsia="zh-CN"/>
        </w:rPr>
        <w:t>the</w:t>
      </w:r>
      <w:r>
        <w:rPr>
          <w:lang w:eastAsia="zh-CN"/>
        </w:rPr>
        <w:t xml:space="preserve"> </w:t>
      </w:r>
      <w:r>
        <w:rPr>
          <w:rFonts w:hint="eastAsia"/>
          <w:lang w:eastAsia="zh-CN"/>
        </w:rPr>
        <w:t>cost</w:t>
      </w:r>
      <w:r>
        <w:rPr>
          <w:lang w:eastAsia="zh-CN"/>
        </w:rPr>
        <w:t>-effective properties</w:t>
      </w:r>
      <w:r>
        <w:rPr>
          <w:rFonts w:hint="eastAsia"/>
          <w:lang w:eastAsia="zh-CN"/>
        </w:rPr>
        <w:t xml:space="preserve"> </w:t>
      </w:r>
      <w:r>
        <w:rPr>
          <w:lang w:eastAsia="zh-CN"/>
        </w:rPr>
        <w:t xml:space="preserve">of </w:t>
      </w:r>
      <w:bookmarkStart w:id="2" w:name="OLE_LINK4"/>
      <w:r>
        <w:rPr>
          <w:lang w:eastAsia="zh-CN"/>
        </w:rPr>
        <w:t>PEI-functionalized MIL-101(Cr)</w:t>
      </w:r>
      <w:bookmarkEnd w:id="2"/>
      <w:r>
        <w:rPr>
          <w:lang w:eastAsia="zh-CN"/>
        </w:rPr>
        <w:t xml:space="preserve"> for CO</w:t>
      </w:r>
      <w:r>
        <w:rPr>
          <w:vertAlign w:val="subscript"/>
          <w:lang w:eastAsia="zh-CN"/>
        </w:rPr>
        <w:t>2</w:t>
      </w:r>
      <w:r>
        <w:rPr>
          <w:lang w:eastAsia="zh-CN"/>
        </w:rPr>
        <w:t xml:space="preserve"> capture, </w:t>
      </w:r>
      <w:r>
        <w:rPr>
          <w:rFonts w:hint="eastAsia"/>
          <w:lang w:eastAsia="zh-CN"/>
        </w:rPr>
        <w:t>we compared the amine consumption, energy consumption, and cycle time─the primary costs involved in CO</w:t>
      </w:r>
      <w:r>
        <w:rPr>
          <w:rFonts w:hint="eastAsia"/>
          <w:vertAlign w:val="subscript"/>
          <w:lang w:eastAsia="zh-CN"/>
        </w:rPr>
        <w:t>2</w:t>
      </w:r>
      <w:r>
        <w:rPr>
          <w:rFonts w:hint="eastAsia"/>
          <w:lang w:eastAsia="zh-CN"/>
        </w:rPr>
        <w:t xml:space="preserve"> capture. Here are the details</w:t>
      </w:r>
      <w:r>
        <w:rPr>
          <w:lang w:eastAsia="zh-CN"/>
        </w:rPr>
        <w:t>:</w:t>
      </w:r>
    </w:p>
    <w:p>
      <w:pPr>
        <w:snapToGrid w:val="0"/>
        <w:spacing w:line="360" w:lineRule="auto"/>
        <w:rPr>
          <w:lang w:eastAsia="zh-CN"/>
        </w:rPr>
      </w:pPr>
      <w:r>
        <w:rPr>
          <w:b/>
          <w:bCs/>
          <w:lang w:eastAsia="zh-CN"/>
        </w:rPr>
        <w:t>Amine consumption</w:t>
      </w:r>
      <w:r>
        <w:rPr>
          <w:rFonts w:hint="eastAsia"/>
          <w:b/>
          <w:bCs/>
          <w:lang w:eastAsia="zh-CN"/>
        </w:rPr>
        <w:t>.</w:t>
      </w:r>
      <w:r>
        <w:rPr>
          <w:lang w:eastAsia="zh-CN"/>
        </w:rPr>
        <w:t xml:space="preserve"> In the CO</w:t>
      </w:r>
      <w:r>
        <w:rPr>
          <w:vertAlign w:val="subscript"/>
          <w:lang w:eastAsia="zh-CN"/>
        </w:rPr>
        <w:t>2</w:t>
      </w:r>
      <w:r>
        <w:rPr>
          <w:lang w:eastAsia="zh-CN"/>
        </w:rPr>
        <w:t xml:space="preserve"> capture process using amine-functionalized adsorbents, amine deactivation results in significant consumption due to the high cost and non-renewable nature of amines. Based on industrial process observations</w:t>
      </w:r>
      <w:r>
        <w:rPr>
          <w:rFonts w:eastAsia="宋体"/>
          <w:color w:val="080000"/>
          <w:vertAlign w:val="superscript"/>
          <w:lang w:eastAsia="zh-CN"/>
        </w:rPr>
        <w:t>3</w:t>
      </w:r>
      <w:r>
        <w:rPr>
          <w:lang w:eastAsia="zh-CN"/>
        </w:rPr>
        <w:t>, we assumed that, on average, each unit mass of amine-functionalized adsorbents would be discarded when the adsorption capacity decreases by half to maintain carbon capture efficiency.</w:t>
      </w:r>
      <w:r>
        <w:rPr>
          <w:rFonts w:hint="eastAsia"/>
          <w:lang w:eastAsia="zh-CN"/>
        </w:rPr>
        <w:t xml:space="preserve"> </w:t>
      </w:r>
      <w:r>
        <w:rPr>
          <w:lang w:eastAsia="zh-CN"/>
        </w:rPr>
        <w:t>First, we calculated the number of cycles (N) and the corresponding adsorption capacity (X</w:t>
      </w:r>
      <w:r>
        <w:rPr>
          <w:i/>
          <w:iCs/>
          <w:vertAlign w:val="subscript"/>
          <w:lang w:eastAsia="zh-CN"/>
        </w:rPr>
        <w:t>N</w:t>
      </w:r>
      <w:r>
        <w:rPr>
          <w:lang w:eastAsia="zh-CN"/>
        </w:rPr>
        <w:t>) based on the initial CO</w:t>
      </w:r>
      <w:r>
        <w:rPr>
          <w:vertAlign w:val="subscript"/>
          <w:lang w:eastAsia="zh-CN"/>
        </w:rPr>
        <w:t>2</w:t>
      </w:r>
      <w:r>
        <w:rPr>
          <w:lang w:eastAsia="zh-CN"/>
        </w:rPr>
        <w:t xml:space="preserve"> uptake (X) and the average inactivation efficiency per cycle (η) using Equation (5). Then, when X</w:t>
      </w:r>
      <w:r>
        <w:rPr>
          <w:i/>
          <w:iCs/>
          <w:vertAlign w:val="subscript"/>
          <w:lang w:eastAsia="zh-CN"/>
        </w:rPr>
        <w:t>N</w:t>
      </w:r>
      <w:r>
        <w:rPr>
          <w:lang w:eastAsia="zh-CN"/>
        </w:rPr>
        <w:t xml:space="preserve"> is less than half of X, we obtained the value (n), which represents the estimated number of cycles for practical application of these amine-functionalized adsorbents. Based on n, the total CO</w:t>
      </w:r>
      <w:r>
        <w:rPr>
          <w:vertAlign w:val="subscript"/>
          <w:lang w:eastAsia="zh-CN"/>
        </w:rPr>
        <w:t>2</w:t>
      </w:r>
      <w:r>
        <w:rPr>
          <w:lang w:eastAsia="zh-CN"/>
        </w:rPr>
        <w:t xml:space="preserve"> capture capacity of the adsorbents (X</w:t>
      </w:r>
      <w:r>
        <w:rPr>
          <w:i/>
          <w:iCs/>
          <w:vertAlign w:val="subscript"/>
          <w:lang w:eastAsia="zh-CN"/>
        </w:rPr>
        <w:t>all</w:t>
      </w:r>
      <w:r>
        <w:rPr>
          <w:lang w:eastAsia="zh-CN"/>
        </w:rPr>
        <w:t>) is calculated using Equation (6). As a result, we calculated the amine consumption (C</w:t>
      </w:r>
      <w:r>
        <w:rPr>
          <w:i/>
          <w:iCs/>
          <w:vertAlign w:val="subscript"/>
          <w:lang w:eastAsia="zh-CN"/>
        </w:rPr>
        <w:t>amine</w:t>
      </w:r>
      <w:r>
        <w:rPr>
          <w:lang w:eastAsia="zh-CN"/>
        </w:rPr>
        <w:t>) using Equation (7).</w:t>
      </w:r>
    </w:p>
    <w:p>
      <w:pPr>
        <w:snapToGrid w:val="0"/>
        <w:spacing w:line="360" w:lineRule="auto"/>
        <w:rPr>
          <w:b/>
          <w:bCs/>
          <w:lang w:eastAsia="zh-CN"/>
        </w:rPr>
      </w:pPr>
      <w:r>
        <w:rPr>
          <w:b/>
          <w:bCs/>
          <w:lang w:eastAsia="zh-CN"/>
        </w:rPr>
        <w:t xml:space="preserve">Energy consumption. </w:t>
      </w:r>
      <w:r>
        <w:rPr>
          <w:lang w:eastAsia="zh-CN"/>
        </w:rPr>
        <w:t>Diffusion resistance during CO</w:t>
      </w:r>
      <w:r>
        <w:rPr>
          <w:vertAlign w:val="subscript"/>
          <w:lang w:eastAsia="zh-CN"/>
        </w:rPr>
        <w:t>2</w:t>
      </w:r>
      <w:r>
        <w:rPr>
          <w:lang w:eastAsia="zh-CN"/>
        </w:rPr>
        <w:t xml:space="preserve"> adsorption often requires heating the adsorbed gas, and estimating the energy associated with this heating is obscure due to variations in gas composition and initial temperature. Therefore, we only considered the energy required for desorption as the energy consumption for the entire cycle. It is important to note that the energy consumption of the adsorbent requiring heating during the adsorption process should be greater than this value.</w:t>
      </w:r>
    </w:p>
    <w:p>
      <w:pPr>
        <w:snapToGrid w:val="0"/>
        <w:spacing w:line="360" w:lineRule="auto"/>
        <w:rPr>
          <w:b/>
          <w:bCs/>
          <w:lang w:eastAsia="zh-CN"/>
        </w:rPr>
      </w:pPr>
      <w:r>
        <w:rPr>
          <w:rFonts w:hint="eastAsia"/>
          <w:b/>
          <w:bCs/>
          <w:lang w:eastAsia="zh-CN"/>
        </w:rPr>
        <w:t>C</w:t>
      </w:r>
      <w:r>
        <w:rPr>
          <w:b/>
          <w:bCs/>
          <w:lang w:eastAsia="zh-CN"/>
        </w:rPr>
        <w:t xml:space="preserve">ycle time. </w:t>
      </w:r>
      <w:r>
        <w:rPr>
          <w:lang w:eastAsia="zh-CN"/>
        </w:rPr>
        <w:t>In practical carbon capture processes, numerous equipment components operate to maintain the entire reaction system. A shorter cycle time implies lower additional energy input and higher carbon capture efficiency per unit time, which may vary depending on specific process parameters</w:t>
      </w:r>
      <w:r>
        <w:rPr>
          <w:rFonts w:eastAsia="宋体"/>
          <w:color w:val="080000"/>
          <w:vertAlign w:val="superscript"/>
          <w:lang w:eastAsia="zh-CN"/>
        </w:rPr>
        <w:t>4</w:t>
      </w:r>
      <w:r>
        <w:rPr>
          <w:lang w:eastAsia="zh-CN"/>
        </w:rPr>
        <w:t>. Furthermore, disregarding minor and uncontrollable factors such as material replacement and equipment maintenance, the cycle time (t</w:t>
      </w:r>
      <w:r>
        <w:rPr>
          <w:i/>
          <w:iCs/>
          <w:vertAlign w:val="subscript"/>
          <w:lang w:eastAsia="zh-CN"/>
        </w:rPr>
        <w:t>cycle</w:t>
      </w:r>
      <w:r>
        <w:rPr>
          <w:lang w:eastAsia="zh-CN"/>
        </w:rPr>
        <w:t>) can be described by Equation (8).</w:t>
      </w:r>
    </w:p>
    <w:p>
      <w:pPr>
        <w:snapToGrid w:val="0"/>
        <w:spacing w:before="120" w:line="360" w:lineRule="auto"/>
        <w:jc w:val="distribute"/>
        <w:rPr>
          <w:rStyle w:val="32"/>
          <w:color w:val="auto"/>
          <w:lang w:eastAsia="zh-CN"/>
        </w:rPr>
      </w:pPr>
      <m:oMath>
        <m:sSub>
          <m:sSubPr>
            <m:ctrlPr>
              <w:rPr>
                <w:rStyle w:val="32"/>
                <w:rFonts w:ascii="Cambria Math" w:hAnsi="Cambria Math"/>
                <w:i/>
                <w:color w:val="auto"/>
              </w:rPr>
            </m:ctrlPr>
          </m:sSubPr>
          <m:e>
            <m:r>
              <m:rPr/>
              <w:rPr>
                <w:rStyle w:val="32"/>
                <w:rFonts w:ascii="Cambria Math" w:hAnsi="Cambria Math"/>
                <w:color w:val="auto"/>
              </w:rPr>
              <m:t>X</m:t>
            </m:r>
            <m:ctrlPr>
              <w:rPr>
                <w:rStyle w:val="32"/>
                <w:rFonts w:ascii="Cambria Math" w:hAnsi="Cambria Math"/>
                <w:i/>
                <w:color w:val="auto"/>
              </w:rPr>
            </m:ctrlPr>
          </m:e>
          <m:sub>
            <m:r>
              <m:rPr/>
              <w:rPr>
                <w:rStyle w:val="32"/>
                <w:rFonts w:ascii="Cambria Math" w:hAnsi="Cambria Math"/>
                <w:color w:val="auto"/>
              </w:rPr>
              <m:t>N</m:t>
            </m:r>
            <m:ctrlPr>
              <w:rPr>
                <w:rStyle w:val="32"/>
                <w:rFonts w:ascii="Cambria Math" w:hAnsi="Cambria Math"/>
                <w:i/>
                <w:color w:val="auto"/>
              </w:rPr>
            </m:ctrlPr>
          </m:sub>
        </m:sSub>
        <m:r>
          <m:rPr/>
          <w:rPr>
            <w:rStyle w:val="32"/>
            <w:rFonts w:ascii="Cambria Math" w:hAnsi="Cambria Math"/>
            <w:color w:val="auto"/>
            <w:lang w:eastAsia="zh-CN"/>
          </w:rPr>
          <m:t>=</m:t>
        </m:r>
        <m:sSub>
          <m:sSubPr>
            <m:ctrlPr>
              <w:rPr>
                <w:rStyle w:val="32"/>
                <w:rFonts w:ascii="Cambria Math" w:hAnsi="Cambria Math"/>
                <w:i/>
                <w:color w:val="auto"/>
              </w:rPr>
            </m:ctrlPr>
          </m:sSubPr>
          <m:e>
            <m:r>
              <m:rPr/>
              <w:rPr>
                <w:rStyle w:val="32"/>
                <w:rFonts w:ascii="Cambria Math" w:hAnsi="Cambria Math"/>
                <w:color w:val="auto"/>
              </w:rPr>
              <m:t>X</m:t>
            </m:r>
            <m:ctrlPr>
              <w:rPr>
                <w:rStyle w:val="32"/>
                <w:rFonts w:ascii="Cambria Math" w:hAnsi="Cambria Math"/>
                <w:i/>
                <w:color w:val="auto"/>
              </w:rPr>
            </m:ctrlPr>
          </m:e>
          <m:sub>
            <m:r>
              <m:rPr/>
              <w:rPr>
                <w:rStyle w:val="32"/>
                <w:rFonts w:ascii="Cambria Math" w:hAnsi="Cambria Math"/>
                <w:color w:val="auto"/>
                <w:lang w:eastAsia="zh-CN"/>
              </w:rPr>
              <m:t>a</m:t>
            </m:r>
            <m:ctrlPr>
              <w:rPr>
                <w:rStyle w:val="32"/>
                <w:rFonts w:ascii="Cambria Math" w:hAnsi="Cambria Math"/>
                <w:i/>
                <w:color w:val="auto"/>
              </w:rPr>
            </m:ctrlPr>
          </m:sub>
        </m:sSub>
        <m:r>
          <m:rPr/>
          <w:rPr>
            <w:rStyle w:val="32"/>
            <w:rFonts w:ascii="Cambria Math" w:hAnsi="Cambria Math"/>
            <w:color w:val="auto"/>
          </w:rPr>
          <m:t>×</m:t>
        </m:r>
        <m:sSup>
          <m:sSupPr>
            <m:ctrlPr>
              <w:rPr>
                <w:rStyle w:val="32"/>
                <w:rFonts w:ascii="Cambria Math" w:hAnsi="Cambria Math"/>
                <w:i/>
                <w:color w:val="auto"/>
              </w:rPr>
            </m:ctrlPr>
          </m:sSupPr>
          <m:e>
            <m:r>
              <m:rPr/>
              <w:rPr>
                <w:rStyle w:val="32"/>
                <w:rFonts w:ascii="Cambria Math" w:hAnsi="Cambria Math"/>
                <w:color w:val="auto"/>
              </w:rPr>
              <m:t>(1−η)</m:t>
            </m:r>
            <m:ctrlPr>
              <w:rPr>
                <w:rStyle w:val="32"/>
                <w:rFonts w:ascii="Cambria Math" w:hAnsi="Cambria Math"/>
                <w:i/>
                <w:color w:val="auto"/>
              </w:rPr>
            </m:ctrlPr>
          </m:e>
          <m:sup>
            <m:r>
              <m:rPr/>
              <w:rPr>
                <w:rStyle w:val="32"/>
                <w:rFonts w:ascii="Cambria Math" w:hAnsi="Cambria Math"/>
                <w:color w:val="auto"/>
              </w:rPr>
              <m:t>N</m:t>
            </m:r>
            <m:ctrlPr>
              <w:rPr>
                <w:rStyle w:val="32"/>
                <w:rFonts w:ascii="Cambria Math" w:hAnsi="Cambria Math"/>
                <w:i/>
                <w:color w:val="auto"/>
              </w:rPr>
            </m:ctrlPr>
          </m:sup>
        </m:sSup>
      </m:oMath>
      <w:r>
        <w:rPr>
          <w:rStyle w:val="32"/>
          <w:rFonts w:hint="eastAsia"/>
          <w:color w:val="auto"/>
          <w:lang w:eastAsia="zh-CN"/>
        </w:rPr>
        <w:t xml:space="preserve"> </w:t>
      </w:r>
      <w:r>
        <w:rPr>
          <w:rStyle w:val="32"/>
          <w:color w:val="auto"/>
          <w:lang w:eastAsia="zh-CN"/>
        </w:rPr>
        <w:t xml:space="preserve">                                          </w:t>
      </w:r>
      <w:r>
        <w:rPr>
          <w:rStyle w:val="32"/>
          <w:rFonts w:hint="eastAsia"/>
          <w:color w:val="auto"/>
          <w:lang w:eastAsia="zh-CN"/>
        </w:rPr>
        <w:t xml:space="preserve"> </w:t>
      </w:r>
      <w:r>
        <w:rPr>
          <w:rStyle w:val="32"/>
          <w:color w:val="auto"/>
          <w:lang w:eastAsia="zh-CN"/>
        </w:rPr>
        <w:t>(5)</w:t>
      </w:r>
    </w:p>
    <w:p>
      <w:pPr>
        <w:snapToGrid w:val="0"/>
        <w:spacing w:before="120" w:line="360" w:lineRule="auto"/>
        <w:jc w:val="distribute"/>
        <w:rPr>
          <w:rStyle w:val="32"/>
          <w:color w:val="auto"/>
        </w:rPr>
      </w:pPr>
      <m:oMath>
        <m:sSub>
          <m:sSubPr>
            <m:ctrlPr>
              <w:rPr>
                <w:rFonts w:ascii="Cambria Math" w:hAnsi="Cambria Math"/>
                <w:lang w:eastAsia="zh-CN"/>
              </w:rPr>
            </m:ctrlPr>
          </m:sSubPr>
          <m:e>
            <m:r>
              <m:rPr/>
              <w:rPr>
                <w:rFonts w:ascii="Cambria Math" w:hAnsi="Cambria Math"/>
                <w:lang w:eastAsia="zh-CN"/>
              </w:rPr>
              <m:t>X</m:t>
            </m:r>
            <m:ctrlPr>
              <w:rPr>
                <w:rFonts w:ascii="Cambria Math" w:hAnsi="Cambria Math"/>
                <w:lang w:eastAsia="zh-CN"/>
              </w:rPr>
            </m:ctrlPr>
          </m:e>
          <m:sub>
            <m:r>
              <m:rPr/>
              <w:rPr>
                <w:rFonts w:ascii="Cambria Math" w:hAnsi="Cambria Math"/>
                <w:lang w:eastAsia="zh-CN"/>
              </w:rPr>
              <m:t>all</m:t>
            </m:r>
            <m:ctrlPr>
              <w:rPr>
                <w:rFonts w:ascii="Cambria Math" w:hAnsi="Cambria Math"/>
                <w:lang w:eastAsia="zh-CN"/>
              </w:rPr>
            </m:ctrlPr>
          </m:sub>
        </m:sSub>
        <m:r>
          <m:rPr>
            <m:sty m:val="p"/>
          </m:rPr>
          <w:rPr>
            <w:rFonts w:ascii="Cambria Math" w:hAnsi="Cambria Math"/>
            <w:lang w:eastAsia="zh-CN"/>
          </w:rPr>
          <m:t>=</m:t>
        </m:r>
        <m:nary>
          <m:naryPr>
            <m:chr m:val="∑"/>
            <m:limLoc m:val="undOvr"/>
            <m:ctrlPr>
              <w:rPr>
                <w:rFonts w:ascii="Cambria Math" w:hAnsi="Cambria Math"/>
                <w:lang w:eastAsia="zh-CN"/>
              </w:rPr>
            </m:ctrlPr>
          </m:naryPr>
          <m:sub>
            <m:r>
              <m:rPr/>
              <w:rPr>
                <w:rFonts w:ascii="Cambria Math" w:hAnsi="Cambria Math"/>
                <w:lang w:eastAsia="zh-CN"/>
              </w:rPr>
              <m:t>k</m:t>
            </m:r>
            <m:r>
              <m:rPr>
                <m:sty m:val="p"/>
              </m:rPr>
              <w:rPr>
                <w:rFonts w:ascii="Cambria Math" w:hAnsi="Cambria Math"/>
                <w:lang w:eastAsia="zh-CN"/>
              </w:rPr>
              <m:t>=1</m:t>
            </m:r>
            <m:ctrlPr>
              <w:rPr>
                <w:rFonts w:ascii="Cambria Math" w:hAnsi="Cambria Math"/>
                <w:lang w:eastAsia="zh-CN"/>
              </w:rPr>
            </m:ctrlPr>
          </m:sub>
          <m:sup>
            <m:r>
              <m:rPr/>
              <w:rPr>
                <w:rFonts w:ascii="Cambria Math" w:hAnsi="Cambria Math"/>
                <w:lang w:eastAsia="zh-CN"/>
              </w:rPr>
              <m:t>k</m:t>
            </m:r>
            <m:r>
              <m:rPr>
                <m:sty m:val="p"/>
              </m:rPr>
              <w:rPr>
                <w:rFonts w:ascii="Cambria Math" w:hAnsi="Cambria Math"/>
                <w:lang w:eastAsia="zh-CN"/>
              </w:rPr>
              <m:t>=</m:t>
            </m:r>
            <m:r>
              <m:rPr/>
              <w:rPr>
                <w:rFonts w:ascii="Cambria Math" w:hAnsi="Cambria Math"/>
                <w:lang w:eastAsia="zh-CN"/>
              </w:rPr>
              <m:t>n</m:t>
            </m:r>
            <m:ctrlPr>
              <w:rPr>
                <w:rFonts w:ascii="Cambria Math" w:hAnsi="Cambria Math"/>
                <w:lang w:eastAsia="zh-CN"/>
              </w:rPr>
            </m:ctrlPr>
          </m:sup>
          <m:e>
            <m:sSub>
              <m:sSubPr>
                <m:ctrlPr>
                  <w:rPr>
                    <w:rFonts w:ascii="Cambria Math" w:hAnsi="Cambria Math"/>
                    <w:lang w:eastAsia="zh-CN"/>
                  </w:rPr>
                </m:ctrlPr>
              </m:sSubPr>
              <m:e>
                <m:r>
                  <m:rPr/>
                  <w:rPr>
                    <w:rFonts w:ascii="Cambria Math" w:hAnsi="Cambria Math"/>
                    <w:lang w:eastAsia="zh-CN"/>
                  </w:rPr>
                  <m:t>X</m:t>
                </m:r>
                <m:ctrlPr>
                  <w:rPr>
                    <w:rFonts w:ascii="Cambria Math" w:hAnsi="Cambria Math"/>
                    <w:lang w:eastAsia="zh-CN"/>
                  </w:rPr>
                </m:ctrlPr>
              </m:e>
              <m:sub>
                <m:r>
                  <m:rPr/>
                  <w:rPr>
                    <w:rFonts w:ascii="Cambria Math" w:hAnsi="Cambria Math"/>
                    <w:lang w:eastAsia="zh-CN"/>
                  </w:rPr>
                  <m:t>k</m:t>
                </m:r>
                <m:ctrlPr>
                  <w:rPr>
                    <w:rFonts w:ascii="Cambria Math" w:hAnsi="Cambria Math"/>
                    <w:lang w:eastAsia="zh-CN"/>
                  </w:rPr>
                </m:ctrlPr>
              </m:sub>
            </m:sSub>
            <m:ctrlPr>
              <w:rPr>
                <w:rFonts w:ascii="Cambria Math" w:hAnsi="Cambria Math"/>
                <w:lang w:eastAsia="zh-CN"/>
              </w:rPr>
            </m:ctrlPr>
          </m:e>
        </m:nary>
      </m:oMath>
      <w:r>
        <w:rPr>
          <w:rStyle w:val="32"/>
          <w:color w:val="auto"/>
          <w:lang w:eastAsia="zh-CN"/>
        </w:rPr>
        <w:t xml:space="preserve">                                        </w:t>
      </w:r>
      <w:r>
        <w:rPr>
          <w:rStyle w:val="32"/>
          <w:rFonts w:hint="eastAsia"/>
          <w:color w:val="auto"/>
          <w:lang w:eastAsia="zh-CN"/>
        </w:rPr>
        <w:t xml:space="preserve"> </w:t>
      </w:r>
      <w:r>
        <w:rPr>
          <w:rStyle w:val="32"/>
          <w:color w:val="auto"/>
          <w:lang w:eastAsia="zh-CN"/>
        </w:rPr>
        <w:t xml:space="preserve">       (6)</w:t>
      </w:r>
      <w:r>
        <w:rPr>
          <w:rFonts w:hint="eastAsia"/>
          <w:lang w:eastAsia="zh-CN"/>
        </w:rPr>
        <w:t xml:space="preserve"> </w:t>
      </w:r>
    </w:p>
    <w:p>
      <w:pPr>
        <w:snapToGrid w:val="0"/>
        <w:spacing w:before="120" w:line="360" w:lineRule="auto"/>
        <w:jc w:val="distribute"/>
        <w:rPr>
          <w:lang w:eastAsia="zh-CN"/>
        </w:rPr>
      </w:pPr>
      <m:oMath>
        <m:sSub>
          <m:sSubPr>
            <m:ctrlPr>
              <w:rPr>
                <w:rFonts w:ascii="Cambria Math" w:hAnsi="Cambria Math"/>
                <w:i/>
                <w:lang w:eastAsia="zh-CN"/>
              </w:rPr>
            </m:ctrlPr>
          </m:sSubPr>
          <m:e>
            <m:r>
              <m:rPr/>
              <w:rPr>
                <w:rFonts w:ascii="Cambria Math" w:hAnsi="Cambria Math"/>
                <w:lang w:eastAsia="zh-CN"/>
              </w:rPr>
              <m:t>C</m:t>
            </m:r>
            <m:ctrlPr>
              <w:rPr>
                <w:rFonts w:ascii="Cambria Math" w:hAnsi="Cambria Math"/>
                <w:i/>
                <w:lang w:eastAsia="zh-CN"/>
              </w:rPr>
            </m:ctrlPr>
          </m:e>
          <m:sub>
            <m:r>
              <m:rPr/>
              <w:rPr>
                <w:rFonts w:ascii="Cambria Math" w:hAnsi="Cambria Math"/>
                <w:lang w:eastAsia="zh-CN"/>
              </w:rPr>
              <m:t>amine</m:t>
            </m:r>
            <m:ctrlPr>
              <w:rPr>
                <w:rFonts w:ascii="Cambria Math" w:hAnsi="Cambria Math"/>
                <w:i/>
                <w:lang w:eastAsia="zh-CN"/>
              </w:rPr>
            </m:ctrlPr>
          </m:sub>
        </m:sSub>
        <m:r>
          <m:rPr/>
          <w:rPr>
            <w:rFonts w:ascii="Cambria Math" w:hAnsi="Cambria Math"/>
            <w:lang w:eastAsia="zh-CN"/>
          </w:rPr>
          <m:t>=</m:t>
        </m:r>
        <m:sSub>
          <m:sSubPr>
            <m:ctrlPr>
              <w:rPr>
                <w:rFonts w:ascii="Cambria Math" w:hAnsi="Cambria Math"/>
                <w:i/>
                <w:lang w:eastAsia="zh-CN"/>
              </w:rPr>
            </m:ctrlPr>
          </m:sSubPr>
          <m:e>
            <m:r>
              <m:rPr/>
              <w:rPr>
                <w:rFonts w:ascii="Cambria Math" w:hAnsi="Cambria Math"/>
                <w:lang w:eastAsia="zh-CN"/>
              </w:rPr>
              <m:t>(</m:t>
            </m:r>
            <m:r>
              <m:rPr/>
              <w:rPr>
                <w:rFonts w:hint="eastAsia" w:ascii="Cambria Math" w:hAnsi="Cambria Math"/>
                <w:lang w:eastAsia="zh-CN"/>
              </w:rPr>
              <m:t>m</m:t>
            </m:r>
            <m:ctrlPr>
              <w:rPr>
                <w:rFonts w:ascii="Cambria Math" w:hAnsi="Cambria Math"/>
                <w:i/>
                <w:lang w:eastAsia="zh-CN"/>
              </w:rPr>
            </m:ctrlPr>
          </m:e>
          <m:sub>
            <m:r>
              <m:rPr/>
              <w:rPr>
                <w:rFonts w:hint="eastAsia" w:ascii="Cambria Math" w:hAnsi="Cambria Math"/>
                <w:lang w:eastAsia="zh-CN"/>
              </w:rPr>
              <m:t>adsorbent</m:t>
            </m:r>
            <m:ctrlPr>
              <w:rPr>
                <w:rFonts w:ascii="Cambria Math" w:hAnsi="Cambria Math"/>
                <w:i/>
                <w:lang w:eastAsia="zh-CN"/>
              </w:rPr>
            </m:ctrlPr>
          </m:sub>
        </m:sSub>
        <m:r>
          <m:rPr>
            <m:sty m:val="p"/>
          </m:rPr>
          <w:rPr>
            <w:rFonts w:ascii="Cambria Math" w:hAnsi="Cambria Math"/>
            <w:lang w:eastAsia="zh-CN"/>
          </w:rPr>
          <m:t>×wt.%)</m:t>
        </m:r>
        <m:r>
          <m:rPr>
            <m:sty m:val="p"/>
          </m:rPr>
          <w:rPr>
            <w:rFonts w:ascii="Cambria Math"/>
            <w:lang w:eastAsia="zh-CN"/>
          </w:rPr>
          <m:t>/</m:t>
        </m:r>
        <m:sSub>
          <m:sSubPr>
            <m:ctrlPr>
              <w:rPr>
                <w:rFonts w:ascii="Cambria Math" w:hAnsi="Cambria Math"/>
                <w:lang w:eastAsia="zh-CN"/>
              </w:rPr>
            </m:ctrlPr>
          </m:sSubPr>
          <m:e>
            <m:r>
              <m:rPr/>
              <w:rPr>
                <w:rFonts w:ascii="Cambria Math" w:hAnsi="Cambria Math"/>
                <w:lang w:eastAsia="zh-CN"/>
              </w:rPr>
              <m:t>X</m:t>
            </m:r>
            <m:ctrlPr>
              <w:rPr>
                <w:rFonts w:ascii="Cambria Math" w:hAnsi="Cambria Math"/>
                <w:lang w:eastAsia="zh-CN"/>
              </w:rPr>
            </m:ctrlPr>
          </m:e>
          <m:sub>
            <m:r>
              <m:rPr/>
              <w:rPr>
                <w:rFonts w:ascii="Cambria Math" w:hAnsi="Cambria Math"/>
                <w:lang w:eastAsia="zh-CN"/>
              </w:rPr>
              <m:t>all</m:t>
            </m:r>
            <m:ctrlPr>
              <w:rPr>
                <w:rFonts w:ascii="Cambria Math" w:hAnsi="Cambria Math"/>
                <w:lang w:eastAsia="zh-CN"/>
              </w:rPr>
            </m:ctrlPr>
          </m:sub>
        </m:sSub>
      </m:oMath>
      <w:r>
        <w:rPr>
          <w:rStyle w:val="32"/>
          <w:color w:val="auto"/>
          <w:lang w:eastAsia="zh-CN"/>
        </w:rPr>
        <w:t xml:space="preserve">                                   (7)</w:t>
      </w:r>
      <w:r>
        <w:rPr>
          <w:rFonts w:hint="eastAsia"/>
          <w:lang w:eastAsia="zh-CN"/>
        </w:rPr>
        <w:t xml:space="preserve"> </w:t>
      </w:r>
    </w:p>
    <w:p>
      <w:pPr>
        <w:snapToGrid w:val="0"/>
        <w:spacing w:before="120" w:line="360" w:lineRule="auto"/>
        <w:jc w:val="distribute"/>
        <w:rPr>
          <w:lang w:eastAsia="zh-CN"/>
        </w:rPr>
      </w:pPr>
      <m:oMath>
        <m:sSub>
          <m:sSubPr>
            <m:ctrlPr>
              <w:rPr>
                <w:rFonts w:ascii="Cambria Math" w:hAnsi="Cambria Math"/>
                <w:i/>
                <w:lang w:eastAsia="zh-CN"/>
              </w:rPr>
            </m:ctrlPr>
          </m:sSubPr>
          <m:e>
            <m:r>
              <m:rPr/>
              <w:rPr>
                <w:rFonts w:ascii="Cambria Math" w:hAnsi="Cambria Math"/>
                <w:lang w:eastAsia="zh-CN"/>
              </w:rPr>
              <m:t>t</m:t>
            </m:r>
            <m:ctrlPr>
              <w:rPr>
                <w:rFonts w:ascii="Cambria Math" w:hAnsi="Cambria Math"/>
                <w:i/>
                <w:lang w:eastAsia="zh-CN"/>
              </w:rPr>
            </m:ctrlPr>
          </m:e>
          <m:sub>
            <m:r>
              <m:rPr/>
              <w:rPr>
                <w:rFonts w:ascii="Cambria Math" w:hAnsi="Cambria Math"/>
                <w:lang w:eastAsia="zh-CN"/>
              </w:rPr>
              <m:t>cycle</m:t>
            </m:r>
            <m:ctrlPr>
              <w:rPr>
                <w:rFonts w:ascii="Cambria Math" w:hAnsi="Cambria Math"/>
                <w:i/>
                <w:lang w:eastAsia="zh-CN"/>
              </w:rPr>
            </m:ctrlPr>
          </m:sub>
        </m:sSub>
        <m:r>
          <m:rPr/>
          <w:rPr>
            <w:rFonts w:ascii="Cambria Math" w:hAnsi="Cambria Math"/>
            <w:lang w:eastAsia="zh-CN"/>
          </w:rPr>
          <m:t>=</m:t>
        </m:r>
        <m:sSub>
          <m:sSubPr>
            <m:ctrlPr>
              <w:rPr>
                <w:rFonts w:ascii="Cambria Math" w:hAnsi="Cambria Math"/>
                <w:i/>
                <w:lang w:eastAsia="zh-CN"/>
              </w:rPr>
            </m:ctrlPr>
          </m:sSubPr>
          <m:e>
            <m:r>
              <m:rPr/>
              <w:rPr>
                <w:rFonts w:ascii="Cambria Math" w:hAnsi="Cambria Math"/>
                <w:lang w:eastAsia="zh-CN"/>
              </w:rPr>
              <m:t>t</m:t>
            </m:r>
            <m:ctrlPr>
              <w:rPr>
                <w:rFonts w:ascii="Cambria Math" w:hAnsi="Cambria Math"/>
                <w:i/>
                <w:lang w:eastAsia="zh-CN"/>
              </w:rPr>
            </m:ctrlPr>
          </m:e>
          <m:sub>
            <m:r>
              <m:rPr/>
              <w:rPr>
                <w:rFonts w:ascii="Cambria Math" w:hAnsi="Cambria Math"/>
                <w:lang w:eastAsia="zh-CN"/>
              </w:rPr>
              <m:t>a</m:t>
            </m:r>
            <m:ctrlPr>
              <w:rPr>
                <w:rFonts w:ascii="Cambria Math" w:hAnsi="Cambria Math"/>
                <w:i/>
                <w:lang w:eastAsia="zh-CN"/>
              </w:rPr>
            </m:ctrlPr>
          </m:sub>
        </m:sSub>
        <m:r>
          <m:rPr/>
          <w:rPr>
            <w:rFonts w:ascii="Cambria Math" w:hAnsi="Cambria Math"/>
            <w:lang w:eastAsia="zh-CN"/>
          </w:rPr>
          <m:t>+</m:t>
        </m:r>
        <m:sSub>
          <m:sSubPr>
            <m:ctrlPr>
              <w:rPr>
                <w:rFonts w:ascii="Cambria Math" w:hAnsi="Cambria Math"/>
                <w:i/>
                <w:lang w:eastAsia="zh-CN"/>
              </w:rPr>
            </m:ctrlPr>
          </m:sSubPr>
          <m:e>
            <m:r>
              <m:rPr/>
              <w:rPr>
                <w:rFonts w:ascii="Cambria Math" w:hAnsi="Cambria Math"/>
                <w:lang w:eastAsia="zh-CN"/>
              </w:rPr>
              <m:t>t</m:t>
            </m:r>
            <m:ctrlPr>
              <w:rPr>
                <w:rFonts w:ascii="Cambria Math" w:hAnsi="Cambria Math"/>
                <w:i/>
                <w:lang w:eastAsia="zh-CN"/>
              </w:rPr>
            </m:ctrlPr>
          </m:e>
          <m:sub>
            <m:r>
              <m:rPr/>
              <w:rPr>
                <w:rFonts w:ascii="Cambria Math" w:hAnsi="Cambria Math"/>
                <w:lang w:eastAsia="zh-CN"/>
              </w:rPr>
              <m:t>d</m:t>
            </m:r>
            <m:ctrlPr>
              <w:rPr>
                <w:rFonts w:ascii="Cambria Math" w:hAnsi="Cambria Math"/>
                <w:i/>
                <w:lang w:eastAsia="zh-CN"/>
              </w:rPr>
            </m:ctrlPr>
          </m:sub>
        </m:sSub>
      </m:oMath>
      <w:r>
        <w:rPr>
          <w:rStyle w:val="32"/>
          <w:color w:val="auto"/>
          <w:lang w:eastAsia="zh-CN"/>
        </w:rPr>
        <w:t xml:space="preserve">                                        </w:t>
      </w:r>
      <w:r>
        <w:rPr>
          <w:rStyle w:val="32"/>
          <w:rFonts w:hint="eastAsia"/>
          <w:color w:val="auto"/>
          <w:lang w:eastAsia="zh-CN"/>
        </w:rPr>
        <w:t xml:space="preserve"> </w:t>
      </w:r>
      <w:r>
        <w:rPr>
          <w:rStyle w:val="32"/>
          <w:color w:val="auto"/>
          <w:lang w:eastAsia="zh-CN"/>
        </w:rPr>
        <w:t xml:space="preserve">        (8)</w:t>
      </w:r>
      <w:r>
        <w:rPr>
          <w:rFonts w:hint="eastAsia"/>
          <w:lang w:eastAsia="zh-CN"/>
        </w:rPr>
        <w:t xml:space="preserve"> </w:t>
      </w:r>
    </w:p>
    <w:p>
      <w:pPr>
        <w:snapToGrid w:val="0"/>
        <w:jc w:val="center"/>
        <w:rPr>
          <w:rStyle w:val="18"/>
        </w:rPr>
      </w:pPr>
    </w:p>
    <w:p>
      <w:pPr>
        <w:snapToGrid w:val="0"/>
        <w:jc w:val="center"/>
        <w:rPr>
          <w:lang w:eastAsia="zh-CN"/>
        </w:rPr>
      </w:pPr>
      <w:r>
        <w:rPr>
          <w:rStyle w:val="18"/>
        </w:rPr>
        <w:drawing>
          <wp:inline distT="0" distB="0" distL="114300" distR="114300">
            <wp:extent cx="5760085" cy="2197100"/>
            <wp:effectExtent l="0" t="0" r="12065" b="12700"/>
            <wp:docPr id="18" name="图片 18" descr="Fig.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Fig.S5"/>
                    <pic:cNvPicPr>
                      <a:picLocks noChangeAspect="1"/>
                    </pic:cNvPicPr>
                  </pic:nvPicPr>
                  <pic:blipFill>
                    <a:blip r:embed="rId10"/>
                    <a:srcRect t="23077" b="29222"/>
                    <a:stretch>
                      <a:fillRect/>
                    </a:stretch>
                  </pic:blipFill>
                  <pic:spPr>
                    <a:xfrm>
                      <a:off x="0" y="0"/>
                      <a:ext cx="5760085" cy="2197100"/>
                    </a:xfrm>
                    <a:prstGeom prst="rect">
                      <a:avLst/>
                    </a:prstGeom>
                  </pic:spPr>
                </pic:pic>
              </a:graphicData>
            </a:graphic>
          </wp:inline>
        </w:drawing>
      </w:r>
    </w:p>
    <w:p>
      <w:pPr>
        <w:snapToGrid w:val="0"/>
        <w:spacing w:before="120" w:line="360" w:lineRule="auto"/>
        <w:rPr>
          <w:lang w:eastAsia="zh-CN"/>
        </w:rPr>
      </w:pPr>
      <w:r>
        <w:rPr>
          <w:b/>
          <w:bCs/>
          <w:lang w:val="en-GB"/>
        </w:rPr>
        <w:t xml:space="preserve">Supplementary Figure </w:t>
      </w:r>
      <w:r>
        <w:rPr>
          <w:rFonts w:hint="eastAsia"/>
          <w:b/>
          <w:bCs/>
          <w:lang w:eastAsia="zh-CN"/>
        </w:rPr>
        <w:t xml:space="preserve">7 </w:t>
      </w:r>
      <w:r>
        <w:rPr>
          <w:b/>
          <w:bCs/>
          <w:lang w:val="en-GB" w:eastAsia="zh-CN"/>
        </w:rPr>
        <w:t xml:space="preserve">| </w:t>
      </w:r>
      <w:r>
        <w:rPr>
          <w:b/>
          <w:bCs/>
          <w:lang w:eastAsia="zh-CN"/>
        </w:rPr>
        <w:t xml:space="preserve">Characteristic change </w:t>
      </w:r>
      <w:r>
        <w:rPr>
          <w:rFonts w:hint="eastAsia"/>
          <w:b/>
          <w:bCs/>
          <w:lang w:eastAsia="zh-CN"/>
        </w:rPr>
        <w:t>of PEI-functionalized MIL-101</w:t>
      </w:r>
      <w:r>
        <w:rPr>
          <w:rFonts w:hint="eastAsia" w:eastAsia="黑体"/>
          <w:b/>
          <w:kern w:val="2"/>
          <w:szCs w:val="21"/>
          <w:lang w:eastAsia="zh-CN"/>
        </w:rPr>
        <w:t>(Cr)</w:t>
      </w:r>
      <w:r>
        <w:rPr>
          <w:rFonts w:hint="eastAsia"/>
          <w:b/>
          <w:bCs/>
          <w:lang w:eastAsia="zh-CN"/>
        </w:rPr>
        <w:t xml:space="preserve"> adsorbent before and</w:t>
      </w:r>
      <w:r>
        <w:rPr>
          <w:b/>
          <w:bCs/>
          <w:lang w:eastAsia="zh-CN"/>
        </w:rPr>
        <w:t xml:space="preserve"> </w:t>
      </w:r>
      <w:r>
        <w:rPr>
          <w:rFonts w:hint="eastAsia"/>
          <w:b/>
          <w:bCs/>
          <w:lang w:eastAsia="zh-CN"/>
        </w:rPr>
        <w:t>after washing. a</w:t>
      </w:r>
      <w:r>
        <w:rPr>
          <w:b/>
          <w:bCs/>
          <w:lang w:eastAsia="zh-CN"/>
        </w:rPr>
        <w:t>,</w:t>
      </w:r>
      <w:r>
        <w:rPr>
          <w:rFonts w:hint="eastAsia"/>
          <w:lang w:eastAsia="zh-CN"/>
        </w:rPr>
        <w:t xml:space="preserve"> </w:t>
      </w:r>
      <w:r>
        <w:rPr>
          <w:lang w:eastAsia="zh-CN"/>
        </w:rPr>
        <w:t>T</w:t>
      </w:r>
      <w:r>
        <w:rPr>
          <w:rFonts w:hint="eastAsia"/>
          <w:lang w:eastAsia="zh-CN"/>
        </w:rPr>
        <w:t xml:space="preserve">he N content </w:t>
      </w:r>
      <w:r>
        <w:rPr>
          <w:lang w:eastAsia="zh-CN"/>
        </w:rPr>
        <w:t xml:space="preserve">change in </w:t>
      </w:r>
      <w:r>
        <w:rPr>
          <w:rFonts w:hint="eastAsia"/>
          <w:lang w:eastAsia="zh-CN"/>
        </w:rPr>
        <w:t>PEI-functionalized MIL-101</w:t>
      </w:r>
      <w:r>
        <w:rPr>
          <w:rFonts w:hint="eastAsia" w:eastAsia="黑体"/>
          <w:kern w:val="2"/>
          <w:szCs w:val="21"/>
          <w:lang w:eastAsia="zh-CN"/>
        </w:rPr>
        <w:t>(Cr)</w:t>
      </w:r>
      <w:r>
        <w:rPr>
          <w:rFonts w:hint="eastAsia"/>
          <w:lang w:eastAsia="zh-CN"/>
        </w:rPr>
        <w:t xml:space="preserve"> adsorbent</w:t>
      </w:r>
      <w:r>
        <w:rPr>
          <w:lang w:eastAsia="zh-CN"/>
        </w:rPr>
        <w:t>.</w:t>
      </w:r>
      <w:r>
        <w:rPr>
          <w:rFonts w:hint="eastAsia"/>
          <w:lang w:eastAsia="zh-CN"/>
        </w:rPr>
        <w:t xml:space="preserve"> </w:t>
      </w:r>
      <w:r>
        <w:rPr>
          <w:b/>
          <w:bCs/>
          <w:lang w:eastAsia="zh-CN"/>
        </w:rPr>
        <w:t>b,</w:t>
      </w:r>
      <w:r>
        <w:rPr>
          <w:rFonts w:hint="eastAsia"/>
          <w:lang w:eastAsia="zh-CN"/>
        </w:rPr>
        <w:t xml:space="preserve"> Consumed pore volume </w:t>
      </w:r>
      <w:r>
        <w:rPr>
          <w:lang w:eastAsia="zh-CN"/>
        </w:rPr>
        <w:t xml:space="preserve">change of </w:t>
      </w:r>
      <w:r>
        <w:rPr>
          <w:rFonts w:hint="eastAsia"/>
          <w:lang w:eastAsia="zh-CN"/>
        </w:rPr>
        <w:t>PEI-functionalized MIL-101</w:t>
      </w:r>
      <w:r>
        <w:rPr>
          <w:rFonts w:hint="eastAsia" w:eastAsia="黑体"/>
          <w:kern w:val="2"/>
          <w:szCs w:val="21"/>
          <w:lang w:eastAsia="zh-CN"/>
        </w:rPr>
        <w:t>(Cr)</w:t>
      </w:r>
      <w:r>
        <w:rPr>
          <w:rFonts w:hint="eastAsia"/>
          <w:lang w:eastAsia="zh-CN"/>
        </w:rPr>
        <w:t xml:space="preserve"> adsorbent.</w:t>
      </w:r>
      <w:r>
        <w:rPr>
          <w:lang w:eastAsia="zh-CN"/>
        </w:rPr>
        <w:br w:type="page"/>
      </w:r>
    </w:p>
    <w:p>
      <w:pPr>
        <w:snapToGrid w:val="0"/>
        <w:spacing w:before="120" w:line="360" w:lineRule="auto"/>
        <w:jc w:val="center"/>
        <w:rPr>
          <w:lang w:eastAsia="zh-CN"/>
        </w:rPr>
      </w:pPr>
      <w:r>
        <w:rPr>
          <w:rFonts w:hint="eastAsia"/>
          <w:lang w:eastAsia="zh-CN"/>
        </w:rPr>
        <w:drawing>
          <wp:inline distT="0" distB="0" distL="114300" distR="114300">
            <wp:extent cx="5339715" cy="3971925"/>
            <wp:effectExtent l="0" t="0" r="13335" b="9525"/>
            <wp:docPr id="3" name="图片 3" descr="Fig.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S6"/>
                    <pic:cNvPicPr>
                      <a:picLocks noChangeAspect="1"/>
                    </pic:cNvPicPr>
                  </pic:nvPicPr>
                  <pic:blipFill>
                    <a:blip r:embed="rId11"/>
                    <a:srcRect t="4190" r="1140" b="3852"/>
                    <a:stretch>
                      <a:fillRect/>
                    </a:stretch>
                  </pic:blipFill>
                  <pic:spPr>
                    <a:xfrm>
                      <a:off x="0" y="0"/>
                      <a:ext cx="5339715" cy="3971925"/>
                    </a:xfrm>
                    <a:prstGeom prst="rect">
                      <a:avLst/>
                    </a:prstGeom>
                  </pic:spPr>
                </pic:pic>
              </a:graphicData>
            </a:graphic>
          </wp:inline>
        </w:drawing>
      </w:r>
    </w:p>
    <w:p>
      <w:pPr>
        <w:snapToGrid w:val="0"/>
        <w:spacing w:before="120" w:line="360" w:lineRule="auto"/>
        <w:rPr>
          <w:lang w:eastAsia="zh-CN"/>
        </w:rPr>
      </w:pPr>
      <w:r>
        <w:rPr>
          <w:b/>
          <w:bCs/>
          <w:lang w:val="en-GB"/>
        </w:rPr>
        <w:t xml:space="preserve">Supplementary Figure </w:t>
      </w:r>
      <w:r>
        <w:rPr>
          <w:rFonts w:hint="eastAsia"/>
          <w:b/>
          <w:bCs/>
          <w:lang w:eastAsia="zh-CN"/>
        </w:rPr>
        <w:t xml:space="preserve">8 </w:t>
      </w:r>
      <w:r>
        <w:rPr>
          <w:b/>
          <w:bCs/>
          <w:lang w:val="en-GB" w:eastAsia="zh-CN"/>
        </w:rPr>
        <w:t xml:space="preserve">| </w:t>
      </w:r>
      <w:r>
        <w:rPr>
          <w:rFonts w:hint="eastAsia"/>
          <w:lang w:eastAsia="zh-CN"/>
        </w:rPr>
        <w:t>Test rig for check</w:t>
      </w:r>
      <w:r>
        <w:rPr>
          <w:lang w:eastAsia="zh-CN"/>
        </w:rPr>
        <w:t>ing</w:t>
      </w:r>
      <w:r>
        <w:rPr>
          <w:rFonts w:hint="eastAsia"/>
          <w:lang w:eastAsia="zh-CN"/>
        </w:rPr>
        <w:t xml:space="preserve"> </w:t>
      </w:r>
      <w:r>
        <w:rPr>
          <w:lang w:eastAsia="zh-CN"/>
        </w:rPr>
        <w:t xml:space="preserve">the </w:t>
      </w:r>
      <w:r>
        <w:rPr>
          <w:rFonts w:hint="eastAsia"/>
          <w:lang w:eastAsia="zh-CN"/>
        </w:rPr>
        <w:t>urea distribution in PEI-functionalized MIL</w:t>
      </w:r>
      <w:r>
        <w:rPr>
          <w:rFonts w:hint="eastAsia" w:eastAsia="黑体"/>
          <w:kern w:val="2"/>
          <w:szCs w:val="21"/>
          <w:lang w:eastAsia="zh-CN"/>
        </w:rPr>
        <w:t>(Cr)</w:t>
      </w:r>
      <w:r>
        <w:rPr>
          <w:rFonts w:hint="eastAsia"/>
          <w:lang w:eastAsia="zh-CN"/>
        </w:rPr>
        <w:t xml:space="preserve"> adsorbent </w:t>
      </w:r>
      <w:r>
        <w:rPr>
          <w:lang w:eastAsia="zh-CN"/>
        </w:rPr>
        <w:t xml:space="preserve">(using a </w:t>
      </w:r>
      <w:r>
        <w:rPr>
          <w:rFonts w:hint="eastAsia"/>
          <w:vertAlign w:val="superscript"/>
          <w:lang w:eastAsia="zh-CN"/>
        </w:rPr>
        <w:t>13</w:t>
      </w:r>
      <w:r>
        <w:rPr>
          <w:rFonts w:hint="eastAsia"/>
          <w:lang w:eastAsia="zh-CN"/>
        </w:rPr>
        <w:t>CO</w:t>
      </w:r>
      <w:r>
        <w:rPr>
          <w:rFonts w:hint="eastAsia"/>
          <w:vertAlign w:val="subscript"/>
          <w:lang w:eastAsia="zh-CN"/>
        </w:rPr>
        <w:t>2</w:t>
      </w:r>
      <w:r>
        <w:rPr>
          <w:rFonts w:hint="eastAsia"/>
          <w:lang w:eastAsia="zh-CN"/>
        </w:rPr>
        <w:t xml:space="preserve"> gas</w:t>
      </w:r>
      <w:r>
        <w:rPr>
          <w:lang w:eastAsia="zh-CN"/>
        </w:rPr>
        <w:t>)</w:t>
      </w:r>
      <w:r>
        <w:rPr>
          <w:rFonts w:hint="eastAsia"/>
          <w:lang w:eastAsia="zh-CN"/>
        </w:rPr>
        <w:t>.</w:t>
      </w:r>
      <w:r>
        <w:rPr>
          <w:lang w:eastAsia="zh-CN"/>
        </w:rPr>
        <w:br w:type="page"/>
      </w:r>
    </w:p>
    <w:p>
      <w:pPr>
        <w:snapToGrid w:val="0"/>
        <w:rPr>
          <w:lang w:eastAsia="zh-CN"/>
        </w:rPr>
      </w:pPr>
    </w:p>
    <w:p>
      <w:pPr>
        <w:snapToGrid w:val="0"/>
        <w:jc w:val="center"/>
        <w:rPr>
          <w:lang w:eastAsia="zh-CN"/>
        </w:rPr>
      </w:pPr>
      <w:r>
        <w:rPr>
          <w:rStyle w:val="18"/>
        </w:rPr>
        <w:drawing>
          <wp:inline distT="0" distB="0" distL="114300" distR="114300">
            <wp:extent cx="3924300" cy="3017520"/>
            <wp:effectExtent l="0" t="0" r="0" b="11430"/>
            <wp:docPr id="20" name="图片 20" descr="Fig.S8-tofsi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Fig.S8-tofsims"/>
                    <pic:cNvPicPr>
                      <a:picLocks noChangeAspect="1"/>
                    </pic:cNvPicPr>
                  </pic:nvPicPr>
                  <pic:blipFill>
                    <a:blip r:embed="rId12"/>
                    <a:stretch>
                      <a:fillRect/>
                    </a:stretch>
                  </pic:blipFill>
                  <pic:spPr>
                    <a:xfrm>
                      <a:off x="0" y="0"/>
                      <a:ext cx="3924300" cy="3017520"/>
                    </a:xfrm>
                    <a:prstGeom prst="rect">
                      <a:avLst/>
                    </a:prstGeom>
                  </pic:spPr>
                </pic:pic>
              </a:graphicData>
            </a:graphic>
          </wp:inline>
        </w:drawing>
      </w:r>
    </w:p>
    <w:p>
      <w:pPr>
        <w:snapToGrid w:val="0"/>
        <w:spacing w:before="120" w:line="360" w:lineRule="auto"/>
        <w:rPr>
          <w:lang w:eastAsia="zh-CN"/>
        </w:rPr>
      </w:pPr>
      <w:r>
        <w:rPr>
          <w:b/>
          <w:bCs/>
          <w:lang w:val="en-GB"/>
        </w:rPr>
        <w:t xml:space="preserve">Supplementary Figure </w:t>
      </w:r>
      <w:r>
        <w:rPr>
          <w:rFonts w:hint="eastAsia"/>
          <w:b/>
          <w:bCs/>
          <w:lang w:eastAsia="zh-CN"/>
        </w:rPr>
        <w:t xml:space="preserve">9 </w:t>
      </w:r>
      <w:r>
        <w:rPr>
          <w:b/>
          <w:bCs/>
          <w:lang w:val="en-GB" w:eastAsia="zh-CN"/>
        </w:rPr>
        <w:t xml:space="preserve">| </w:t>
      </w:r>
      <w:r>
        <w:rPr>
          <w:rFonts w:hint="eastAsia"/>
          <w:lang w:eastAsia="zh-CN"/>
        </w:rPr>
        <w:t>TOF</w:t>
      </w:r>
      <w:r>
        <w:t>-SIMS</w:t>
      </w:r>
      <w:r>
        <w:rPr>
          <w:rFonts w:hint="eastAsia"/>
          <w:lang w:eastAsia="zh-CN"/>
        </w:rPr>
        <w:t xml:space="preserve"> </w:t>
      </w:r>
      <w:r>
        <w:rPr>
          <w:rFonts w:hint="eastAsia"/>
        </w:rPr>
        <w:t xml:space="preserve">of </w:t>
      </w:r>
      <w:r>
        <w:rPr>
          <w:rFonts w:hint="eastAsia"/>
          <w:vertAlign w:val="superscript"/>
        </w:rPr>
        <w:t>13</w:t>
      </w:r>
      <w:r>
        <w:rPr>
          <w:rFonts w:hint="eastAsia"/>
        </w:rPr>
        <w:t>C secondary ion (urea distribution)</w:t>
      </w:r>
      <w:r>
        <w:t xml:space="preserve"> depth profiles through an originally 60 frames.</w:t>
      </w:r>
      <w:r>
        <w:rPr>
          <w:rFonts w:hint="eastAsia"/>
          <w:lang w:eastAsia="zh-CN"/>
        </w:rPr>
        <w:br w:type="page"/>
      </w:r>
    </w:p>
    <w:p>
      <w:pPr>
        <w:snapToGrid w:val="0"/>
        <w:jc w:val="center"/>
        <w:rPr>
          <w:lang w:eastAsia="zh-CN"/>
        </w:rPr>
      </w:pPr>
      <w:r>
        <w:rPr>
          <w:lang w:eastAsia="zh-CN"/>
        </w:rPr>
        <w:drawing>
          <wp:inline distT="0" distB="0" distL="114300" distR="114300">
            <wp:extent cx="5227320" cy="2332355"/>
            <wp:effectExtent l="0" t="0" r="11430" b="10795"/>
            <wp:docPr id="21" name="图片 21" descr="Fig.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Fig.S8"/>
                    <pic:cNvPicPr>
                      <a:picLocks noChangeAspect="1"/>
                    </pic:cNvPicPr>
                  </pic:nvPicPr>
                  <pic:blipFill>
                    <a:blip r:embed="rId13"/>
                    <a:srcRect l="4761" t="27374" r="2986" b="21156"/>
                    <a:stretch>
                      <a:fillRect/>
                    </a:stretch>
                  </pic:blipFill>
                  <pic:spPr>
                    <a:xfrm>
                      <a:off x="0" y="0"/>
                      <a:ext cx="5227320" cy="2332355"/>
                    </a:xfrm>
                    <a:prstGeom prst="rect">
                      <a:avLst/>
                    </a:prstGeom>
                  </pic:spPr>
                </pic:pic>
              </a:graphicData>
            </a:graphic>
          </wp:inline>
        </w:drawing>
      </w:r>
    </w:p>
    <w:p>
      <w:pPr>
        <w:snapToGrid w:val="0"/>
        <w:spacing w:before="120" w:after="240" w:line="360" w:lineRule="auto"/>
        <w:rPr>
          <w:lang w:eastAsia="zh-CN"/>
        </w:rPr>
      </w:pPr>
      <w:r>
        <w:rPr>
          <w:b/>
          <w:bCs/>
          <w:lang w:val="en-GB"/>
        </w:rPr>
        <w:t xml:space="preserve">Supplementary Figure </w:t>
      </w:r>
      <w:r>
        <w:rPr>
          <w:rFonts w:hint="eastAsia"/>
          <w:b/>
          <w:bCs/>
          <w:lang w:eastAsia="zh-CN"/>
        </w:rPr>
        <w:t xml:space="preserve">10 </w:t>
      </w:r>
      <w:r>
        <w:rPr>
          <w:b/>
          <w:bCs/>
          <w:lang w:val="en-GB" w:eastAsia="zh-CN"/>
        </w:rPr>
        <w:t xml:space="preserve">| </w:t>
      </w:r>
      <w:r>
        <w:rPr>
          <w:szCs w:val="21"/>
        </w:rPr>
        <w:t>T</w:t>
      </w:r>
      <w:r>
        <w:rPr>
          <w:rFonts w:hint="eastAsia"/>
          <w:szCs w:val="21"/>
        </w:rPr>
        <w:t xml:space="preserve">he solid-phase </w:t>
      </w:r>
      <w:r>
        <w:rPr>
          <w:rFonts w:hint="eastAsia"/>
          <w:szCs w:val="21"/>
          <w:vertAlign w:val="superscript"/>
        </w:rPr>
        <w:t>13</w:t>
      </w:r>
      <w:r>
        <w:rPr>
          <w:rFonts w:hint="eastAsia"/>
          <w:szCs w:val="21"/>
        </w:rPr>
        <w:t>C NMR spectra of</w:t>
      </w:r>
      <w:r>
        <w:rPr>
          <w:rFonts w:hint="eastAsia"/>
          <w:szCs w:val="21"/>
          <w:lang w:eastAsia="zh-CN"/>
        </w:rPr>
        <w:t xml:space="preserve"> </w:t>
      </w:r>
      <w:r>
        <w:rPr>
          <w:b/>
          <w:bCs/>
          <w:szCs w:val="21"/>
          <w:lang w:eastAsia="zh-CN"/>
        </w:rPr>
        <w:t>a</w:t>
      </w:r>
      <w:r>
        <w:rPr>
          <w:szCs w:val="21"/>
          <w:lang w:eastAsia="zh-CN"/>
        </w:rPr>
        <w:t xml:space="preserve"> </w:t>
      </w:r>
      <w:r>
        <w:rPr>
          <w:rFonts w:hint="eastAsia"/>
          <w:szCs w:val="21"/>
          <w:lang w:eastAsia="zh-CN"/>
        </w:rPr>
        <w:t>55%PEI@SiO</w:t>
      </w:r>
      <w:r>
        <w:rPr>
          <w:rFonts w:hint="eastAsia"/>
          <w:szCs w:val="21"/>
          <w:vertAlign w:val="subscript"/>
          <w:lang w:eastAsia="zh-CN"/>
        </w:rPr>
        <w:t>2</w:t>
      </w:r>
      <w:r>
        <w:rPr>
          <w:rFonts w:hint="eastAsia"/>
          <w:szCs w:val="21"/>
          <w:lang w:eastAsia="zh-CN"/>
        </w:rPr>
        <w:t xml:space="preserve"> and </w:t>
      </w:r>
      <w:r>
        <w:rPr>
          <w:b/>
          <w:bCs/>
          <w:szCs w:val="21"/>
          <w:lang w:eastAsia="zh-CN"/>
        </w:rPr>
        <w:t>b</w:t>
      </w:r>
      <w:r>
        <w:rPr>
          <w:szCs w:val="21"/>
          <w:lang w:eastAsia="zh-CN"/>
        </w:rPr>
        <w:t xml:space="preserve"> </w:t>
      </w:r>
      <w:r>
        <w:rPr>
          <w:rFonts w:hint="eastAsia"/>
          <w:szCs w:val="21"/>
          <w:lang w:eastAsia="zh-CN"/>
        </w:rPr>
        <w:t>PEI-functionalized MIL-101</w:t>
      </w:r>
      <w:r>
        <w:rPr>
          <w:rFonts w:hint="eastAsia" w:eastAsia="黑体"/>
          <w:kern w:val="2"/>
          <w:szCs w:val="21"/>
          <w:lang w:eastAsia="zh-CN"/>
        </w:rPr>
        <w:t>(Cr)</w:t>
      </w:r>
      <w:r>
        <w:rPr>
          <w:rFonts w:hint="eastAsia"/>
          <w:szCs w:val="21"/>
          <w:lang w:eastAsia="zh-CN"/>
        </w:rPr>
        <w:t xml:space="preserve"> adsorbents.</w:t>
      </w:r>
    </w:p>
    <w:p>
      <w:pPr>
        <w:rPr>
          <w:lang w:eastAsia="zh-CN"/>
        </w:rPr>
      </w:pPr>
      <w:r>
        <w:rPr>
          <w:lang w:eastAsia="zh-CN"/>
        </w:rPr>
        <w:br w:type="page"/>
      </w:r>
    </w:p>
    <w:p>
      <w:pPr>
        <w:widowControl w:val="0"/>
        <w:autoSpaceDE w:val="0"/>
        <w:autoSpaceDN w:val="0"/>
        <w:adjustRightInd w:val="0"/>
        <w:jc w:val="left"/>
        <w:rPr>
          <w:rFonts w:eastAsia="宋体"/>
          <w:lang w:eastAsia="zh-CN"/>
        </w:rPr>
      </w:pPr>
      <w:r>
        <w:rPr>
          <w:lang w:eastAsia="zh-CN"/>
        </w:rPr>
        <w:fldChar w:fldCharType="begin"/>
      </w:r>
      <w:r>
        <w:rPr>
          <w:lang w:eastAsia="zh-CN"/>
        </w:rPr>
        <w:instrText xml:space="preserve"> ADDIN NE.Rep</w:instrText>
      </w:r>
      <w:r>
        <w:rPr>
          <w:lang w:eastAsia="zh-CN"/>
        </w:rPr>
        <w:fldChar w:fldCharType="separate"/>
      </w:r>
    </w:p>
    <w:p>
      <w:pPr>
        <w:widowControl w:val="0"/>
        <w:autoSpaceDE w:val="0"/>
        <w:autoSpaceDN w:val="0"/>
        <w:adjustRightInd w:val="0"/>
        <w:jc w:val="left"/>
        <w:rPr>
          <w:rFonts w:eastAsia="宋体"/>
          <w:lang w:eastAsia="zh-CN"/>
        </w:rPr>
      </w:pPr>
      <w:r>
        <w:rPr>
          <w:lang w:eastAsia="zh-CN"/>
        </w:rPr>
        <w:fldChar w:fldCharType="end"/>
      </w:r>
      <w:r>
        <w:rPr>
          <w:rFonts w:eastAsia="宋体"/>
          <w:b/>
          <w:bCs/>
          <w:color w:val="000000"/>
          <w:sz w:val="40"/>
          <w:szCs w:val="40"/>
          <w:lang w:eastAsia="zh-CN"/>
        </w:rPr>
        <w:t>References</w:t>
      </w:r>
    </w:p>
    <w:p>
      <w:pPr>
        <w:widowControl w:val="0"/>
        <w:autoSpaceDE w:val="0"/>
        <w:autoSpaceDN w:val="0"/>
        <w:adjustRightInd w:val="0"/>
        <w:ind w:left="420" w:hanging="420"/>
        <w:rPr>
          <w:rFonts w:eastAsia="宋体"/>
        </w:rPr>
      </w:pPr>
    </w:p>
    <w:p>
      <w:pPr>
        <w:widowControl w:val="0"/>
        <w:autoSpaceDE w:val="0"/>
        <w:autoSpaceDN w:val="0"/>
        <w:adjustRightInd w:val="0"/>
        <w:spacing w:after="240" w:afterLines="100" w:line="360" w:lineRule="auto"/>
        <w:ind w:left="420" w:hanging="420"/>
        <w:rPr>
          <w:rFonts w:eastAsia="宋体"/>
        </w:rPr>
      </w:pPr>
      <w:r>
        <w:rPr>
          <w:rFonts w:eastAsia="宋体"/>
          <w:color w:val="000000"/>
          <w:sz w:val="20"/>
          <w:szCs w:val="20"/>
        </w:rPr>
        <w:t>1.</w:t>
      </w:r>
      <w:r>
        <w:rPr>
          <w:rFonts w:eastAsia="宋体"/>
          <w:color w:val="000000"/>
          <w:sz w:val="20"/>
          <w:szCs w:val="20"/>
        </w:rPr>
        <w:tab/>
      </w:r>
      <w:bookmarkStart w:id="3" w:name="_nebE8DCC376_E441_4D59_959A_5DE421AB18E5"/>
      <w:r>
        <w:rPr>
          <w:rFonts w:eastAsia="宋体"/>
          <w:color w:val="000000"/>
          <w:sz w:val="20"/>
          <w:szCs w:val="20"/>
          <w:lang w:eastAsia="zh-CN"/>
        </w:rPr>
        <w:t xml:space="preserve">Sharma, S., Chandra, R., Kumar, P. &amp; Kumar, N. Thermo-mechanical characterization of multi-walled carbon nanotube reinforced polycarbonate composites: A molecular dynamics approach. </w:t>
      </w:r>
      <w:r>
        <w:rPr>
          <w:rFonts w:eastAsia="宋体"/>
          <w:i/>
          <w:iCs/>
          <w:color w:val="000000"/>
          <w:sz w:val="20"/>
          <w:szCs w:val="20"/>
          <w:lang w:eastAsia="zh-CN"/>
        </w:rPr>
        <w:t>Comptes Rendus Mécanique</w:t>
      </w:r>
      <w:r>
        <w:rPr>
          <w:rFonts w:eastAsia="宋体"/>
          <w:color w:val="000000"/>
          <w:sz w:val="20"/>
          <w:szCs w:val="20"/>
          <w:lang w:eastAsia="zh-CN"/>
        </w:rPr>
        <w:t xml:space="preserve">. </w:t>
      </w:r>
      <w:r>
        <w:rPr>
          <w:rFonts w:eastAsia="宋体"/>
          <w:b/>
          <w:bCs/>
          <w:color w:val="000000"/>
          <w:sz w:val="20"/>
          <w:szCs w:val="20"/>
          <w:lang w:eastAsia="zh-CN"/>
        </w:rPr>
        <w:t>343</w:t>
      </w:r>
      <w:r>
        <w:rPr>
          <w:rFonts w:eastAsia="宋体"/>
          <w:color w:val="000000"/>
          <w:sz w:val="20"/>
          <w:szCs w:val="20"/>
          <w:lang w:eastAsia="zh-CN"/>
        </w:rPr>
        <w:t>, 371-396 (2015).</w:t>
      </w:r>
      <w:bookmarkEnd w:id="3"/>
    </w:p>
    <w:p>
      <w:pPr>
        <w:widowControl w:val="0"/>
        <w:autoSpaceDE w:val="0"/>
        <w:autoSpaceDN w:val="0"/>
        <w:adjustRightInd w:val="0"/>
        <w:spacing w:after="240" w:afterLines="100" w:line="360" w:lineRule="auto"/>
        <w:ind w:left="420" w:hanging="420"/>
        <w:rPr>
          <w:rFonts w:eastAsia="宋体"/>
        </w:rPr>
      </w:pPr>
      <w:r>
        <w:rPr>
          <w:rFonts w:eastAsia="宋体"/>
          <w:color w:val="000000"/>
          <w:sz w:val="20"/>
          <w:szCs w:val="20"/>
        </w:rPr>
        <w:t>2.</w:t>
      </w:r>
      <w:r>
        <w:rPr>
          <w:rFonts w:eastAsia="宋体"/>
          <w:color w:val="000000"/>
          <w:sz w:val="20"/>
          <w:szCs w:val="20"/>
        </w:rPr>
        <w:tab/>
      </w:r>
      <w:bookmarkStart w:id="4" w:name="_neb29B7461B_C990_4AE8_AAB8_D458218818A5"/>
      <w:r>
        <w:rPr>
          <w:rFonts w:eastAsia="宋体"/>
          <w:color w:val="000000"/>
          <w:sz w:val="20"/>
          <w:szCs w:val="20"/>
        </w:rPr>
        <w:t xml:space="preserve">Qi, G., Fu, L. &amp; Giannelis, E. P. Sponges with covalently tethered amines for high-efficiency carbon capture. </w:t>
      </w:r>
      <w:r>
        <w:rPr>
          <w:rFonts w:eastAsia="宋体"/>
          <w:i/>
          <w:iCs/>
          <w:color w:val="000000"/>
          <w:sz w:val="20"/>
          <w:szCs w:val="20"/>
        </w:rPr>
        <w:t>Nat. Commun.</w:t>
      </w:r>
      <w:r>
        <w:rPr>
          <w:rFonts w:eastAsia="宋体"/>
          <w:color w:val="000000"/>
          <w:sz w:val="20"/>
          <w:szCs w:val="20"/>
        </w:rPr>
        <w:t xml:space="preserve"> </w:t>
      </w:r>
      <w:r>
        <w:rPr>
          <w:rFonts w:eastAsia="宋体"/>
          <w:b/>
          <w:bCs/>
          <w:color w:val="000000"/>
          <w:sz w:val="20"/>
          <w:szCs w:val="20"/>
        </w:rPr>
        <w:t>5</w:t>
      </w:r>
      <w:r>
        <w:rPr>
          <w:rFonts w:eastAsia="宋体"/>
          <w:color w:val="000000"/>
          <w:sz w:val="20"/>
          <w:szCs w:val="20"/>
        </w:rPr>
        <w:t>, (2014).</w:t>
      </w:r>
      <w:bookmarkEnd w:id="4"/>
    </w:p>
    <w:p>
      <w:pPr>
        <w:widowControl w:val="0"/>
        <w:autoSpaceDE w:val="0"/>
        <w:autoSpaceDN w:val="0"/>
        <w:adjustRightInd w:val="0"/>
        <w:spacing w:after="240" w:afterLines="100" w:line="360" w:lineRule="auto"/>
        <w:ind w:left="420" w:hanging="420"/>
        <w:rPr>
          <w:rFonts w:eastAsia="宋体"/>
        </w:rPr>
      </w:pPr>
      <w:r>
        <w:rPr>
          <w:rFonts w:eastAsia="宋体"/>
          <w:color w:val="000000"/>
          <w:sz w:val="20"/>
          <w:szCs w:val="20"/>
        </w:rPr>
        <w:t>3.</w:t>
      </w:r>
      <w:r>
        <w:rPr>
          <w:rFonts w:eastAsia="宋体"/>
          <w:color w:val="000000"/>
          <w:sz w:val="20"/>
          <w:szCs w:val="20"/>
        </w:rPr>
        <w:tab/>
      </w:r>
      <w:bookmarkStart w:id="5" w:name="_neb38C7C00D_3B06_4706_A8FB_43FE6A4D15D0"/>
      <w:r>
        <w:rPr>
          <w:rFonts w:eastAsia="宋体"/>
          <w:color w:val="000000"/>
          <w:sz w:val="20"/>
          <w:szCs w:val="20"/>
          <w:lang w:eastAsia="zh-CN"/>
        </w:rPr>
        <w:t xml:space="preserve">Patel, H. A., Byun, J. &amp; Yavuz, C. T. Carbon </w:t>
      </w:r>
      <w:r>
        <w:rPr>
          <w:rFonts w:hint="eastAsia" w:eastAsia="宋体"/>
          <w:color w:val="000000"/>
          <w:sz w:val="20"/>
          <w:szCs w:val="20"/>
          <w:lang w:eastAsia="zh-CN"/>
        </w:rPr>
        <w:t>d</w:t>
      </w:r>
      <w:r>
        <w:rPr>
          <w:rFonts w:eastAsia="宋体"/>
          <w:color w:val="000000"/>
          <w:sz w:val="20"/>
          <w:szCs w:val="20"/>
          <w:lang w:eastAsia="zh-CN"/>
        </w:rPr>
        <w:t xml:space="preserve">ioxide capture adsorbents: Chemistry and methods. </w:t>
      </w:r>
      <w:r>
        <w:rPr>
          <w:rFonts w:eastAsia="宋体"/>
          <w:i/>
          <w:iCs/>
          <w:color w:val="000000"/>
          <w:sz w:val="20"/>
          <w:szCs w:val="20"/>
          <w:lang w:eastAsia="zh-CN"/>
        </w:rPr>
        <w:t>Chemsuschem</w:t>
      </w:r>
      <w:r>
        <w:rPr>
          <w:rFonts w:eastAsia="宋体"/>
          <w:color w:val="000000"/>
          <w:sz w:val="20"/>
          <w:szCs w:val="20"/>
          <w:lang w:eastAsia="zh-CN"/>
        </w:rPr>
        <w:t xml:space="preserve">. </w:t>
      </w:r>
      <w:r>
        <w:rPr>
          <w:rFonts w:eastAsia="宋体"/>
          <w:b/>
          <w:bCs/>
          <w:color w:val="000000"/>
          <w:sz w:val="20"/>
          <w:szCs w:val="20"/>
          <w:lang w:eastAsia="zh-CN"/>
        </w:rPr>
        <w:t>10</w:t>
      </w:r>
      <w:r>
        <w:rPr>
          <w:rFonts w:eastAsia="宋体"/>
          <w:color w:val="000000"/>
          <w:sz w:val="20"/>
          <w:szCs w:val="20"/>
          <w:lang w:eastAsia="zh-CN"/>
        </w:rPr>
        <w:t>, 1303-1317 (2017).</w:t>
      </w:r>
      <w:bookmarkEnd w:id="5"/>
    </w:p>
    <w:p>
      <w:pPr>
        <w:widowControl w:val="0"/>
        <w:autoSpaceDE w:val="0"/>
        <w:autoSpaceDN w:val="0"/>
        <w:adjustRightInd w:val="0"/>
        <w:spacing w:after="240" w:afterLines="100" w:line="360" w:lineRule="auto"/>
        <w:ind w:left="420" w:hanging="420"/>
        <w:rPr>
          <w:rFonts w:eastAsia="宋体"/>
        </w:rPr>
      </w:pPr>
      <w:r>
        <w:rPr>
          <w:rFonts w:eastAsia="宋体"/>
          <w:color w:val="000000"/>
          <w:sz w:val="20"/>
          <w:szCs w:val="20"/>
        </w:rPr>
        <w:t>4.</w:t>
      </w:r>
      <w:r>
        <w:rPr>
          <w:rFonts w:eastAsia="宋体"/>
          <w:color w:val="000000"/>
          <w:sz w:val="20"/>
          <w:szCs w:val="20"/>
        </w:rPr>
        <w:tab/>
      </w:r>
      <w:bookmarkStart w:id="6" w:name="_neb7399CA35_655C_4ED2_995E_DD19A3F495BE"/>
      <w:r>
        <w:rPr>
          <w:rFonts w:eastAsia="宋体"/>
          <w:color w:val="000000"/>
          <w:sz w:val="20"/>
          <w:szCs w:val="20"/>
          <w:lang w:eastAsia="zh-CN"/>
        </w:rPr>
        <w:t>Keith, D. W., Holmes, G., Angelo, D. S. &amp; Heidel, K. A process for capturing CO</w:t>
      </w:r>
      <w:r>
        <w:rPr>
          <w:rFonts w:eastAsia="宋体"/>
          <w:color w:val="000000"/>
          <w:sz w:val="20"/>
          <w:szCs w:val="20"/>
          <w:vertAlign w:val="subscript"/>
          <w:lang w:eastAsia="zh-CN"/>
        </w:rPr>
        <w:t>2</w:t>
      </w:r>
      <w:r>
        <w:rPr>
          <w:rFonts w:eastAsia="宋体"/>
          <w:color w:val="000000"/>
          <w:sz w:val="20"/>
          <w:szCs w:val="20"/>
          <w:lang w:eastAsia="zh-CN"/>
        </w:rPr>
        <w:t xml:space="preserve"> from the atmosphere. </w:t>
      </w:r>
      <w:r>
        <w:rPr>
          <w:rFonts w:eastAsia="宋体"/>
          <w:i/>
          <w:iCs/>
          <w:color w:val="000000"/>
          <w:sz w:val="20"/>
          <w:szCs w:val="20"/>
          <w:lang w:eastAsia="zh-CN"/>
        </w:rPr>
        <w:t>Joule</w:t>
      </w:r>
      <w:r>
        <w:rPr>
          <w:rFonts w:eastAsia="宋体"/>
          <w:color w:val="000000"/>
          <w:sz w:val="20"/>
          <w:szCs w:val="20"/>
          <w:lang w:eastAsia="zh-CN"/>
        </w:rPr>
        <w:t xml:space="preserve">. </w:t>
      </w:r>
      <w:r>
        <w:rPr>
          <w:rFonts w:eastAsia="宋体"/>
          <w:b/>
          <w:bCs/>
          <w:color w:val="000000"/>
          <w:sz w:val="20"/>
          <w:szCs w:val="20"/>
          <w:lang w:eastAsia="zh-CN"/>
        </w:rPr>
        <w:t>2</w:t>
      </w:r>
      <w:r>
        <w:rPr>
          <w:rFonts w:eastAsia="宋体"/>
          <w:color w:val="000000"/>
          <w:sz w:val="20"/>
          <w:szCs w:val="20"/>
          <w:lang w:eastAsia="zh-CN"/>
        </w:rPr>
        <w:t>, 1573-1594 (2018).</w:t>
      </w:r>
      <w:bookmarkEnd w:id="6"/>
    </w:p>
    <w:p>
      <w:pPr>
        <w:widowControl w:val="0"/>
        <w:adjustRightInd w:val="0"/>
        <w:snapToGrid w:val="0"/>
        <w:spacing w:before="60" w:line="360" w:lineRule="auto"/>
        <w:ind w:left="360" w:hanging="360" w:hangingChars="150"/>
        <w:rPr>
          <w:lang w:eastAsia="zh-CN"/>
        </w:rPr>
      </w:pPr>
    </w:p>
    <w:sectPr>
      <w:type w:val="continuous"/>
      <w:pgSz w:w="11906" w:h="16838"/>
      <w:pgMar w:top="1418" w:right="1418" w:bottom="1418" w:left="1418" w:header="709" w:footer="709"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TimesNewRomanPS-BoldMT">
    <w:altName w:val="Times New Roman"/>
    <w:panose1 w:val="00000000000000000000"/>
    <w:charset w:val="00"/>
    <w:family w:val="roman"/>
    <w:pitch w:val="default"/>
    <w:sig w:usb0="00000000" w:usb1="00000000" w:usb2="00000000" w:usb3="00000000" w:csb0="00000000"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attachedTemplate r:id="rId1"/>
  <w:documentProtection w:enforcement="0"/>
  <w:defaultTabStop w:val="1304"/>
  <w:hyphenationZone w:val="425"/>
  <w:characterSpacingControl w:val="doNotCompress"/>
  <w:compat>
    <w:useFELayout/>
    <w:compatSetting w:name="compatibilityMode" w:uri="http://schemas.microsoft.com/office/word" w:val="12"/>
  </w:compat>
  <w:docVars>
    <w:docVar w:name="commondata" w:val="eyJoZGlkIjoiYTUyYjk2NGI4Yjg4ODhhODZkOTg5YmI4YjRkODdmZDkifQ=="/>
    <w:docVar w:name="NE.Ref{0314B4AB-944C-4026-B566-957D0092C5BC}" w:val=" ADDIN NE.Ref.{0314B4AB-944C-4026-B566-957D0092C5BC}&lt;Citation&gt;&lt;Group&gt;&lt;References&gt;&lt;Item&gt;&lt;ID&gt;206&lt;/ID&gt;&lt;UID&gt;{A5653B9F-23D4-4447-B9C6-BDCFA010E82F}&lt;/UID&gt;&lt;Title&gt;Putting an ultrahigh concentration of amine groups into a metal-organic framework for CO2 capture at low pressures&lt;/Title&gt;&lt;Template&gt;Journal Article&lt;/Template&gt;&lt;Star&gt;0&lt;/Star&gt;&lt;Tag&gt;0&lt;/Tag&gt;&lt;Author&gt;Liao, P Q; Chen, X W; Liu, S Y; Li, X Y; Xu, Y T; Tang, M; Rui, Z; Ji, H; Zhang, J P; Chen, X M&lt;/Author&gt;&lt;Year&gt;2016&lt;/Year&gt;&lt;Details&gt;&lt;_accessed&gt;64744410&lt;/_accessed&gt;&lt;_accession_num&gt;27928493&lt;/_accession_num&gt;&lt;_author_adr&gt;MOE Key Laboratory of Bioinorganic and Synthetic Chemistry , School of Chemistry  and Chemical Engineering , Sun Yat-Sen University , Guangzhou 510275 , China . Email: zhangjp7@mail.sysu.edu.cn.; MOE Key Laboratory of Bioinorganic and Synthetic Chemistry , School of Chemistry  and Chemical Engineering , Sun Yat-Sen University , Guangzhou 510275 , China . Email: zhangjp7@mail.sysu.edu.cn.; MOE Key Laboratory of Bioinorganic and Synthetic Chemistry , School of Chemistry  and Chemical Engineering , Sun Yat-Sen University , Guangzhou 510275 , China . Email: zhangjp7@mail.sysu.edu.cn.; MOE Key Laboratory of Bioinorganic and Synthetic Chemistry , School of Chemistry  and Chemical Engineering , Sun Yat-Sen University , Guangzhou 510275 , China . Email: zhangjp7@mail.sysu.edu.cn.; MOE Key Laboratory of Bioinorganic and Synthetic Chemistry , School of Chemistry  and Chemical Engineering , Sun Yat-Sen University , Guangzhou 510275 , China . Email: zhangjp7@mail.sysu.edu.cn.; MOE Key Laboratory of Bioinorganic and Synthetic Chemistry , School of Chemistry  and Chemical Engineering , Sun Yat-Sen University , Guangzhou 510275 , China . Email: zhangjp7@mail.sysu.edu.cn.; MOE Key Laboratory of Bioinorganic and Synthetic Chemistry , School of Chemistry  and Chemical Engineering , Sun Yat-Sen University , Guangzhou 510275 , China . Email: zhangjp7@mail.sysu.edu.cn.; MOE Key Laboratory of Bioinorganic and Synthetic Chemistry , School of Chemistry  and Chemical Engineering , Sun Yat-Sen University , Guangzhou 510275 , China . Email: zhangjp7@mail.sysu.edu.cn.; MOE Key Laboratory of Bioinorganic and Synthetic Chemistry , School of Chemistry  and Chemical Engineering , Sun Yat-Sen University , Guangzhou 510275 , China . Email: zhangjp7@mail.sysu.edu.cn.; MOE Key Laboratory of Bioinorganic and Synthetic Chemistry , School of Chemistry  and Chemical Engineering , Sun Yat-Sen University , Guangzhou 510275 , China . Email: zhangjp7@mail.sysu.edu.cn.&lt;/_author_adr&gt;&lt;_collection_scope&gt;SCI;SCIE;EI&lt;/_collection_scope&gt;&lt;_created&gt;64351287&lt;/_created&gt;&lt;_date&gt;61430400&lt;/_date&gt;&lt;_date_display&gt;2016 Oct 19&lt;/_date_display&gt;&lt;_db_updated&gt;PubMed&lt;/_db_updated&gt;&lt;_doi&gt;10.1039/c6sc00836d&lt;/_doi&gt;&lt;_impact_factor&gt;   9.969&lt;/_impact_factor&gt;&lt;_isbn&gt;2041-6520 (Print); 2041-6520 (Linking)&lt;/_isbn&gt;&lt;_issue&gt;10&lt;/_issue&gt;&lt;_journal&gt;Chem Sci&lt;/_journal&gt;&lt;_language&gt;eng&lt;/_language&gt;&lt;_modified&gt;64462860&lt;/_modified&gt;&lt;_pages&gt;6528-6533&lt;/_pages&gt;&lt;_tertiary_title&gt;Chemical science&lt;/_tertiary_title&gt;&lt;_type_work&gt;Journal Article&lt;/_type_work&gt;&lt;_url&gt;http://www.ncbi.nlm.nih.gov/entrez/query.fcgi?cmd=Retrieve&amp;amp;db=pubmed&amp;amp;dopt=Abstract&amp;amp;list_uids=27928493&amp;amp;query_hl=1&lt;/_url&gt;&lt;_volume&gt;7&lt;/_volume&gt;&lt;/Details&gt;&lt;Extra&gt;&lt;DBUID&gt;{7B2DDDD7-8D60-4C47-BB79-F1BF6E9950EC}&lt;/DBUID&gt;&lt;/Extra&gt;&lt;/Item&gt;&lt;/References&gt;&lt;/Group&gt;&lt;/Citation&gt;_x000a_"/>
    <w:docVar w:name="NE.Ref{31A1F98D-AAA6-42FB-9635-2DF8CD3782A2}" w:val=" ADDIN NE.Ref.{31A1F98D-AAA6-42FB-9635-2DF8CD3782A2}&lt;Citation&gt;&lt;Group&gt;&lt;References&gt;&lt;Item&gt;&lt;ID&gt;381&lt;/ID&gt;&lt;UID&gt;{A52E6199-A89E-42EE-939D-A1240DBCD275}&lt;/UID&gt;&lt;Title&gt;A consistent and accurateab initio              parametrization of density functional dispersion correction (DFT-D) for the 94 elements H-Pu&lt;/Title&gt;&lt;Template&gt;Journal Article&lt;/Template&gt;&lt;Star&gt;0&lt;/Star&gt;&lt;Tag&gt;0&lt;/Tag&gt;&lt;Author&gt;Grimme, Stefan; Antony, Jens; Ehrlich, Stephan; Krieg, Helge&lt;/Author&gt;&lt;Year&gt;2010&lt;/Year&gt;&lt;Details&gt;&lt;_doi&gt;10.1063/1.3382344&lt;/_doi&gt;&lt;_created&gt;65114569&lt;/_created&gt;&lt;_modified&gt;65114585&lt;/_modified&gt;&lt;_url&gt;https://pubs.aip.org/jcp/article/132/15/154104/926936/A-consistent-and-accurate-ab-initio_x000d__x000a_https://pubs.aip.org/aip/jcp/article-pdf/doi/10.1063/1.3382344/15684000/154104_1_online.pdf&lt;/_url&gt;&lt;_journal&gt;The Journal of Chemical Physics&lt;/_journal&gt;&lt;_volume&gt;132&lt;/_volume&gt;&lt;_issue&gt;15&lt;/_issue&gt;&lt;_date&gt;58013280&lt;/_date&gt;&lt;_isbn&gt;0021-9606&lt;/_isbn&gt;&lt;_accessed&gt;65114585&lt;/_accessed&gt;&lt;_db_updated&gt;CrossRef&lt;/_db_updated&gt;&lt;_impact_factor&gt;   4.304&lt;/_impact_factor&gt;&lt;_social_category&gt;物理化学(3) &amp;amp; 物理：原子、分子和化学物理(2)&lt;/_social_category&gt;&lt;/Details&gt;&lt;Extra&gt;&lt;DBUID&gt;{7B2DDDD7-8D60-4C47-BB79-F1BF6E9950EC}&lt;/DBUID&gt;&lt;/Extra&gt;&lt;/Item&gt;&lt;/References&gt;&lt;/Group&gt;&lt;/Citation&gt;_x000a_"/>
    <w:docVar w:name="NE.Ref{3BFB9963-9044-4D5B-8306-F5C43E49D602}" w:val=" ADDIN NE.Ref.{3BFB9963-9044-4D5B-8306-F5C43E49D602}&lt;Citation&gt;&lt;Group&gt;&lt;References&gt;&lt;Item&gt;&lt;ID&gt;318&lt;/ID&gt;&lt;UID&gt;{38C7C00D-3B06-4706-A8FB-43FE6A4D15D0}&lt;/UID&gt;&lt;Title&gt;Carbon Dioxide Capture Adsorbents: Chemistry and Methods&lt;/Title&gt;&lt;Template&gt;Journal Article&lt;/Template&gt;&lt;Star&gt;0&lt;/Star&gt;&lt;Tag&gt;0&lt;/Tag&gt;&lt;Author&gt;Patel, H A; Byun, J; Yavuz, C T&lt;/Author&gt;&lt;Year&gt;2017&lt;/Year&gt;&lt;Details&gt;&lt;_accessed&gt;64976217&lt;/_accessed&gt;&lt;_accession_num&gt;28001318&lt;/_accession_num&gt;&lt;_author_adr&gt;Graduate School of Energy, Environment, Water and Sustainability, Korea Advanced  Institute of Science and Technology (KAIST), Daejeon, 34141, Korea.; Current address: Department of Chemistry, Northwestern University, Evanston, IL,  60208, USA.; Graduate School of Energy, Environment, Water and Sustainability, Korea Advanced  Institute of Science and Technology (KAIST), Daejeon, 34141, Korea.; Graduate School of Energy, Environment, Water and Sustainability, Korea Advanced  Institute of Science and Technology (KAIST), Daejeon, 34141, Korea.; Department of Chemistry, Korea Advanced Institute of Science and Technology  (KAIST), Daejeon, 34141, Korea.&lt;/_author_adr&gt;&lt;_collection_scope&gt;SCIE;EI&lt;/_collection_scope&gt;&lt;_created&gt;64976217&lt;/_created&gt;&lt;_date&gt;61679520&lt;/_date&gt;&lt;_date_display&gt;2017 Apr 10&lt;/_date_display&gt;&lt;_db_updated&gt;PubMed&lt;/_db_updated&gt;&lt;_doi&gt;10.1002/cssc.201601545&lt;/_doi&gt;&lt;_impact_factor&gt;   9.140&lt;/_impact_factor&gt;&lt;_isbn&gt;1864-564X (Electronic); 1864-5631 (Linking)&lt;/_isbn&gt;&lt;_issue&gt;7&lt;/_issue&gt;&lt;_journal&gt;ChemSusChem&lt;/_journal&gt;&lt;_keywords&gt;CO2 capture; adsorption; sorbent design; sorbent evaluation criteria; working capacity&lt;/_keywords&gt;&lt;_language&gt;eng&lt;/_language&gt;&lt;_modified&gt;64976217&lt;/_modified&gt;&lt;_ori_publication&gt;(c) 2017 Wiley-VCH Verlag GmbH &amp;amp; Co. KGaA, Weinheim.&lt;/_ori_publication&gt;&lt;_pages&gt;1303-1317&lt;/_pages&gt;&lt;_social_category&gt;化学：综合(2) &amp;amp; 绿色可持续发展技术(3)&lt;/_social_category&gt;&lt;_subject_headings&gt;Adsorption; Carbon Dioxide; Chemistry/*methods&lt;/_subject_headings&gt;&lt;_tertiary_title&gt;ChemSusChem&lt;/_tertiary_title&gt;&lt;_type_work&gt;Journal Article; Research Support, Non-U.S. Gov&amp;apos;t; Review&lt;/_type_work&gt;&lt;_url&gt;http://www.ncbi.nlm.nih.gov/entrez/query.fcgi?cmd=Retrieve&amp;amp;db=pubmed&amp;amp;dopt=Abstract&amp;amp;list_uids=28001318&amp;amp;query_hl=1&lt;/_url&gt;&lt;_volume&gt;10&lt;/_volume&gt;&lt;/Details&gt;&lt;Extra&gt;&lt;DBUID&gt;{7B2DDDD7-8D60-4C47-BB79-F1BF6E9950EC}&lt;/DBUID&gt;&lt;/Extra&gt;&lt;/Item&gt;&lt;/References&gt;&lt;/Group&gt;&lt;/Citation&gt;_x000a_"/>
    <w:docVar w:name="NE.Ref{4590694F-9B86-4F68-A967-584EE426C798}" w:val=" ADDIN NE.Ref.{4590694F-9B86-4F68-A967-584EE426C798}&lt;Citation&gt;&lt;Group&gt;&lt;References&gt;&lt;Item&gt;&lt;ID&gt;3&lt;/ID&gt;&lt;UID&gt;{C13F52E9-0041-4504-839A-45AE4E466BB0}&lt;/UID&gt;&lt;Title&gt;Biogas Upgrading via Cyclic CO2 Adsorption: Application of Highly Regenerable PEI@nano-Al2O3 Adsorbents with Anti-Urea Properties&lt;/Title&gt;&lt;Template&gt;Journal Article&lt;/Template&gt;&lt;Star&gt;1&lt;/Star&gt;&lt;Tag&gt;0&lt;/Tag&gt;&lt;Author&gt;Shen, Xuehua; Yan, Feng; Li, Chunyan; Qu, Fan; Wang, Yingqing; Zhang, Zuotai&lt;/Author&gt;&lt;Year&gt;2021&lt;/Year&gt;&lt;Details&gt;&lt;_accessed&gt;64316763&lt;/_accessed&gt;&lt;_collection_scope&gt;SCI;SCIE;EI&lt;/_collection_scope&gt;&lt;_created&gt;64271092&lt;/_created&gt;&lt;_date&gt;63640800&lt;/_date&gt;&lt;_date_display&gt;2021&lt;/_date_display&gt;&lt;_db_updated&gt;PKU Search&lt;/_db_updated&gt;&lt;_doi&gt;10.1021/acs.est.0c07973&lt;/_doi&gt;&lt;_impact_factor&gt;  11.357&lt;/_impact_factor&gt;&lt;_isbn&gt;0013-936X&lt;/_isbn&gt;&lt;_issue&gt;8&lt;/_issue&gt;&lt;_journal&gt;Environmental science &amp;amp; technology&lt;/_journal&gt;&lt;_keywords&gt;Energy and Climate&lt;/_keywords&gt;&lt;_modified&gt;64455249&lt;/_modified&gt;&lt;_number&gt;1&lt;/_number&gt;&lt;_ori_publication&gt;American Chemical Society&lt;/_ori_publication&gt;&lt;_pages&gt;5236-5247&lt;/_pages&gt;&lt;_url&gt;https://go.exlibris.link/Y3tnWQN9&lt;/_url&gt;&lt;_volume&gt;55&lt;/_volume&gt;&lt;/Details&gt;&lt;Extra&gt;&lt;DBUID&gt;{7B2DDDD7-8D60-4C47-BB79-F1BF6E9950EC}&lt;/DBUID&gt;&lt;/Extra&gt;&lt;/Item&gt;&lt;/References&gt;&lt;/Group&gt;&lt;/Citation&gt;_x000a_"/>
    <w:docVar w:name="NE.Ref{5A5C0B06-4560-4A68-B586-DF8804DAA16F}" w:val=" ADDIN NE.Ref.{5A5C0B06-4560-4A68-B586-DF8804DAA16F}&lt;Citation&gt;&lt;Group&gt;&lt;References&gt;&lt;Item&gt;&lt;ID&gt;8&lt;/ID&gt;&lt;UID&gt;{7399CA35-655C-4ED2-995E-DD19A3F495BE}&lt;/UID&gt;&lt;Title&gt;A Process for Capturing CO2 from the Atmosphere&lt;/Title&gt;&lt;Template&gt;Journal Article&lt;/Template&gt;&lt;Star&gt;0&lt;/Star&gt;&lt;Tag&gt;0&lt;/Tag&gt;&lt;Author&gt;Keith, David W; Holmes, Geoffrey; Angelo, David St.; Heidel, Kenton&lt;/Author&gt;&lt;Year&gt;2018&lt;/Year&gt;&lt;Details&gt;&lt;_accessed&gt;64282239&lt;/_accessed&gt;&lt;_accession_num&gt;WOS:000441627400021&lt;/_accession_num&gt;&lt;_author_adr&gt;[Keith, David W.] Harvard Sch Engn &amp;amp; Appl Sci, 12 Oxford St, Cambridge, MA 02138 USA. [Keith, David W.] Harvard Kennedy Sch, 79 John F Kennedy St, Cambridge, MA 02138 USA. [Keith, David W.; Holmes, Geoffrey; Angelo, David St.; Heidel, Kenton] Carbon Engn, 37321 Galbraith Rd, Squamish, BC V8B 0A2, Canada.&lt;/_author_adr&gt;&lt;_cited_count&gt;366&lt;/_cited_count&gt;&lt;_collection_scope&gt;EI&lt;/_collection_scope&gt;&lt;_created&gt;64279777&lt;/_created&gt;&lt;_custom4&gt;Keith, DW (corresponding author), Harvard Sch Engn &amp;amp; Appl Sci, 12 Oxford St, Cambridge, MA 02138 USA.; Keith, DW (corresponding author), Harvard Kennedy Sch, 79 John F Kennedy St, Cambridge, MA 02138 USA.; Keith, DW (corresponding author), Carbon Engn, 37321 Galbraith Rd, Squamish, BC V8B 0A2, Canada._x000d__x000a_keith@carbonengineering.com&lt;/_custom4&gt;&lt;_date_display&gt;2018, AUG 15&lt;/_date_display&gt;&lt;_db_provider&gt;ISI&lt;/_db_provider&gt;&lt;_db_updated&gt;Web of Science-Core&lt;/_db_updated&gt;&lt;_doi&gt;10.1016/j.joule.2018.05.006&lt;/_doi&gt;&lt;_funding&gt;funds CE; British Columbia Innovative Clean Energy Fund; Sustainable_x000d__x000a_   Development Technologies Canada [13A-2368]; Industrial Research_x000d__x000a_   Assistantship Program; U.S. Department of EnergyUnited States Department_x000d__x000a_   of Energy (DOE); Department of EnergyUnited States Department of Energy_x000d__x000a_   (DOE) [DE-FE0026861]; agency of the United States Government&lt;/_funding&gt;&lt;_impact_factor&gt;  46.048&lt;/_impact_factor&gt;&lt;_isbn&gt;2542-4351&lt;/_isbn&gt;&lt;_issue&gt;8&lt;/_issue&gt;&lt;_journal&gt;JOULE&lt;/_journal&gt;&lt;_language&gt;English&lt;/_language&gt;&lt;_modified&gt;64455249&lt;/_modified&gt;&lt;_ori_publication&gt;CELL PRESS&lt;/_ori_publication&gt;&lt;_pages&gt;1573-1594&lt;/_pages&gt;&lt;_place_published&gt;50 HAMPSHIRE ST, FLOOR 5, CAMBRIDGE, MA 02139 USA&lt;/_place_published&gt;&lt;_ref_count&gt;50&lt;/_ref_count&gt;&lt;_subject&gt;Chemistry; Energy &amp;amp; Fuels; Materials Science&lt;/_subject&gt;&lt;_type_work&gt;Article&lt;/_type_work&gt;&lt;_url&gt;http://gateway.isiknowledge.com/gateway/Gateway.cgi?GWVersion=2&amp;amp;SrcAuth=AegeanSoftware&amp;amp;SrcApp=NoteExpress&amp;amp;DestLinkType=FullRecord&amp;amp;DestApp=WOS&amp;amp;KeyUT=000441627400021&lt;/_url&gt;&lt;_volume&gt;2&lt;/_volume&gt;&lt;/Details&gt;&lt;Extra&gt;&lt;DBUID&gt;{7B2DDDD7-8D60-4C47-BB79-F1BF6E9950EC}&lt;/DBUID&gt;&lt;/Extra&gt;&lt;/Item&gt;&lt;/References&gt;&lt;/Group&gt;&lt;/Citation&gt;_x000a_"/>
    <w:docVar w:name="NE.Ref{5EFE64E2-8CF2-4910-908D-04BD58AFD079}" w:val=" ADDIN NE.Ref.{5EFE64E2-8CF2-4910-908D-04BD58AFD079}&lt;Citation&gt;&lt;Group&gt;&lt;References&gt;&lt;Item&gt;&lt;ID&gt;200&lt;/ID&gt;&lt;UID&gt;{F1D0FEE2-E8EC-41A0-975A-CF7026CDC4B2}&lt;/UID&gt;&lt;Title&gt;SorbentsfortheDirectCaptureofCO2fromAmbientAir&lt;/Title&gt;&lt;Template&gt;Journal Article&lt;/Template&gt;&lt;Star&gt;0&lt;/Star&gt;&lt;Tag&gt;0&lt;/Tag&gt;&lt;Author&gt;Shi, X Y; Xiao, H; Azarabadi, H; Song, J Z; Wu, X L; Chen, X; Lackner, K S&lt;/Author&gt;&lt;Year&gt;2020&lt;/Year&gt;&lt;Details&gt;&lt;_accessed&gt;64347388&lt;/_accessed&gt;&lt;_alternate_title&gt;ANGEWANDTE CHEMIE-INTERNATIONAL EDITION&lt;/_alternate_title&gt;&lt;_author_adr&gt;Arizona State Univ, Sch Sustainable Engn &amp;amp; Built Environm, Tempe, AZ 85287 USA; Columbia Univ, Dept Earth &amp;amp; Environm Engn, Ctr Adv Mat Energy &amp;amp; Environm, Earth Engn Ctr, New York, NY 10027 USA; Xi An Jiao Tong Univ, Sch Aerosp, ICAM, Xian 710049, Shaanxi, Peoples R China; Northwest Univ, Sch Chem Engn, Xian 710069, Shaanxi, Peoples R China&lt;/_author_adr&gt;&lt;_collection_scope&gt;SCI;SCIE;EI&lt;/_collection_scope&gt;&lt;_created&gt;64347340&lt;/_created&gt;&lt;_date&gt;63113760&lt;/_date&gt;&lt;_date_display&gt;2020&lt;/_date_display&gt;&lt;_db_updated&gt;Web of Science-Core&lt;/_db_updated&gt;&lt;_doi&gt;10.1002/anie.201906756&lt;/_doi&gt;&lt;_impact_factor&gt;  16.823&lt;/_impact_factor&gt;&lt;_issue&gt;18&lt;/_issue&gt;&lt;_journal&gt;ANGEWANDTE CHEMIE-INTERNATIONAL EDITION&lt;/_journal&gt;&lt;_keywords&gt;atomspheric CO2; carbon dioxide; direct air capture sorbants&lt;/_keywords&gt;&lt;_modified&gt;64487274&lt;/_modified&gt;&lt;_pages&gt;6984-7006&lt;/_pages&gt;&lt;_volume&gt;59&lt;/_volume&gt;&lt;/Details&gt;&lt;Extra&gt;&lt;DBUID&gt;{7B2DDDD7-8D60-4C47-BB79-F1BF6E9950EC}&lt;/DBUID&gt;&lt;/Extra&gt;&lt;/Item&gt;&lt;/References&gt;&lt;/Group&gt;&lt;/Citation&gt;_x000a_"/>
    <w:docVar w:name="NE.Ref{5F3949CA-BE7A-4EFE-9828-41D6BD08F867}" w:val=" ADDIN NE.Ref.{5F3949CA-BE7A-4EFE-9828-41D6BD08F867}&lt;Citation&gt;&lt;Group&gt;&lt;References&gt;&lt;Item&gt;&lt;ID&gt;46&lt;/ID&gt;&lt;UID&gt;{E0E79111-6874-4C55-BBA6-5F412A47CDA4}&lt;/UID&gt;&lt;Title&gt;Techno-economic assessment of CO2 direct air capture plants&lt;/Title&gt;&lt;Template&gt;Journal Article&lt;/Template&gt;&lt;Star&gt;0&lt;/Star&gt;&lt;Tag&gt;5&lt;/Tag&gt;&lt;Author&gt;Fasihi, Mandi; Efimova, Olga; Breyer, Christian&lt;/Author&gt;&lt;Year&gt;2019&lt;/Year&gt;&lt;Details&gt;&lt;_accessed&gt;64374397&lt;/_accessed&gt;&lt;_accession_num&gt;WOS:000469151900082&lt;/_accession_num&gt;&lt;_author_adr&gt;[Fasihi, Mandi; Efimova, Olga; Breyer, Christian] LUT Univ, Yliopistonkatu 34, Lappeenranta 53850, Finland.&lt;/_author_adr&gt;&lt;_cited_count&gt;178&lt;/_cited_count&gt;&lt;_collection_scope&gt;SCIE;EI&lt;/_collection_scope&gt;&lt;_created&gt;64279777&lt;/_created&gt;&lt;_custom4&gt;Fasihi, M (corresponding author), LUT Univ, Yliopistonkatu 34, Lappeenranta 53850, Finland._x000d__x000a_Mandi.Fasihi@lut.fi&lt;/_custom4&gt;&lt;_date_display&gt;2019, JUL 1&lt;/_date_display&gt;&lt;_db_provider&gt;ISI&lt;/_db_provider&gt;&lt;_db_updated&gt;Web of Science-Core&lt;/_db_updated&gt;&lt;_doi&gt;10.1016/j.jclepro.2019.03.086&lt;/_doi&gt;&lt;_funding&gt;Tekes, the Finnish Funding Agency for InnovationFinnish Funding Agency_x000d__x000a_   for Technology &amp;amp; Innovation (TEKES) [40101/14]&lt;/_funding&gt;&lt;_impact_factor&gt;  11.072&lt;/_impact_factor&gt;&lt;_isbn&gt;0959-6526&lt;/_isbn&gt;&lt;_journal&gt;JOURNAL OF CLEANER PRODUCTION&lt;/_journal&gt;&lt;_keywords&gt;Carbon dioxide (CO2); Direct air capture (DAC); Carbon capture and utilisation (CCU); Negative emission technology (NET); Economics&lt;/_keywords&gt;&lt;_language&gt;English&lt;/_language&gt;&lt;_modified&gt;64462857&lt;/_modified&gt;&lt;_ori_publication&gt;ELSEVIER SCI LTD&lt;/_ori_publication&gt;&lt;_pages&gt;957-980&lt;/_pages&gt;&lt;_place_published&gt;THE BOULEVARD, LANGFORD LANE, KIDLINGTON, OXFORD OX5 1GB, OXON, ENGLAND&lt;/_place_published&gt;&lt;_ref_count&gt;114&lt;/_ref_count&gt;&lt;_subject&gt;Science &amp;amp; Technology - Other Topics; Engineering; Environmental Sciences_x000d__x000a_   &amp;amp; Ecology&lt;/_subject&gt;&lt;_type_work&gt;Article&lt;/_type_work&gt;&lt;_url&gt;http://gateway.isiknowledge.com/gateway/Gateway.cgi?GWVersion=2&amp;amp;SrcAuth=AegeanSoftware&amp;amp;SrcApp=NoteExpress&amp;amp;DestLinkType=FullRecord&amp;amp;DestApp=WOS&amp;amp;KeyUT=000469151900082&lt;/_url&gt;&lt;_volume&gt;224&lt;/_volume&gt;&lt;/Details&gt;&lt;Extra&gt;&lt;DBUID&gt;{7B2DDDD7-8D60-4C47-BB79-F1BF6E9950EC}&lt;/DBUID&gt;&lt;/Extra&gt;&lt;/Item&gt;&lt;/References&gt;&lt;/Group&gt;&lt;/Citation&gt;_x000a_"/>
    <w:docVar w:name="NE.Ref{7DA9E6CB-36B3-4FC3-810B-D34DAABF8984}" w:val=" ADDIN NE.Ref.{7DA9E6CB-36B3-4FC3-810B-D34DAABF8984}&lt;Citation&gt;&lt;Group&gt;&lt;References&gt;&lt;Item&gt;&lt;ID&gt;404&lt;/ID&gt;&lt;UID&gt;{E8DCC376-E441-4D59-959A-5DE421AB18E5}&lt;/UID&gt;&lt;Title&gt;Thermo-mechanical characterization of multi-walled carbon nanotube reinforced polycarbonate composites: A molecular dynamics approach&lt;/Title&gt;&lt;Template&gt;Journal Article&lt;/Template&gt;&lt;Star&gt;0&lt;/Star&gt;&lt;Tag&gt;0&lt;/Tag&gt;&lt;Author&gt;Sharma, Sumit; Chandra, Rakesh; Kumar, Pramod; Kumar, Navin&lt;/Author&gt;&lt;Year&gt;2015&lt;/Year&gt;&lt;Details&gt;&lt;_doi&gt;10.1016/j.crme.2015.03.002&lt;/_doi&gt;&lt;_created&gt;65152388&lt;/_created&gt;&lt;_modified&gt;65152388&lt;/_modified&gt;&lt;_url&gt;https://linkinghub.elsevier.com/retrieve/pii/S1631072115000418_x000d__x000a_https://api.elsevier.com/content/article/PII:S1631072115000418?httpAccept=text/xml&lt;/_url&gt;&lt;_journal&gt;Comptes Rendus Mécanique&lt;/_journal&gt;&lt;_volume&gt;343&lt;/_volume&gt;&lt;_issue&gt;5-6&lt;/_issue&gt;&lt;_pages&gt;371-396&lt;/_pages&gt;&lt;_tertiary_title&gt;Comptes Rendus Mécanique&lt;/_tertiary_title&gt;&lt;_isbn&gt;16310721&lt;/_isbn&gt;&lt;_accessed&gt;65152388&lt;/_accessed&gt;&lt;_db_updated&gt;CrossRef&lt;/_db_updated&gt;&lt;_impact_factor&gt;   1.437&lt;/_impact_factor&gt;&lt;_social_category&gt;力学(4)&lt;/_social_category&gt;&lt;_collection_scope&gt;SCIE&lt;/_collection_scope&gt;&lt;/Details&gt;&lt;Extra&gt;&lt;DBUID&gt;{7B2DDDD7-8D60-4C47-BB79-F1BF6E9950EC}&lt;/DBUID&gt;&lt;/Extra&gt;&lt;/Item&gt;&lt;/References&gt;&lt;/Group&gt;&lt;Group&gt;&lt;References&gt;&lt;Item&gt;&lt;ID&gt;403&lt;/ID&gt;&lt;UID&gt;{3F129FDB-0960-40FB-A92B-F1A8B60FA433}&lt;/UID&gt;&lt;Title&gt;Role of intermolecular interactions for upper and lower critical solution temperature behaviors in polymer solutions: Molecular simulations and thermodynamic modeling&lt;/Title&gt;&lt;Template&gt;Journal Article&lt;/Template&gt;&lt;Star&gt;0&lt;/Star&gt;&lt;Tag&gt;0&lt;/Tag&gt;&lt;Author&gt;Oh, Suk Yung; Bae, Young Chan&lt;/Author&gt;&lt;Year&gt;2012&lt;/Year&gt;&lt;Details&gt;&lt;_doi&gt;10.1016/j.polymer.2012.06.028&lt;/_doi&gt;&lt;_created&gt;65152387&lt;/_created&gt;&lt;_modified&gt;65152387&lt;/_modified&gt;&lt;_url&gt;https://linkinghub.elsevier.com/retrieve/pii/S0032386112005290_x000d__x000a_https://api.elsevier.com/content/article/PII:S0032386112005290?httpAccept=text/xml&lt;/_url&gt;&lt;_journal&gt;Polymer&lt;/_journal&gt;&lt;_volume&gt;53&lt;/_volume&gt;&lt;_issue&gt;17&lt;/_issue&gt;&lt;_pages&gt;3772-3779&lt;/_pages&gt;&lt;_tertiary_title&gt;Polymer&lt;/_tertiary_title&gt;&lt;_isbn&gt;00323861&lt;/_isbn&gt;&lt;_accessed&gt;65152387&lt;/_accessed&gt;&lt;_db_updated&gt;CrossRef&lt;/_db_updated&gt;&lt;_impact_factor&gt;   4.432&lt;/_impact_factor&gt;&lt;_social_category&gt;高分子科学(2)&lt;/_social_category&gt;&lt;_collection_scope&gt;SCIE;EI&lt;/_collection_scope&gt;&lt;/Details&gt;&lt;Extra&gt;&lt;DBUID&gt;{7B2DDDD7-8D60-4C47-BB79-F1BF6E9950EC}&lt;/DBUID&gt;&lt;/Extra&gt;&lt;/Item&gt;&lt;/References&gt;&lt;/Group&gt;&lt;/Citation&gt;_x000a_"/>
    <w:docVar w:name="NE.Ref{883E686C-DC36-40CC-BD6A-ADCA5C2F5CE4}" w:val=" ADDIN NE.Ref.{883E686C-DC36-40CC-BD6A-ADCA5C2F5CE4}&lt;Citation&gt;&lt;Group&gt;&lt;References&gt;&lt;Item&gt;&lt;ID&gt;8&lt;/ID&gt;&lt;UID&gt;{7399CA35-655C-4ED2-995E-DD19A3F495BE}&lt;/UID&gt;&lt;Title&gt;A Process for Capturing CO2 from the Atmosphere&lt;/Title&gt;&lt;Template&gt;Journal Article&lt;/Template&gt;&lt;Star&gt;0&lt;/Star&gt;&lt;Tag&gt;0&lt;/Tag&gt;&lt;Author&gt;Keith, David W; Holmes, Geoffrey; Angelo, David St.; Heidel, Kenton&lt;/Author&gt;&lt;Year&gt;2018&lt;/Year&gt;&lt;Details&gt;&lt;_accessed&gt;64282239&lt;/_accessed&gt;&lt;_accession_num&gt;WOS:000441627400021&lt;/_accession_num&gt;&lt;_author_adr&gt;[Keith, David W.] Harvard Sch Engn &amp;amp; Appl Sci, 12 Oxford St, Cambridge, MA 02138 USA. [Keith, David W.] Harvard Kennedy Sch, 79 John F Kennedy St, Cambridge, MA 02138 USA. [Keith, David W.; Holmes, Geoffrey; Angelo, David St.; Heidel, Kenton] Carbon Engn, 37321 Galbraith Rd, Squamish, BC V8B 0A2, Canada.&lt;/_author_adr&gt;&lt;_cited_count&gt;366&lt;/_cited_count&gt;&lt;_collection_scope&gt;EI&lt;/_collection_scope&gt;&lt;_created&gt;64279777&lt;/_created&gt;&lt;_custom4&gt;Keith, DW (corresponding author), Harvard Sch Engn &amp;amp; Appl Sci, 12 Oxford St, Cambridge, MA 02138 USA.; Keith, DW (corresponding author), Harvard Kennedy Sch, 79 John F Kennedy St, Cambridge, MA 02138 USA.; Keith, DW (corresponding author), Carbon Engn, 37321 Galbraith Rd, Squamish, BC V8B 0A2, Canada._x000d__x000a_keith@carbonengineering.com&lt;/_custom4&gt;&lt;_date_display&gt;2018, AUG 15&lt;/_date_display&gt;&lt;_db_provider&gt;ISI&lt;/_db_provider&gt;&lt;_db_updated&gt;Web of Science-Core&lt;/_db_updated&gt;&lt;_doi&gt;10.1016/j.joule.2018.05.006&lt;/_doi&gt;&lt;_funding&gt;funds CE; British Columbia Innovative Clean Energy Fund; Sustainable_x000d__x000a_   Development Technologies Canada [13A-2368]; Industrial Research_x000d__x000a_   Assistantship Program; U.S. Department of EnergyUnited States Department_x000d__x000a_   of Energy (DOE); Department of EnergyUnited States Department of Energy_x000d__x000a_   (DOE) [DE-FE0026861]; agency of the United States Government&lt;/_funding&gt;&lt;_impact_factor&gt;  46.048&lt;/_impact_factor&gt;&lt;_isbn&gt;2542-4351&lt;/_isbn&gt;&lt;_issue&gt;8&lt;/_issue&gt;&lt;_journal&gt;JOULE&lt;/_journal&gt;&lt;_language&gt;English&lt;/_language&gt;&lt;_modified&gt;64967935&lt;/_modified&gt;&lt;_ori_publication&gt;CELL PRESS&lt;/_ori_publication&gt;&lt;_pages&gt;1573-1594&lt;/_pages&gt;&lt;_place_published&gt;50 HAMPSHIRE ST, FLOOR 5, CAMBRIDGE, MA 02139 USA&lt;/_place_published&gt;&lt;_ref_count&gt;50&lt;/_ref_count&gt;&lt;_social_category&gt;物理化学(1) &amp;amp; 能源与燃料(1) &amp;amp; 材料科学：综合(1)&lt;/_social_category&gt;&lt;_subject&gt;Chemistry; Energy &amp;amp; Fuels; Materials Science&lt;/_subject&gt;&lt;_type_work&gt;Article&lt;/_type_work&gt;&lt;_url&gt;http://gateway.isiknowledge.com/gateway/Gateway.cgi?GWVersion=2&amp;amp;SrcAuth=AegeanSoftware&amp;amp;SrcApp=NoteExpress&amp;amp;DestLinkType=FullRecord&amp;amp;DestApp=WOS&amp;amp;KeyUT=000441627400021&lt;/_url&gt;&lt;_volume&gt;2&lt;/_volume&gt;&lt;/Details&gt;&lt;Extra&gt;&lt;DBUID&gt;{7B2DDDD7-8D60-4C47-BB79-F1BF6E9950EC}&lt;/DBUID&gt;&lt;/Extra&gt;&lt;/Item&gt;&lt;/References&gt;&lt;/Group&gt;&lt;/Citation&gt;_x000a_"/>
    <w:docVar w:name="NE.Ref{96FE2412-5DDB-4035-8376-985FB8AC9935}" w:val=" ADDIN NE.Ref.{96FE2412-5DDB-4035-8376-985FB8AC9935}&lt;Citation&gt;&lt;Group&gt;&lt;References&gt;&lt;Item&gt;&lt;ID&gt;283&lt;/ID&gt;&lt;UID&gt;{62D9ACE7-35F8-4B8F-A638-2ACDDF942EAD}&lt;/UID&gt;&lt;Title&gt;Polyethylenimine-impregnated resin for high CO2 adsorption: an efficient  adsorbent for CO2 capture from simulated flue gas and ambient air&lt;/Title&gt;&lt;Template&gt;Journal Article&lt;/Template&gt;&lt;Star&gt;0&lt;/Star&gt;&lt;Tag&gt;0&lt;/Tag&gt;&lt;Author&gt;Chen, Z; Deng, S; Wei, H; Wang, B; Huang, J; Yu, G&lt;/Author&gt;&lt;Year&gt;2013&lt;/Year&gt;&lt;Details&gt;&lt;_accessed&gt;64668734&lt;/_accessed&gt;&lt;_accession_num&gt;23808655&lt;/_accession_num&gt;&lt;_author_adr&gt;State Key Joint Laboratory of Environment Simulation and Pollution Control,  School of Environment, POPs Research Center, Tsinghua University, Beijing, 100084  China.&lt;/_author_adr&gt;&lt;_created&gt;64668734&lt;/_created&gt;&lt;_date&gt;59757120&lt;/_date&gt;&lt;_date_display&gt;2013 Aug 14&lt;/_date_display&gt;&lt;_db_updated&gt;PubMed&lt;/_db_updated&gt;&lt;_doi&gt;10.1021/am400661b&lt;/_doi&gt;&lt;_impact_factor&gt;  10.383&lt;/_impact_factor&gt;&lt;_isbn&gt;1944-8252 (Electronic); 1944-8244 (Linking)&lt;/_isbn&gt;&lt;_issue&gt;15&lt;/_issue&gt;&lt;_journal&gt;ACS Appl Mater Interfaces&lt;/_journal&gt;&lt;_language&gt;eng&lt;/_language&gt;&lt;_modified&gt;64668735&lt;/_modified&gt;&lt;_pages&gt;6937-45&lt;/_pages&gt;&lt;_tertiary_title&gt;ACS applied materials &amp;amp; interfaces&lt;/_tertiary_title&gt;&lt;_type_work&gt;Journal Article; Research Support, Non-U.S. Gov&amp;apos;t&lt;/_type_work&gt;&lt;_url&gt;http://www.ncbi.nlm.nih.gov/entrez/query.fcgi?cmd=Retrieve&amp;amp;db=pubmed&amp;amp;dopt=Abstract&amp;amp;list_uids=23808655&amp;amp;query_hl=1&lt;/_url&gt;&lt;_volume&gt;5&lt;/_volume&gt;&lt;/Details&gt;&lt;Extra&gt;&lt;DBUID&gt;{7B2DDDD7-8D60-4C47-BB79-F1BF6E9950EC}&lt;/DBUID&gt;&lt;/Extra&gt;&lt;/Item&gt;&lt;/References&gt;&lt;/Group&gt;&lt;/Citation&gt;_x000a_"/>
    <w:docVar w:name="NE.Ref{990AB31F-E456-4E24-B4EE-DBA0858E2EF8}" w:val=" ADDIN NE.Ref.{990AB31F-E456-4E24-B4EE-DBA0858E2EF8}&lt;Citation&gt;&lt;Group&gt;&lt;References&gt;&lt;Item&gt;&lt;ID&gt;11&lt;/ID&gt;&lt;UID&gt;{60DDA990-6B2B-46E4-88CE-22D427C5B747}&lt;/UID&gt;&lt;Title&gt;An inter-model assessment of the role of direct air capture in deep mitigation pathways&lt;/Title&gt;&lt;Template&gt;Journal Article&lt;/Template&gt;&lt;Star&gt;0&lt;/Star&gt;&lt;Tag&gt;0&lt;/Tag&gt;&lt;Author&gt;Realmonte, Giulia; Drouet, Laurent; Gambhir, Ajay; Glynn, James; Hawkes, Adam; Koberle, Alexandre C; Tavoni, Massimo&lt;/Author&gt;&lt;Year&gt;2019&lt;/Year&gt;&lt;Details&gt;&lt;_accessed&gt;64281318&lt;/_accessed&gt;&lt;_accession_num&gt;WOS:000476721900025&lt;/_accession_num&gt;&lt;_author_adr&gt;[Realmonte, Giulia; Drouet, Laurent; Tavoni, Massimo] Ctr Euromediterraneo Cambiamenti Climat, RFF CMCC European Inst Econ &amp;amp; Environm EIEE, I-20144 Milan, Italy. [Gambhir, Ajay; Hawkes, Adam; Koberle, Alexandre C.] Imperial Coll London, Grantham Inst, London SW7 2AZ, England. [Glynn, James] Univ Coll Cork, MaREI Ctr, Environm Res Inst, Cork T23 XE10, Ireland. [Tavoni, Massimo] Politecn Milan, Dept Management Econ &amp;amp; Ind Engn, I-20156 Milan, Italy.&lt;/_author_adr&gt;&lt;_cited_count&gt;88&lt;/_cited_count&gt;&lt;_collection_scope&gt;SCI;SCIE&lt;/_collection_scope&gt;&lt;_created&gt;64279777&lt;/_created&gt;&lt;_custom4&gt;Realmonte, G (corresponding author), Ctr Euromediterraneo Cambiamenti Climat, RFF CMCC European Inst Econ &amp;amp; Environm EIEE, I-20144 Milan, Italy._x000d__x000a_giulia.realmonte1@gmail.com&lt;/_custom4&gt;&lt;_date_display&gt;2019, JUL 22&lt;/_date_display&gt;&lt;_db_provider&gt;ISI&lt;/_db_provider&gt;&lt;_db_updated&gt;Web of Science-Core&lt;/_db_updated&gt;&lt;_doi&gt;10.1038/s41467-019-10842-5&lt;/_doi&gt;&lt;_funding&gt;Science Foundation Ireland (SFI)Science Foundation Ireland; National_x000d__x000a_   Natural Science Foundation of China (NSFC) under the SFI-NSFC_x000d__x000a_   Partnership ProgrammeNational Natural Science Foundation of China (NSFC)_x000d__x000a_   [17/NSFC/5181]; NERCUK Research &amp;amp; Innovation (UKRI)Natural Environment_x000d__x000a_   Research Council (NERC) [NE/N018656/1] Funding Source: UKRI&lt;/_funding&gt;&lt;_impact_factor&gt;  17.694&lt;/_impact_factor&gt;&lt;_isbn&gt;2041-1723&lt;/_isbn&gt;&lt;_journal&gt;NATURE COMMUNICATIONS&lt;/_journal&gt;&lt;_language&gt;English&lt;/_language&gt;&lt;_modified&gt;64578840&lt;/_modified&gt;&lt;_number&gt;3277&lt;/_number&gt;&lt;_ori_publication&gt;NATURE PUBLISHING GROUP&lt;/_ori_publication&gt;&lt;_place_published&gt;MACMILLAN BUILDING, 4 CRINAN ST, LONDON N1 9XW, ENGLAND&lt;/_place_published&gt;&lt;_ref_count&gt;72&lt;/_ref_count&gt;&lt;_subject&gt;Science &amp;amp; Technology - Other Topics&lt;/_subject&gt;&lt;_type_work&gt;Article&lt;/_type_work&gt;&lt;_url&gt;http://gateway.isiknowledge.com/gateway/Gateway.cgi?GWVersion=2&amp;amp;SrcAuth=AegeanSoftware&amp;amp;SrcApp=NoteExpress&amp;amp;DestLinkType=FullRecord&amp;amp;DestApp=WOS&amp;amp;KeyUT=000476721900025&lt;/_url&gt;&lt;_volume&gt;10&lt;/_volume&gt;&lt;/Details&gt;&lt;Extra&gt;&lt;DBUID&gt;{7B2DDDD7-8D60-4C47-BB79-F1BF6E9950EC}&lt;/DBUID&gt;&lt;/Extra&gt;&lt;/Item&gt;&lt;/References&gt;&lt;/Group&gt;&lt;/Citation&gt;_x000a_"/>
    <w:docVar w:name="NE.Ref{B70387EA-B060-4F95-8925-50DF1C2FB9B0}" w:val=" ADDIN NE.Ref.{B70387EA-B060-4F95-8925-50DF1C2FB9B0}&lt;Citation&gt;&lt;Group&gt;&lt;References&gt;&lt;Item&gt;&lt;ID&gt;262&lt;/ID&gt;&lt;UID&gt;{24FE8352-03A3-465D-9199-497F2C815CEF}&lt;/UID&gt;&lt;Title&gt;Recent advances in direct air capture by adsorption&lt;/Title&gt;&lt;Template&gt;Journal Article&lt;/Template&gt;&lt;Star&gt;0&lt;/Star&gt;&lt;Tag&gt;5&lt;/Tag&gt;&lt;Author&gt;Zhu, Xuancan; Xie, Wenwen; Wu, Junye; Miao, Yihe; Xiang, Chengjie; Chen, Chunping; Ge, Bingyao; Gan, Zhuozhen; Yang, Fan; Zhang, Man; O&amp;apos;Hare, Dermot; Li, Jia; Ge, Tianshu; Wang, Ruzhu&lt;/Author&gt;&lt;Year&gt;2022&lt;/Year&gt;&lt;Details&gt;&lt;_accessed&gt;64576526&lt;/_accessed&gt;&lt;_collection_scope&gt;SCI;SCIE&lt;/_collection_scope&gt;&lt;_created&gt;64488678&lt;/_created&gt;&lt;_date&gt;64166400&lt;/_date&gt;&lt;_date_display&gt;2022&lt;/_date_display&gt;&lt;_db_updated&gt;PKU Search&lt;/_db_updated&gt;&lt;_doi&gt;10.1039/d1cs00970b&lt;/_doi&gt;&lt;_impact_factor&gt;  60.615&lt;/_impact_factor&gt;&lt;_isbn&gt;0306-0012&lt;/_isbn&gt;&lt;_issue&gt;15&lt;/_issue&gt;&lt;_journal&gt;Chemical Society reviews&lt;/_journal&gt;&lt;_modified&gt;64576526&lt;/_modified&gt;&lt;_number&gt;1&lt;/_number&gt;&lt;_pages&gt;6574-6651&lt;/_pages&gt;&lt;_url&gt;https://go.exlibris.link/qMc0MZlv&lt;/_url&gt;&lt;_volume&gt;51&lt;/_volume&gt;&lt;/Details&gt;&lt;Extra&gt;&lt;DBUID&gt;{7B2DDDD7-8D60-4C47-BB79-F1BF6E9950EC}&lt;/DBUID&gt;&lt;/Extra&gt;&lt;/Item&gt;&lt;/References&gt;&lt;/Group&gt;&lt;/Citation&gt;_x000a_"/>
    <w:docVar w:name="NE.Ref{C7A6A2D9-C02A-494A-A131-811CE81BA810}" w:val=" ADDIN NE.Ref.{C7A6A2D9-C02A-494A-A131-811CE81BA810}&lt;Citation&gt;&lt;Group&gt;&lt;References&gt;&lt;Item&gt;&lt;ID&gt;46&lt;/ID&gt;&lt;UID&gt;{E0E79111-6874-4C55-BBA6-5F412A47CDA4}&lt;/UID&gt;&lt;Title&gt;Techno-economic assessment of CO2 direct air capture plants&lt;/Title&gt;&lt;Template&gt;Journal Article&lt;/Template&gt;&lt;Star&gt;0&lt;/Star&gt;&lt;Tag&gt;5&lt;/Tag&gt;&lt;Author&gt;Fasihi, Mandi; Efimova, Olga; Breyer, Christian&lt;/Author&gt;&lt;Year&gt;2019&lt;/Year&gt;&lt;Details&gt;&lt;_accessed&gt;64374397&lt;/_accessed&gt;&lt;_accession_num&gt;WOS:000469151900082&lt;/_accession_num&gt;&lt;_author_adr&gt;[Fasihi, Mandi; Efimova, Olga; Breyer, Christian] LUT Univ, Yliopistonkatu 34, Lappeenranta 53850, Finland.&lt;/_author_adr&gt;&lt;_cited_count&gt;178&lt;/_cited_count&gt;&lt;_collection_scope&gt;SCIE;EI&lt;/_collection_scope&gt;&lt;_created&gt;64279777&lt;/_created&gt;&lt;_custom4&gt;Fasihi, M (corresponding author), LUT Univ, Yliopistonkatu 34, Lappeenranta 53850, Finland._x000d__x000a_Mandi.Fasihi@lut.fi&lt;/_custom4&gt;&lt;_date_display&gt;2019, JUL 1&lt;/_date_display&gt;&lt;_db_provider&gt;ISI&lt;/_db_provider&gt;&lt;_db_updated&gt;Web of Science-Core&lt;/_db_updated&gt;&lt;_doi&gt;10.1016/j.jclepro.2019.03.086&lt;/_doi&gt;&lt;_funding&gt;Tekes, the Finnish Funding Agency for InnovationFinnish Funding Agency_x000d__x000a_   for Technology &amp;amp; Innovation (TEKES) [40101/14]&lt;/_funding&gt;&lt;_impact_factor&gt;  11.072&lt;/_impact_factor&gt;&lt;_isbn&gt;0959-6526&lt;/_isbn&gt;&lt;_journal&gt;JOURNAL OF CLEANER PRODUCTION&lt;/_journal&gt;&lt;_keywords&gt;Carbon dioxide (CO2); Direct air capture (DAC); Carbon capture and utilisation (CCU); Negative emission technology (NET); Economics&lt;/_keywords&gt;&lt;_language&gt;English&lt;/_language&gt;&lt;_modified&gt;64462857&lt;/_modified&gt;&lt;_ori_publication&gt;ELSEVIER SCI LTD&lt;/_ori_publication&gt;&lt;_pages&gt;957-980&lt;/_pages&gt;&lt;_place_published&gt;THE BOULEVARD, LANGFORD LANE, KIDLINGTON, OXFORD OX5 1GB, OXON, ENGLAND&lt;/_place_published&gt;&lt;_ref_count&gt;114&lt;/_ref_count&gt;&lt;_subject&gt;Science &amp;amp; Technology - Other Topics; Engineering; Environmental Sciences_x000d__x000a_   &amp;amp; Ecology&lt;/_subject&gt;&lt;_type_work&gt;Article&lt;/_type_work&gt;&lt;_url&gt;http://gateway.isiknowledge.com/gateway/Gateway.cgi?GWVersion=2&amp;amp;SrcAuth=AegeanSoftware&amp;amp;SrcApp=NoteExpress&amp;amp;DestLinkType=FullRecord&amp;amp;DestApp=WOS&amp;amp;KeyUT=000469151900082&lt;/_url&gt;&lt;_volume&gt;224&lt;/_volume&gt;&lt;/Details&gt;&lt;Extra&gt;&lt;DBUID&gt;{7B2DDDD7-8D60-4C47-BB79-F1BF6E9950EC}&lt;/DBUID&gt;&lt;/Extra&gt;&lt;/Item&gt;&lt;/References&gt;&lt;/Group&gt;&lt;Group&gt;&lt;References&gt;&lt;Item&gt;&lt;ID&gt;11&lt;/ID&gt;&lt;UID&gt;{60DDA990-6B2B-46E4-88CE-22D427C5B747}&lt;/UID&gt;&lt;Title&gt;An inter-model assessment of the role of direct air capture in deep mitigation pathways&lt;/Title&gt;&lt;Template&gt;Journal Article&lt;/Template&gt;&lt;Star&gt;0&lt;/Star&gt;&lt;Tag&gt;0&lt;/Tag&gt;&lt;Author&gt;Realmonte, Giulia; Drouet, Laurent; Gambhir, Ajay; Glynn, James; Hawkes, Adam; Koberle, Alexandre C; Tavoni, Massimo&lt;/Author&gt;&lt;Year&gt;2019&lt;/Year&gt;&lt;Details&gt;&lt;_accessed&gt;64281318&lt;/_accessed&gt;&lt;_accession_num&gt;WOS:000476721900025&lt;/_accession_num&gt;&lt;_author_adr&gt;[Realmonte, Giulia; Drouet, Laurent; Tavoni, Massimo] Ctr Euromediterraneo Cambiamenti Climat, RFF CMCC European Inst Econ &amp;amp; Environm EIEE, I-20144 Milan, Italy. [Gambhir, Ajay; Hawkes, Adam; Koberle, Alexandre C.] Imperial Coll London, Grantham Inst, London SW7 2AZ, England. [Glynn, James] Univ Coll Cork, MaREI Ctr, Environm Res Inst, Cork T23 XE10, Ireland. [Tavoni, Massimo] Politecn Milan, Dept Management Econ &amp;amp; Ind Engn, I-20156 Milan, Italy.&lt;/_author_adr&gt;&lt;_cited_count&gt;88&lt;/_cited_count&gt;&lt;_collection_scope&gt;SCI;SCIE&lt;/_collection_scope&gt;&lt;_created&gt;64279777&lt;/_created&gt;&lt;_custom4&gt;Realmonte, G (corresponding author), Ctr Euromediterraneo Cambiamenti Climat, RFF CMCC European Inst Econ &amp;amp; Environm EIEE, I-20144 Milan, Italy._x000d__x000a_giulia.realmonte1@gmail.com&lt;/_custom4&gt;&lt;_date_display&gt;2019, JUL 22&lt;/_date_display&gt;&lt;_db_provider&gt;ISI&lt;/_db_provider&gt;&lt;_db_updated&gt;Web of Science-Core&lt;/_db_updated&gt;&lt;_doi&gt;10.1038/s41467-019-10842-5&lt;/_doi&gt;&lt;_funding&gt;Science Foundation Ireland (SFI)Science Foundation Ireland; National_x000d__x000a_   Natural Science Foundation of China (NSFC) under the SFI-NSFC_x000d__x000a_   Partnership ProgrammeNational Natural Science Foundation of China (NSFC)_x000d__x000a_   [17/NSFC/5181]; NERCUK Research &amp;amp; Innovation (UKRI)Natural Environment_x000d__x000a_   Research Council (NERC) [NE/N018656/1] Funding Source: UKRI&lt;/_funding&gt;&lt;_impact_factor&gt;  17.694&lt;/_impact_factor&gt;&lt;_isbn&gt;2041-1723&lt;/_isbn&gt;&lt;_journal&gt;NATURE COMMUNICATIONS&lt;/_journal&gt;&lt;_language&gt;English&lt;/_language&gt;&lt;_modified&gt;64578840&lt;/_modified&gt;&lt;_number&gt;3277&lt;/_number&gt;&lt;_ori_publication&gt;NATURE PUBLISHING GROUP&lt;/_ori_publication&gt;&lt;_place_published&gt;MACMILLAN BUILDING, 4 CRINAN ST, LONDON N1 9XW, ENGLAND&lt;/_place_published&gt;&lt;_ref_count&gt;72&lt;/_ref_count&gt;&lt;_subject&gt;Science &amp;amp; Technology - Other Topics&lt;/_subject&gt;&lt;_type_work&gt;Article&lt;/_type_work&gt;&lt;_url&gt;http://gateway.isiknowledge.com/gateway/Gateway.cgi?GWVersion=2&amp;amp;SrcAuth=AegeanSoftware&amp;amp;SrcApp=NoteExpress&amp;amp;DestLinkType=FullRecord&amp;amp;DestApp=WOS&amp;amp;KeyUT=000476721900025&lt;/_url&gt;&lt;_volume&gt;10&lt;/_volume&gt;&lt;/Details&gt;&lt;Extra&gt;&lt;DBUID&gt;{7B2DDDD7-8D60-4C47-BB79-F1BF6E9950EC}&lt;/DBUID&gt;&lt;/Extra&gt;&lt;/Item&gt;&lt;/References&gt;&lt;/Group&gt;&lt;/Citation&gt;_x000a_"/>
    <w:docVar w:name="NE.Ref{C7CCE13D-1F11-426A-BE70-47B6BE49AB44}" w:val=" ADDIN NE.Ref.{C7CCE13D-1F11-426A-BE70-47B6BE49AB44}&lt;Citation&gt;&lt;Group&gt;&lt;References&gt;&lt;Item&gt;&lt;ID&gt;378&lt;/ID&gt;&lt;UID&gt;{46CE592A-DA49-4274-9BCA-6AB50E1A1592}&lt;/UID&gt;&lt;Title&gt;Generalized gradient approximation made simple&lt;/Title&gt;&lt;Template&gt;Journal Article&lt;/Template&gt;&lt;Star&gt;0&lt;/Star&gt;&lt;Tag&gt;0&lt;/Tag&gt;&lt;Author&gt;Perdew, J P; Burke, K; Ernzerhof, M&lt;/Author&gt;&lt;Year&gt;1996&lt;/Year&gt;&lt;Details&gt;&lt;_created&gt;65114569&lt;/_created&gt;&lt;_modified&gt;65114584&lt;/_modified&gt;&lt;_accessed&gt;65114584&lt;/_accessed&gt;&lt;_db_updated&gt;Web of Science-Core&lt;/_db_updated&gt;&lt;_url&gt;https://www.webofscience.com/wos/alldb/full-record/WOS:A1996VP22500044&lt;/_url&gt;&lt;_place_published&gt;ONE PHYSICS ELLIPSE, COLLEGE PK, MD 20740-3844 USA&lt;/_place_published&gt;&lt;_journal&gt;PHYSICAL REVIEW LETTERS&lt;/_journal&gt;&lt;_volume&gt;77&lt;/_volume&gt;&lt;_issue&gt;18&lt;/_issue&gt;&lt;_pages&gt;3865-3868&lt;/_pages&gt;&lt;_cited_count&gt;145194&lt;/_cited_count&gt;&lt;_ref_count&gt;47&lt;/_ref_count&gt;&lt;_doi&gt;DOI 10.1103/PhysRevLett.78.1396&lt;/_doi&gt;&lt;_isbn&gt;0031-9007&lt;/_isbn&gt;&lt;_ori_publication&gt;AMER PHYSICAL SOC&lt;/_ori_publication&gt;&lt;_cate&gt;Physics, Multidisciplinary;&lt;/_cate&gt;&lt;_author_aff&gt;TULANE UNIV;Tulane University;&lt;/_author_aff&gt;&lt;_impact_factor&gt;   9.185&lt;/_impact_factor&gt;&lt;_social_category&gt;物理：综合(1)&lt;/_social_category&gt;&lt;_collection_scope&gt;SCIE;EI&lt;/_collection_scope&gt;&lt;/Details&gt;&lt;Extra&gt;&lt;DBUID&gt;{7B2DDDD7-8D60-4C47-BB79-F1BF6E9950EC}&lt;/DBUID&gt;&lt;/Extra&gt;&lt;/Item&gt;&lt;/References&gt;&lt;/Group&gt;&lt;/Citation&gt;_x000a_"/>
    <w:docVar w:name="NE.Ref{D415898C-7750-41C4-81BE-5DB9520DE568}" w:val=" ADDIN NE.Ref.{D415898C-7750-41C4-81BE-5DB9520DE568}&lt;Citation&gt;&lt;Group&gt;&lt;References&gt;&lt;Item&gt;&lt;ID&gt;376&lt;/ID&gt;&lt;UID&gt;{91585640-88F0-4D2E-906A-19EB36CE4711}&lt;/UID&gt;&lt;Title&gt;Efficiency of ab-initio total energy calculations for metals and semiconductors using a plane-wave basis set&lt;/Title&gt;&lt;Template&gt;Journal Article&lt;/Template&gt;&lt;Star&gt;0&lt;/Star&gt;&lt;Tag&gt;0&lt;/Tag&gt;&lt;Author&gt;Kresse, G; Furthmüller, J&lt;/Author&gt;&lt;Year&gt;1996&lt;/Year&gt;&lt;Details&gt;&lt;_created&gt;65114569&lt;/_created&gt;&lt;_modified&gt;65114583&lt;/_modified&gt;&lt;_url&gt;https://www.sciencedirect.com/science/article/pii/0927025696000080&lt;/_url&gt;&lt;_journal&gt;Computational Materials Science&lt;/_journal&gt;&lt;_volume&gt;6&lt;/_volume&gt;&lt;_issue&gt;1&lt;/_issue&gt;&lt;_pages&gt;15-50&lt;/_pages&gt;&lt;_doi&gt;https://doi.org/10.1016/0927-0256(96)00008-0&lt;/_doi&gt;&lt;_date_display&gt;1996&lt;/_date_display&gt;&lt;_date&gt;50490720&lt;/_date&gt;&lt;_alternate_title&gt;Computational Materials Science&lt;/_alternate_title&gt;&lt;_isbn&gt;0927-0256&lt;/_isbn&gt;&lt;_accessed&gt;65114582&lt;/_accessed&gt;&lt;_db_updated&gt;ScienceDirect&lt;/_db_updated&gt;&lt;_impact_factor&gt;   3.572&lt;/_impact_factor&gt;&lt;_social_category&gt;材料科学：综合(3)&lt;/_social_category&gt;&lt;_collection_scope&gt;SCIE;EI&lt;/_collection_scope&gt;&lt;/Details&gt;&lt;Extra&gt;&lt;DBUID&gt;{7B2DDDD7-8D60-4C47-BB79-F1BF6E9950EC}&lt;/DBUID&gt;&lt;/Extra&gt;&lt;/Item&gt;&lt;/References&gt;&lt;/Group&gt;&lt;Group&gt;&lt;References&gt;&lt;Item&gt;&lt;ID&gt;377&lt;/ID&gt;&lt;UID&gt;{C77FC791-6D21-419B-84B0-134219B1D5CF}&lt;/UID&gt;&lt;Title&gt;Efficient iterative schemes for ab initio total-energy calculations using a  plane-wave basis set&lt;/Title&gt;&lt;Template&gt;Journal Article&lt;/Template&gt;&lt;Star&gt;0&lt;/Star&gt;&lt;Tag&gt;0&lt;/Tag&gt;&lt;Author&gt;Kresse, G; Furthmuller, J&lt;/Author&gt;&lt;Year&gt;1996&lt;/Year&gt;&lt;Details&gt;&lt;_created&gt;65114569&lt;/_created&gt;&lt;_modified&gt;65114583&lt;/_modified&gt;&lt;_url&gt;http://www.ncbi.nlm.nih.gov/entrez/query.fcgi?cmd=Retrieve&amp;amp;db=pubmed&amp;amp;dopt=Abstract&amp;amp;list_uids=9984901&amp;amp;query_hl=1&lt;/_url&gt;&lt;_journal&gt;Phys Rev B Condens Matter&lt;/_journal&gt;&lt;_volume&gt;54&lt;/_volume&gt;&lt;_issue&gt;16&lt;/_issue&gt;&lt;_pages&gt;11169-11186&lt;/_pages&gt;&lt;_tertiary_title&gt;Physical review. B, Condensed matter&lt;/_tertiary_title&gt;&lt;_doi&gt;10.1103/physrevb.54.11169&lt;/_doi&gt;&lt;_date_display&gt;1996 Oct 15&lt;/_date_display&gt;&lt;_date&gt;50905440&lt;/_date&gt;&lt;_type_work&gt;Journal Article&lt;/_type_work&gt;&lt;_isbn&gt;0163-1829 (Print); 0163-1829 (Linking)&lt;/_isbn&gt;&lt;_accession_num&gt;9984901&lt;/_accession_num&gt;&lt;_language&gt;eng&lt;/_language&gt;&lt;_accessed&gt;65114583&lt;/_accessed&gt;&lt;_db_updated&gt;PubMed&lt;/_db_updated&gt;&lt;/Details&gt;&lt;Extra&gt;&lt;DBUID&gt;{7B2DDDD7-8D60-4C47-BB79-F1BF6E9950EC}&lt;/DBUID&gt;&lt;/Extra&gt;&lt;/Item&gt;&lt;/References&gt;&lt;/Group&gt;&lt;/Citation&gt;_x000a_"/>
    <w:docVar w:name="NE.Ref{DFA226BD-3CF4-41D6-8A6B-50BA373703EB}" w:val=" ADDIN NE.Ref.{DFA226BD-3CF4-41D6-8A6B-50BA373703EB}&lt;Citation&gt;&lt;Group&gt;&lt;References&gt;&lt;Item&gt;&lt;ID&gt;374&lt;/ID&gt;&lt;UID&gt;{E7984119-2F41-462C-AAD3-A9CCBD706F60}&lt;/UID&gt;&lt;Title&gt;Sub-Ambient Temperature Direct Air Capture of CO2              using Amine-Impregnated MIL-101(Cr) Enables Ambient Temperature CO2              Recovery&lt;/Title&gt;&lt;Template&gt;Journal Article&lt;/Template&gt;&lt;Star&gt;0&lt;/Star&gt;&lt;Tag&gt;0&lt;/Tag&gt;&lt;Author&gt;Rim, Guanhe; Kong, Fanhe; Song, Mingyu; Rosu, Cornelia; Priyadarshini, Pranjali; Lively, Ryan P; Jones, Christopher W&lt;/Author&gt;&lt;Year&gt;2022&lt;/Year&gt;&lt;Details&gt;&lt;_doi&gt;10.1021/jacsau.1c00414&lt;/_doi&gt;&lt;_created&gt;65114569&lt;/_created&gt;&lt;_modified&gt;65114581&lt;/_modified&gt;&lt;_url&gt;https://pubs.acs.org/doi/10.1021/jacsau.1c00414_x000d__x000a_https://pubs.acs.org/doi/pdf/10.1021/jacsau.1c00414&lt;/_url&gt;&lt;_journal&gt;JACS Au&lt;/_journal&gt;&lt;_volume&gt;2&lt;/_volume&gt;&lt;_issue&gt;2&lt;/_issue&gt;&lt;_pages&gt;380-393&lt;/_pages&gt;&lt;_tertiary_title&gt;JACS Au&lt;/_tertiary_title&gt;&lt;_date&gt;64249920&lt;/_date&gt;&lt;_isbn&gt;2691-3704&lt;/_isbn&gt;&lt;_accessed&gt;65114581&lt;/_accessed&gt;&lt;_db_updated&gt;CrossRef&lt;/_db_updated&gt;&lt;_collection_scope&gt;ESCI&lt;/_collection_scope&gt;&lt;/Details&gt;&lt;Extra&gt;&lt;DBUID&gt;{7B2DDDD7-8D60-4C47-BB79-F1BF6E9950EC}&lt;/DBUID&gt;&lt;/Extra&gt;&lt;/Item&gt;&lt;/References&gt;&lt;/Group&gt;&lt;Group&gt;&lt;References&gt;&lt;Item&gt;&lt;ID&gt;375&lt;/ID&gt;&lt;UID&gt;{D0AD2CF2-03B5-47EE-A7A3-98C914A0833D}&lt;/UID&gt;&lt;Title&gt;A chromium terephthalate-based solid with unusually large pore volumes and  surface area&lt;/Title&gt;&lt;Template&gt;Journal Article&lt;/Template&gt;&lt;Star&gt;0&lt;/Star&gt;&lt;Tag&gt;0&lt;/Tag&gt;&lt;Author&gt;Ferey, G; Mellot-Draznieks, C; Serre, C; Millange, F; Dutour, J; Surble, S; Margiolaki, I&lt;/Author&gt;&lt;Year&gt;2005&lt;/Year&gt;&lt;Details&gt;&lt;_created&gt;65114569&lt;/_created&gt;&lt;_modified&gt;65114581&lt;/_modified&gt;&lt;_url&gt;http://www.ncbi.nlm.nih.gov/entrez/query.fcgi?cmd=Retrieve&amp;amp;db=pubmed&amp;amp;dopt=Abstract&amp;amp;list_uids=16179475&amp;amp;query_hl=1&lt;/_url&gt;&lt;_journal&gt;Science&lt;/_journal&gt;&lt;_volume&gt;309&lt;/_volume&gt;&lt;_issue&gt;5743&lt;/_issue&gt;&lt;_pages&gt;2040-2&lt;/_pages&gt;&lt;_tertiary_title&gt;Science (New York, N.Y.)&lt;/_tertiary_title&gt;&lt;_doi&gt;10.1126/science.1116275&lt;/_doi&gt;&lt;_date_display&gt;2005 Sep 23&lt;/_date_display&gt;&lt;_date&gt;55607040&lt;/_date&gt;&lt;_type_work&gt;Journal Article&lt;/_type_work&gt;&lt;_isbn&gt;1095-9203 (Electronic); 0036-8075 (Linking)&lt;/_isbn&gt;&lt;_accession_num&gt;16179475&lt;/_accession_num&gt;&lt;_author_adr&gt;Institut Lavoisier, CNRS Unite Mixte de Recherche 8637, Universite de Versailles  St-Quentin en Yvelines, 45 Avenue des Etats-Unis, 78035 Versailles Cedex, France.  ferey@chimie.uvsq.fr&lt;/_author_adr&gt;&lt;_language&gt;eng&lt;/_language&gt;&lt;_accessed&gt;65114581&lt;/_accessed&gt;&lt;_db_updated&gt;PubMed&lt;/_db_updated&gt;&lt;_impact_factor&gt;  63.714&lt;/_impact_factor&gt;&lt;_social_category&gt;综合性期刊(1)&lt;/_social_category&gt;&lt;_collection_scope&gt;SCIE&lt;/_collection_scope&gt;&lt;/Details&gt;&lt;Extra&gt;&lt;DBUID&gt;{7B2DDDD7-8D60-4C47-BB79-F1BF6E9950EC}&lt;/DBUID&gt;&lt;/Extra&gt;&lt;/Item&gt;&lt;/References&gt;&lt;/Group&gt;&lt;/Citation&gt;_x000a_"/>
    <w:docVar w:name="NE.Ref{E60C811B-7E34-4093-A664-0B42196D1007}" w:val=" ADDIN NE.Ref.{E60C811B-7E34-4093-A664-0B42196D1007}&lt;Citation&gt;&lt;Group&gt;&lt;References&gt;&lt;Item&gt;&lt;ID&gt;140&lt;/ID&gt;&lt;UID&gt;{4798BD10-A60C-4ED2-BF5C-0794B13F0DAC}&lt;/UID&gt;&lt;Title&gt;Highly efficient and stable PEI@Al2O3 adsorbents derived from coal fly ash for biogas upgrading&lt;/Title&gt;&lt;Template&gt;Journal Article&lt;/Template&gt;&lt;Star&gt;0&lt;/Star&gt;&lt;Tag&gt;0&lt;/Tag&gt;&lt;Author&gt;Li, Chunyan; Yan, Feng; Shen, Xuehua; Qu, Fan; Wang, Yingqing; Zhang, Zuotai&lt;/Author&gt;&lt;Year&gt;2021&lt;/Year&gt;&lt;Details&gt;&lt;_accessed&gt;64319689&lt;/_accessed&gt;&lt;_created&gt;64319689&lt;/_created&gt;&lt;_date&gt;63640800&lt;/_date&gt;&lt;_date_display&gt;2021&lt;/_date_display&gt;&lt;_db_updated&gt;PKU Search&lt;/_db_updated&gt;&lt;_doi&gt;10.1016/j.cej.2020.128117&lt;/_doi&gt;&lt;_impact_factor&gt;  16.744&lt;/_impact_factor&gt;&lt;_isbn&gt;1385-8947&lt;/_isbn&gt;&lt;_journal&gt;Chemical engineering journal (Lausanne, Switzerland : 1996)&lt;/_journal&gt;&lt;_keywords&gt;Biogas upgrading; Coal fly ash; Cyclic stability; PEI@Al2O3 adsorbents; Porous nano-Al2O3 supports; Realistic regeneration conditions&lt;/_keywords&gt;&lt;_modified&gt;64535743&lt;/_modified&gt;&lt;_number&gt;1&lt;/_number&gt;&lt;_ori_publication&gt;Elsevier B.V&lt;/_ori_publication&gt;&lt;_pages&gt;128117&lt;/_pages&gt;&lt;_url&gt;https://go.exlibris.link/bG0fSHmZ&lt;/_url&gt;&lt;_volume&gt;409&lt;/_volume&gt;&lt;/Details&gt;&lt;Extra&gt;&lt;DBUID&gt;{7B2DDDD7-8D60-4C47-BB79-F1BF6E9950EC}&lt;/DBUID&gt;&lt;/Extra&gt;&lt;/Item&gt;&lt;/References&gt;&lt;/Group&gt;&lt;/Citation&gt;_x000a_"/>
    <w:docVar w:name="NE.Ref{EECA2585-87B4-4E35-9FCA-A3CD43E723B0}" w:val=" ADDIN NE.Ref.{EECA2585-87B4-4E35-9FCA-A3CD43E723B0}&lt;Citation&gt;&lt;Group&gt;&lt;References&gt;&lt;Item&gt;&lt;ID&gt;379&lt;/ID&gt;&lt;UID&gt;{4A8B0056-7322-407B-90EC-7CAF0F77CF70}&lt;/UID&gt;&lt;Title&gt;From ultrasoft pseudopotentials to the projector augmented-wave method&lt;/Title&gt;&lt;Template&gt;Journal Article&lt;/Template&gt;&lt;Star&gt;0&lt;/Star&gt;&lt;Tag&gt;0&lt;/Tag&gt;&lt;Author&gt;Kresse, G; Joubert, D&lt;/Author&gt;&lt;Year&gt;1999&lt;/Year&gt;&lt;Details&gt;&lt;_created&gt;65114569&lt;/_created&gt;&lt;_modified&gt;65114584&lt;/_modified&gt;&lt;_accessed&gt;65114584&lt;/_accessed&gt;&lt;_db_updated&gt;Web of Science-Core&lt;/_db_updated&gt;&lt;_url&gt;https://www.webofscience.com/wos/alldb/full-record/WOS:000078291000045&lt;/_url&gt;&lt;_place_published&gt;ONE PHYSICS ELLIPSE, COLLEGE PK, MD 20740-3844 USA&lt;/_place_published&gt;&lt;_journal&gt;PHYSICAL REVIEW B&lt;/_journal&gt;&lt;_volume&gt;59&lt;/_volume&gt;&lt;_issue&gt;3&lt;/_issue&gt;&lt;_pages&gt;1758-1775&lt;/_pages&gt;&lt;_cited_count&gt;50584&lt;/_cited_count&gt;&lt;_ref_count&gt;51&lt;/_ref_count&gt;&lt;_doi&gt;DOI 10.1103/PhysRevB.59.1758&lt;/_doi&gt;&lt;_isbn&gt;1098-0121&lt;/_isbn&gt;&lt;_ori_publication&gt;AMER PHYSICAL SOC&lt;/_ori_publication&gt;&lt;_cate&gt;Materials Science, Multidisciplinary;Physics, Applied;Physics, Condensed Matter;&lt;/_cate&gt;&lt;_author_aff&gt;Vienna Univ Technol;Technische Universitat Wien;TU Wien Faculty of Physics;TU Wien Institute for Theoretical Physics;Univ Witwatersrand;University of Witwatersrand;&lt;/_author_aff&gt;&lt;_impact_factor&gt;   3.908&lt;/_impact_factor&gt;&lt;_social_category&gt;材料科学：综合(3) &amp;amp; 物理：应用(2) &amp;amp; 物理：凝聚态物理(2)&lt;/_social_category&gt;&lt;_collection_scope&gt;SCIE;EI&lt;/_collection_scope&gt;&lt;/Details&gt;&lt;Extra&gt;&lt;DBUID&gt;{7B2DDDD7-8D60-4C47-BB79-F1BF6E9950EC}&lt;/DBUID&gt;&lt;/Extra&gt;&lt;/Item&gt;&lt;/References&gt;&lt;/Group&gt;&lt;Group&gt;&lt;References&gt;&lt;Item&gt;&lt;ID&gt;380&lt;/ID&gt;&lt;UID&gt;{CD78E7D9-95D2-44B9-83EC-98C092907C37}&lt;/UID&gt;&lt;Title&gt;PROJECTOR AUGMENTED -WAVE METHOD&lt;/Title&gt;&lt;Template&gt;Journal Article&lt;/Template&gt;&lt;Star&gt;0&lt;/Star&gt;&lt;Tag&gt;0&lt;/Tag&gt;&lt;Author&gt;BLOCHL, P E&lt;/Author&gt;&lt;Year&gt;1994&lt;/Year&gt;&lt;Details&gt;&lt;_created&gt;65114569&lt;/_created&gt;&lt;_modified&gt;65114585&lt;/_modified&gt;&lt;_accessed&gt;65114584&lt;/_accessed&gt;&lt;_db_updated&gt;Web of Science-Core&lt;/_db_updated&gt;&lt;_url&gt;https://www.webofscience.com/wos/alldb/full-record/WOS:A1994QB02200016&lt;/_url&gt;&lt;_place_published&gt;ONE PHYSICS ELLIPSE, COLLEGE PK, MD 20740-3844 USA&lt;/_place_published&gt;&lt;_journal&gt;PHYSICAL REVIEW B&lt;/_journal&gt;&lt;_volume&gt;50&lt;/_volume&gt;&lt;_issue&gt;24&lt;/_issue&gt;&lt;_pages&gt;17953-17979&lt;/_pages&gt;&lt;_cited_count&gt;50331&lt;/_cited_count&gt;&lt;_ref_count&gt;71&lt;/_ref_count&gt;&lt;_doi&gt;DOI 10.1103/PhysRevB.50.17953&lt;/_doi&gt;&lt;_isbn&gt;1098-0121&lt;/_isbn&gt;&lt;_ori_publication&gt;AMER PHYSICAL SOC&lt;/_ori_publication&gt;&lt;_cate&gt;Materials Science, Multidisciplinary;Physics, Applied;Physics, Condensed Matter;&lt;/_cate&gt;&lt;_impact_factor&gt;   3.908&lt;/_impact_factor&gt;&lt;_social_category&gt;材料科学：综合(3) &amp;amp; 物理：应用(2) &amp;amp; 物理：凝聚态物理(2)&lt;/_social_category&gt;&lt;_collection_scope&gt;SCIE;EI&lt;/_collection_scope&gt;&lt;/Details&gt;&lt;Extra&gt;&lt;DBUID&gt;{7B2DDDD7-8D60-4C47-BB79-F1BF6E9950EC}&lt;/DBUID&gt;&lt;/Extra&gt;&lt;/Item&gt;&lt;/References&gt;&lt;/Group&gt;&lt;/Citation&gt;_x000a_"/>
    <w:docVar w:name="NE.Ref{FAB0442E-0EC4-4FFD-888E-75858C3A237B}" w:val=" ADDIN NE.Ref.{FAB0442E-0EC4-4FFD-888E-75858C3A237B}&lt;Citation&gt;&lt;Group&gt;&lt;References&gt;&lt;Item&gt;&lt;ID&gt;5&lt;/ID&gt;&lt;UID&gt;{03FF3F55-9B1D-4E38-AFA9-BA3701EC5007}&lt;/UID&gt;&lt;Title&gt;Direct Capture of CO2 from Ambient Air&lt;/Title&gt;&lt;Template&gt;Journal Article&lt;/Template&gt;&lt;Star&gt;1&lt;/Star&gt;&lt;Tag&gt;5&lt;/Tag&gt;&lt;Author&gt;Sanz-Pérez, Eloy S; Murdock, Christopher R; Didas, Stephanie A; Jones, Christopher W&lt;/Author&gt;&lt;Year&gt;2016&lt;/Year&gt;&lt;Details&gt;&lt;_accessed&gt;64576525&lt;/_accessed&gt;&lt;_collection_scope&gt;SCI;SCIE;EI&lt;/_collection_scope&gt;&lt;_created&gt;64272004&lt;/_created&gt;&lt;_date&gt;61009920&lt;/_date&gt;&lt;_date_display&gt;2016&lt;/_date_display&gt;&lt;_db_updated&gt;PKU Search&lt;/_db_updated&gt;&lt;_doi&gt;10.1021/acs.chemrev.6b00173&lt;/_doi&gt;&lt;_impact_factor&gt;  72.087&lt;/_impact_factor&gt;&lt;_isbn&gt;0009-2665&lt;/_isbn&gt;&lt;_issue&gt;19&lt;/_issue&gt;&lt;_journal&gt;Chemical reviews&lt;/_journal&gt;&lt;_modified&gt;64576526&lt;/_modified&gt;&lt;_number&gt;2&lt;/_number&gt;&lt;_ori_publication&gt;American Chemical Society&lt;/_ori_publication&gt;&lt;_pages&gt;11840-11876&lt;/_pages&gt;&lt;_url&gt;https://go.exlibris.link/pMSMTphk&lt;/_url&gt;&lt;_volume&gt;116&lt;/_volume&gt;&lt;/Details&gt;&lt;Extra&gt;&lt;DBUID&gt;{7B2DDDD7-8D60-4C47-BB79-F1BF6E9950EC}&lt;/DBUID&gt;&lt;/Extra&gt;&lt;/Item&gt;&lt;/References&gt;&lt;/Group&gt;&lt;/Citation&gt;_x000a_"/>
    <w:docVar w:name="ne_docsoft" w:val="MSWord"/>
    <w:docVar w:name="ne_docversion" w:val="NoteExpress 2.0"/>
    <w:docVar w:name="ne_stylename" w:val="Nature Communications"/>
  </w:docVars>
  <w:rsids>
    <w:rsidRoot w:val="00C46776"/>
    <w:rsid w:val="00003AE2"/>
    <w:rsid w:val="00006238"/>
    <w:rsid w:val="00011E20"/>
    <w:rsid w:val="00017366"/>
    <w:rsid w:val="000219DC"/>
    <w:rsid w:val="000443A7"/>
    <w:rsid w:val="00060916"/>
    <w:rsid w:val="00063190"/>
    <w:rsid w:val="00074E08"/>
    <w:rsid w:val="000A027C"/>
    <w:rsid w:val="000B1BEE"/>
    <w:rsid w:val="000B7EAE"/>
    <w:rsid w:val="000C4033"/>
    <w:rsid w:val="000D5C17"/>
    <w:rsid w:val="000D6BB9"/>
    <w:rsid w:val="000E4A94"/>
    <w:rsid w:val="000F0E63"/>
    <w:rsid w:val="001041A1"/>
    <w:rsid w:val="00104774"/>
    <w:rsid w:val="00105E8E"/>
    <w:rsid w:val="00106424"/>
    <w:rsid w:val="0011165E"/>
    <w:rsid w:val="00114375"/>
    <w:rsid w:val="00120365"/>
    <w:rsid w:val="001233DB"/>
    <w:rsid w:val="00131C5E"/>
    <w:rsid w:val="00161C24"/>
    <w:rsid w:val="001710AD"/>
    <w:rsid w:val="00176311"/>
    <w:rsid w:val="00181BBF"/>
    <w:rsid w:val="001A217F"/>
    <w:rsid w:val="001B6572"/>
    <w:rsid w:val="001C4997"/>
    <w:rsid w:val="001D221D"/>
    <w:rsid w:val="001E5573"/>
    <w:rsid w:val="001F126C"/>
    <w:rsid w:val="001F3A31"/>
    <w:rsid w:val="00207330"/>
    <w:rsid w:val="002135E5"/>
    <w:rsid w:val="00216FEC"/>
    <w:rsid w:val="0022213B"/>
    <w:rsid w:val="00223BBA"/>
    <w:rsid w:val="00225FAC"/>
    <w:rsid w:val="0023673A"/>
    <w:rsid w:val="00256658"/>
    <w:rsid w:val="002602D0"/>
    <w:rsid w:val="00283F8D"/>
    <w:rsid w:val="002A3A35"/>
    <w:rsid w:val="002A3F60"/>
    <w:rsid w:val="002A6DE5"/>
    <w:rsid w:val="002A6E5B"/>
    <w:rsid w:val="002B0409"/>
    <w:rsid w:val="002B2EF1"/>
    <w:rsid w:val="002C0B41"/>
    <w:rsid w:val="002C1F18"/>
    <w:rsid w:val="002D0B61"/>
    <w:rsid w:val="002E3D19"/>
    <w:rsid w:val="002E5D46"/>
    <w:rsid w:val="002F4723"/>
    <w:rsid w:val="002F68F8"/>
    <w:rsid w:val="00301932"/>
    <w:rsid w:val="003035BF"/>
    <w:rsid w:val="00306C86"/>
    <w:rsid w:val="00312547"/>
    <w:rsid w:val="00337816"/>
    <w:rsid w:val="00351DDA"/>
    <w:rsid w:val="003601C6"/>
    <w:rsid w:val="00362767"/>
    <w:rsid w:val="0036439B"/>
    <w:rsid w:val="0038199C"/>
    <w:rsid w:val="00392844"/>
    <w:rsid w:val="003A1D3A"/>
    <w:rsid w:val="003A44F4"/>
    <w:rsid w:val="003A6477"/>
    <w:rsid w:val="003C29A3"/>
    <w:rsid w:val="003C3ECB"/>
    <w:rsid w:val="003C6811"/>
    <w:rsid w:val="003D1815"/>
    <w:rsid w:val="003E0FC4"/>
    <w:rsid w:val="003E5485"/>
    <w:rsid w:val="003E6890"/>
    <w:rsid w:val="003E7C25"/>
    <w:rsid w:val="003F7694"/>
    <w:rsid w:val="00412757"/>
    <w:rsid w:val="0041370A"/>
    <w:rsid w:val="004163C0"/>
    <w:rsid w:val="0043000E"/>
    <w:rsid w:val="0043654B"/>
    <w:rsid w:val="00451C42"/>
    <w:rsid w:val="0046076A"/>
    <w:rsid w:val="0046346E"/>
    <w:rsid w:val="004829F1"/>
    <w:rsid w:val="00487CC9"/>
    <w:rsid w:val="004A4B7B"/>
    <w:rsid w:val="004A4CD5"/>
    <w:rsid w:val="004A5E54"/>
    <w:rsid w:val="004B7160"/>
    <w:rsid w:val="004C1BA2"/>
    <w:rsid w:val="004D3E87"/>
    <w:rsid w:val="004D4432"/>
    <w:rsid w:val="004D7540"/>
    <w:rsid w:val="0050133E"/>
    <w:rsid w:val="005138C0"/>
    <w:rsid w:val="005142E1"/>
    <w:rsid w:val="00521A99"/>
    <w:rsid w:val="00523AB6"/>
    <w:rsid w:val="0053336F"/>
    <w:rsid w:val="00540A20"/>
    <w:rsid w:val="005440A4"/>
    <w:rsid w:val="00547C3B"/>
    <w:rsid w:val="00552C14"/>
    <w:rsid w:val="005643BA"/>
    <w:rsid w:val="00574385"/>
    <w:rsid w:val="0057756F"/>
    <w:rsid w:val="005D5290"/>
    <w:rsid w:val="005D5F45"/>
    <w:rsid w:val="005E1760"/>
    <w:rsid w:val="006025AA"/>
    <w:rsid w:val="006065E8"/>
    <w:rsid w:val="00607437"/>
    <w:rsid w:val="00611276"/>
    <w:rsid w:val="0061142D"/>
    <w:rsid w:val="00614283"/>
    <w:rsid w:val="0061750B"/>
    <w:rsid w:val="00623904"/>
    <w:rsid w:val="00626EC5"/>
    <w:rsid w:val="00630142"/>
    <w:rsid w:val="00656A10"/>
    <w:rsid w:val="0065786A"/>
    <w:rsid w:val="00664C92"/>
    <w:rsid w:val="00674EA8"/>
    <w:rsid w:val="006917F1"/>
    <w:rsid w:val="006A7420"/>
    <w:rsid w:val="006B6BD5"/>
    <w:rsid w:val="006E6958"/>
    <w:rsid w:val="006F5251"/>
    <w:rsid w:val="00704B20"/>
    <w:rsid w:val="0071759B"/>
    <w:rsid w:val="007236C0"/>
    <w:rsid w:val="00743CC6"/>
    <w:rsid w:val="007643C3"/>
    <w:rsid w:val="007A6081"/>
    <w:rsid w:val="007A7152"/>
    <w:rsid w:val="007A724D"/>
    <w:rsid w:val="007C069F"/>
    <w:rsid w:val="007C5480"/>
    <w:rsid w:val="007D492A"/>
    <w:rsid w:val="007F4BCD"/>
    <w:rsid w:val="00800F90"/>
    <w:rsid w:val="0080325C"/>
    <w:rsid w:val="00813DFB"/>
    <w:rsid w:val="008165FE"/>
    <w:rsid w:val="00824EAD"/>
    <w:rsid w:val="008348FB"/>
    <w:rsid w:val="00834F5B"/>
    <w:rsid w:val="00835D7E"/>
    <w:rsid w:val="008377FC"/>
    <w:rsid w:val="00842113"/>
    <w:rsid w:val="0086136D"/>
    <w:rsid w:val="00877554"/>
    <w:rsid w:val="0088151F"/>
    <w:rsid w:val="00891780"/>
    <w:rsid w:val="008A13C5"/>
    <w:rsid w:val="008C040C"/>
    <w:rsid w:val="008E62A2"/>
    <w:rsid w:val="00902D61"/>
    <w:rsid w:val="00904DDC"/>
    <w:rsid w:val="00906DB8"/>
    <w:rsid w:val="009163BC"/>
    <w:rsid w:val="00927E8F"/>
    <w:rsid w:val="00930431"/>
    <w:rsid w:val="00934846"/>
    <w:rsid w:val="009425E9"/>
    <w:rsid w:val="00985566"/>
    <w:rsid w:val="00992ED7"/>
    <w:rsid w:val="00996578"/>
    <w:rsid w:val="009B2259"/>
    <w:rsid w:val="009B4505"/>
    <w:rsid w:val="009B51D8"/>
    <w:rsid w:val="009B75C9"/>
    <w:rsid w:val="009C2396"/>
    <w:rsid w:val="009D386F"/>
    <w:rsid w:val="00A258D3"/>
    <w:rsid w:val="00A258F2"/>
    <w:rsid w:val="00A369CA"/>
    <w:rsid w:val="00A400C7"/>
    <w:rsid w:val="00A60CF6"/>
    <w:rsid w:val="00A626A9"/>
    <w:rsid w:val="00A65EDB"/>
    <w:rsid w:val="00A71563"/>
    <w:rsid w:val="00A84B79"/>
    <w:rsid w:val="00A85006"/>
    <w:rsid w:val="00A85543"/>
    <w:rsid w:val="00AA3F38"/>
    <w:rsid w:val="00AA49DD"/>
    <w:rsid w:val="00B07512"/>
    <w:rsid w:val="00B15302"/>
    <w:rsid w:val="00B15C33"/>
    <w:rsid w:val="00B275B9"/>
    <w:rsid w:val="00B33024"/>
    <w:rsid w:val="00B359BA"/>
    <w:rsid w:val="00B36280"/>
    <w:rsid w:val="00B4283A"/>
    <w:rsid w:val="00B842DB"/>
    <w:rsid w:val="00B86C71"/>
    <w:rsid w:val="00BA000F"/>
    <w:rsid w:val="00BA036B"/>
    <w:rsid w:val="00BA264C"/>
    <w:rsid w:val="00BB322F"/>
    <w:rsid w:val="00BC0B65"/>
    <w:rsid w:val="00BC0D3B"/>
    <w:rsid w:val="00BD7137"/>
    <w:rsid w:val="00BE206C"/>
    <w:rsid w:val="00BF4745"/>
    <w:rsid w:val="00BF4A8C"/>
    <w:rsid w:val="00C004A9"/>
    <w:rsid w:val="00C1769D"/>
    <w:rsid w:val="00C21D31"/>
    <w:rsid w:val="00C46776"/>
    <w:rsid w:val="00C4773C"/>
    <w:rsid w:val="00C50693"/>
    <w:rsid w:val="00C613CA"/>
    <w:rsid w:val="00C67AFC"/>
    <w:rsid w:val="00C7729C"/>
    <w:rsid w:val="00C77457"/>
    <w:rsid w:val="00C91BDB"/>
    <w:rsid w:val="00C937A7"/>
    <w:rsid w:val="00C95C63"/>
    <w:rsid w:val="00CA1716"/>
    <w:rsid w:val="00CA2804"/>
    <w:rsid w:val="00CC315C"/>
    <w:rsid w:val="00CC3D5C"/>
    <w:rsid w:val="00CC7497"/>
    <w:rsid w:val="00D06D72"/>
    <w:rsid w:val="00D1796D"/>
    <w:rsid w:val="00D21BB2"/>
    <w:rsid w:val="00D25FE2"/>
    <w:rsid w:val="00D2655C"/>
    <w:rsid w:val="00D26678"/>
    <w:rsid w:val="00D26E95"/>
    <w:rsid w:val="00D27BD2"/>
    <w:rsid w:val="00D34524"/>
    <w:rsid w:val="00D8160A"/>
    <w:rsid w:val="00D83D0D"/>
    <w:rsid w:val="00D84B7E"/>
    <w:rsid w:val="00DB4032"/>
    <w:rsid w:val="00DB4EC0"/>
    <w:rsid w:val="00E02577"/>
    <w:rsid w:val="00E21538"/>
    <w:rsid w:val="00E4434F"/>
    <w:rsid w:val="00E67DBB"/>
    <w:rsid w:val="00E8307B"/>
    <w:rsid w:val="00E939DF"/>
    <w:rsid w:val="00EA3447"/>
    <w:rsid w:val="00EA735F"/>
    <w:rsid w:val="00EA74D3"/>
    <w:rsid w:val="00EC1062"/>
    <w:rsid w:val="00EC4FD6"/>
    <w:rsid w:val="00ED27C2"/>
    <w:rsid w:val="00ED397D"/>
    <w:rsid w:val="00ED4BC9"/>
    <w:rsid w:val="00EE16B2"/>
    <w:rsid w:val="00EF06C6"/>
    <w:rsid w:val="00EF2880"/>
    <w:rsid w:val="00EF4C7F"/>
    <w:rsid w:val="00EF7449"/>
    <w:rsid w:val="00F0424C"/>
    <w:rsid w:val="00F202D9"/>
    <w:rsid w:val="00F231C1"/>
    <w:rsid w:val="00F3360F"/>
    <w:rsid w:val="00F378B3"/>
    <w:rsid w:val="00F54E5D"/>
    <w:rsid w:val="00F80667"/>
    <w:rsid w:val="00F808C3"/>
    <w:rsid w:val="00FA2FAD"/>
    <w:rsid w:val="00FB3070"/>
    <w:rsid w:val="00FB3712"/>
    <w:rsid w:val="00FC038C"/>
    <w:rsid w:val="00FC1A8B"/>
    <w:rsid w:val="00FC51CB"/>
    <w:rsid w:val="00FD2354"/>
    <w:rsid w:val="00FE49AB"/>
    <w:rsid w:val="00FE781B"/>
    <w:rsid w:val="00FF630A"/>
    <w:rsid w:val="00FF7BBA"/>
    <w:rsid w:val="04B70785"/>
    <w:rsid w:val="091A7535"/>
    <w:rsid w:val="0B73489B"/>
    <w:rsid w:val="11584F0A"/>
    <w:rsid w:val="11D87F8D"/>
    <w:rsid w:val="12E86716"/>
    <w:rsid w:val="164D5693"/>
    <w:rsid w:val="17FA6829"/>
    <w:rsid w:val="18A914E6"/>
    <w:rsid w:val="191F5938"/>
    <w:rsid w:val="1B1148C3"/>
    <w:rsid w:val="1D392227"/>
    <w:rsid w:val="21FF50C2"/>
    <w:rsid w:val="241E0D87"/>
    <w:rsid w:val="27B74DEC"/>
    <w:rsid w:val="2C2725D4"/>
    <w:rsid w:val="2F8E269B"/>
    <w:rsid w:val="303C6642"/>
    <w:rsid w:val="318B3AB2"/>
    <w:rsid w:val="338E775C"/>
    <w:rsid w:val="344E714D"/>
    <w:rsid w:val="37FE02EA"/>
    <w:rsid w:val="3C591B47"/>
    <w:rsid w:val="41173D7E"/>
    <w:rsid w:val="45632175"/>
    <w:rsid w:val="45710081"/>
    <w:rsid w:val="45FD23DF"/>
    <w:rsid w:val="4BD6333E"/>
    <w:rsid w:val="559B3930"/>
    <w:rsid w:val="571F64F8"/>
    <w:rsid w:val="5D232DFF"/>
    <w:rsid w:val="5D4538D9"/>
    <w:rsid w:val="65DE3A4C"/>
    <w:rsid w:val="68AD274F"/>
    <w:rsid w:val="747126A2"/>
    <w:rsid w:val="76A772D7"/>
    <w:rsid w:val="77D81A89"/>
    <w:rsid w:val="7C6F6241"/>
    <w:rsid w:val="7CEA14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等线" w:cs="Times New Roman"/>
      <w:sz w:val="24"/>
      <w:szCs w:val="24"/>
      <w:lang w:val="en-US" w:eastAsia="fi-FI" w:bidi="ar-SA"/>
    </w:rPr>
  </w:style>
  <w:style w:type="paragraph" w:styleId="2">
    <w:name w:val="heading 1"/>
    <w:basedOn w:val="1"/>
    <w:next w:val="1"/>
    <w:link w:val="21"/>
    <w:autoRedefine/>
    <w:qFormat/>
    <w:uiPriority w:val="0"/>
    <w:pPr>
      <w:keepNext/>
      <w:outlineLvl w:val="0"/>
    </w:pPr>
    <w:rPr>
      <w:b/>
      <w:bCs/>
      <w:kern w:val="32"/>
      <w:szCs w:val="32"/>
    </w:rPr>
  </w:style>
  <w:style w:type="paragraph" w:styleId="3">
    <w:name w:val="heading 2"/>
    <w:basedOn w:val="2"/>
    <w:next w:val="1"/>
    <w:link w:val="22"/>
    <w:autoRedefine/>
    <w:qFormat/>
    <w:uiPriority w:val="0"/>
    <w:pPr>
      <w:snapToGrid w:val="0"/>
      <w:spacing w:before="120" w:line="360" w:lineRule="auto"/>
      <w:outlineLvl w:val="1"/>
    </w:pPr>
    <w:rPr>
      <w:rFonts w:cs="Arial"/>
      <w:iCs/>
      <w:sz w:val="28"/>
      <w:lang w:val="en-GB" w:eastAsia="zh-CN"/>
    </w:rPr>
  </w:style>
  <w:style w:type="paragraph" w:styleId="4">
    <w:name w:val="heading 3"/>
    <w:basedOn w:val="1"/>
    <w:next w:val="1"/>
    <w:autoRedefine/>
    <w:qFormat/>
    <w:uiPriority w:val="0"/>
    <w:pPr>
      <w:keepNext/>
      <w:spacing w:before="240" w:after="240"/>
      <w:outlineLvl w:val="2"/>
    </w:pPr>
    <w:rPr>
      <w:rFonts w:cs="Arial"/>
      <w:b/>
      <w:bCs/>
      <w:szCs w:val="26"/>
    </w:rPr>
  </w:style>
  <w:style w:type="paragraph" w:styleId="5">
    <w:name w:val="heading 4"/>
    <w:basedOn w:val="1"/>
    <w:next w:val="1"/>
    <w:autoRedefine/>
    <w:unhideWhenUsed/>
    <w:qFormat/>
    <w:uiPriority w:val="0"/>
    <w:pPr>
      <w:keepNext/>
      <w:keepLines/>
      <w:spacing w:before="280" w:after="290" w:line="372" w:lineRule="auto"/>
      <w:outlineLvl w:val="3"/>
    </w:pPr>
    <w:rPr>
      <w:rFonts w:ascii="Arial" w:hAnsi="Arial" w:eastAsia="黑体"/>
      <w:b/>
      <w:sz w:val="28"/>
    </w:rPr>
  </w:style>
  <w:style w:type="character" w:default="1" w:styleId="15">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autoRedefine/>
    <w:semiHidden/>
    <w:qFormat/>
    <w:uiPriority w:val="0"/>
    <w:rPr>
      <w:sz w:val="20"/>
      <w:szCs w:val="20"/>
    </w:rPr>
  </w:style>
  <w:style w:type="paragraph" w:styleId="7">
    <w:name w:val="Balloon Text"/>
    <w:basedOn w:val="1"/>
    <w:autoRedefine/>
    <w:semiHidden/>
    <w:qFormat/>
    <w:uiPriority w:val="0"/>
    <w:rPr>
      <w:rFonts w:ascii="Tahoma" w:hAnsi="Tahoma" w:cs="Tahoma"/>
      <w:sz w:val="16"/>
      <w:szCs w:val="16"/>
    </w:rPr>
  </w:style>
  <w:style w:type="paragraph" w:styleId="8">
    <w:name w:val="footer"/>
    <w:basedOn w:val="1"/>
    <w:link w:val="25"/>
    <w:autoRedefine/>
    <w:qFormat/>
    <w:uiPriority w:val="0"/>
    <w:pPr>
      <w:tabs>
        <w:tab w:val="center" w:pos="4153"/>
        <w:tab w:val="right" w:pos="8306"/>
      </w:tabs>
      <w:snapToGrid w:val="0"/>
      <w:jc w:val="left"/>
    </w:pPr>
    <w:rPr>
      <w:sz w:val="18"/>
      <w:szCs w:val="18"/>
    </w:rPr>
  </w:style>
  <w:style w:type="paragraph" w:styleId="9">
    <w:name w:val="header"/>
    <w:basedOn w:val="1"/>
    <w:link w:val="24"/>
    <w:autoRedefine/>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autoRedefine/>
    <w:qFormat/>
    <w:uiPriority w:val="0"/>
    <w:pPr>
      <w:spacing w:beforeAutospacing="1" w:afterAutospacing="1"/>
      <w:jc w:val="left"/>
    </w:pPr>
    <w:rPr>
      <w:lang w:eastAsia="zh-CN"/>
    </w:rPr>
  </w:style>
  <w:style w:type="paragraph" w:styleId="11">
    <w:name w:val="index 1"/>
    <w:basedOn w:val="1"/>
    <w:next w:val="1"/>
    <w:autoRedefine/>
    <w:semiHidden/>
    <w:qFormat/>
    <w:uiPriority w:val="0"/>
    <w:pPr>
      <w:ind w:left="220" w:hanging="220"/>
    </w:pPr>
  </w:style>
  <w:style w:type="paragraph" w:styleId="12">
    <w:name w:val="Title"/>
    <w:basedOn w:val="1"/>
    <w:autoRedefine/>
    <w:qFormat/>
    <w:uiPriority w:val="0"/>
    <w:pPr>
      <w:jc w:val="left"/>
      <w:outlineLvl w:val="0"/>
    </w:pPr>
    <w:rPr>
      <w:rFonts w:cs="Arial"/>
      <w:b/>
      <w:bCs/>
      <w:kern w:val="28"/>
      <w:sz w:val="28"/>
      <w:szCs w:val="32"/>
    </w:rPr>
  </w:style>
  <w:style w:type="paragraph" w:styleId="13">
    <w:name w:val="annotation subject"/>
    <w:basedOn w:val="6"/>
    <w:next w:val="6"/>
    <w:autoRedefine/>
    <w:semiHidden/>
    <w:qFormat/>
    <w:uiPriority w:val="0"/>
    <w:rPr>
      <w:b/>
      <w:bCs/>
    </w:rPr>
  </w:style>
  <w:style w:type="character" w:styleId="16">
    <w:name w:val="FollowedHyperlink"/>
    <w:autoRedefine/>
    <w:qFormat/>
    <w:uiPriority w:val="0"/>
    <w:rPr>
      <w:color w:val="954F72"/>
      <w:u w:val="single"/>
    </w:rPr>
  </w:style>
  <w:style w:type="character" w:styleId="17">
    <w:name w:val="Hyperlink"/>
    <w:autoRedefine/>
    <w:qFormat/>
    <w:uiPriority w:val="0"/>
    <w:rPr>
      <w:color w:val="0000FF"/>
      <w:u w:val="single"/>
    </w:rPr>
  </w:style>
  <w:style w:type="character" w:styleId="18">
    <w:name w:val="annotation reference"/>
    <w:autoRedefine/>
    <w:semiHidden/>
    <w:qFormat/>
    <w:uiPriority w:val="0"/>
    <w:rPr>
      <w:sz w:val="16"/>
      <w:szCs w:val="16"/>
    </w:rPr>
  </w:style>
  <w:style w:type="paragraph" w:customStyle="1" w:styleId="19">
    <w:name w:val="Reference"/>
    <w:basedOn w:val="1"/>
    <w:autoRedefine/>
    <w:qFormat/>
    <w:uiPriority w:val="0"/>
    <w:pPr>
      <w:ind w:left="567" w:hanging="567"/>
    </w:pPr>
    <w:rPr>
      <w:sz w:val="22"/>
    </w:rPr>
  </w:style>
  <w:style w:type="paragraph" w:customStyle="1" w:styleId="20">
    <w:name w:val="Author"/>
    <w:basedOn w:val="1"/>
    <w:autoRedefine/>
    <w:qFormat/>
    <w:uiPriority w:val="0"/>
  </w:style>
  <w:style w:type="character" w:customStyle="1" w:styleId="21">
    <w:name w:val="标题 1 字符"/>
    <w:link w:val="2"/>
    <w:autoRedefine/>
    <w:qFormat/>
    <w:uiPriority w:val="0"/>
    <w:rPr>
      <w:b/>
      <w:bCs/>
      <w:kern w:val="32"/>
      <w:sz w:val="24"/>
      <w:szCs w:val="32"/>
      <w:lang w:val="en-US" w:eastAsia="fi-FI" w:bidi="ar-SA"/>
    </w:rPr>
  </w:style>
  <w:style w:type="character" w:customStyle="1" w:styleId="22">
    <w:name w:val="标题 2 字符"/>
    <w:link w:val="3"/>
    <w:autoRedefine/>
    <w:qFormat/>
    <w:uiPriority w:val="0"/>
    <w:rPr>
      <w:rFonts w:eastAsia="等线" w:cs="Arial"/>
      <w:b/>
      <w:bCs/>
      <w:iCs/>
      <w:kern w:val="32"/>
      <w:sz w:val="28"/>
      <w:szCs w:val="32"/>
      <w:lang w:val="en-GB"/>
    </w:rPr>
  </w:style>
  <w:style w:type="character" w:customStyle="1" w:styleId="23">
    <w:name w:val="未处理的提及1"/>
    <w:autoRedefine/>
    <w:semiHidden/>
    <w:unhideWhenUsed/>
    <w:qFormat/>
    <w:uiPriority w:val="99"/>
    <w:rPr>
      <w:color w:val="605E5C"/>
      <w:shd w:val="clear" w:color="auto" w:fill="E1DFDD"/>
    </w:rPr>
  </w:style>
  <w:style w:type="character" w:customStyle="1" w:styleId="24">
    <w:name w:val="页眉 字符"/>
    <w:link w:val="9"/>
    <w:autoRedefine/>
    <w:qFormat/>
    <w:uiPriority w:val="0"/>
    <w:rPr>
      <w:sz w:val="18"/>
      <w:szCs w:val="18"/>
      <w:lang w:eastAsia="fi-FI"/>
    </w:rPr>
  </w:style>
  <w:style w:type="character" w:customStyle="1" w:styleId="25">
    <w:name w:val="页脚 字符"/>
    <w:link w:val="8"/>
    <w:autoRedefine/>
    <w:qFormat/>
    <w:uiPriority w:val="0"/>
    <w:rPr>
      <w:sz w:val="18"/>
      <w:szCs w:val="18"/>
      <w:lang w:eastAsia="fi-FI"/>
    </w:rPr>
  </w:style>
  <w:style w:type="paragraph" w:customStyle="1" w:styleId="26">
    <w:name w:val="修订1"/>
    <w:autoRedefine/>
    <w:hidden/>
    <w:semiHidden/>
    <w:qFormat/>
    <w:uiPriority w:val="99"/>
    <w:rPr>
      <w:rFonts w:ascii="Times New Roman" w:hAnsi="Times New Roman" w:eastAsia="等线" w:cs="Times New Roman"/>
      <w:sz w:val="24"/>
      <w:szCs w:val="24"/>
      <w:lang w:val="en-US" w:eastAsia="fi-FI" w:bidi="ar-SA"/>
    </w:rPr>
  </w:style>
  <w:style w:type="table" w:customStyle="1" w:styleId="27">
    <w:name w:val="网格型3"/>
    <w:basedOn w:val="14"/>
    <w:autoRedefine/>
    <w:qFormat/>
    <w:uiPriority w:val="39"/>
    <w:rPr>
      <w:rFonts w:ascii="Calibri" w:hAnsi="Calibri"/>
      <w:kern w:val="2"/>
      <w:sz w:val="21"/>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28">
    <w:name w:val="List Paragraph"/>
    <w:basedOn w:val="1"/>
    <w:autoRedefine/>
    <w:qFormat/>
    <w:uiPriority w:val="34"/>
    <w:pPr>
      <w:ind w:left="720"/>
      <w:contextualSpacing/>
    </w:pPr>
  </w:style>
  <w:style w:type="character" w:customStyle="1" w:styleId="29">
    <w:name w:val="未处理的提及2"/>
    <w:basedOn w:val="15"/>
    <w:autoRedefine/>
    <w:semiHidden/>
    <w:unhideWhenUsed/>
    <w:qFormat/>
    <w:uiPriority w:val="99"/>
    <w:rPr>
      <w:color w:val="605E5C"/>
      <w:shd w:val="clear" w:color="auto" w:fill="E1DFDD"/>
    </w:rPr>
  </w:style>
  <w:style w:type="paragraph" w:customStyle="1" w:styleId="30">
    <w:name w:val="修订2"/>
    <w:autoRedefine/>
    <w:hidden/>
    <w:unhideWhenUsed/>
    <w:qFormat/>
    <w:uiPriority w:val="99"/>
    <w:rPr>
      <w:rFonts w:ascii="Times New Roman" w:hAnsi="Times New Roman" w:eastAsia="等线" w:cs="Times New Roman"/>
      <w:sz w:val="24"/>
      <w:szCs w:val="24"/>
      <w:lang w:val="en-US" w:eastAsia="fi-FI" w:bidi="ar-SA"/>
    </w:rPr>
  </w:style>
  <w:style w:type="paragraph" w:customStyle="1" w:styleId="31">
    <w:name w:val="修订3"/>
    <w:autoRedefine/>
    <w:hidden/>
    <w:unhideWhenUsed/>
    <w:qFormat/>
    <w:uiPriority w:val="99"/>
    <w:rPr>
      <w:rFonts w:ascii="Times New Roman" w:hAnsi="Times New Roman" w:eastAsia="等线" w:cs="Times New Roman"/>
      <w:sz w:val="24"/>
      <w:szCs w:val="24"/>
      <w:lang w:val="en-US" w:eastAsia="fi-FI" w:bidi="ar-SA"/>
    </w:rPr>
  </w:style>
  <w:style w:type="character" w:styleId="32">
    <w:name w:val="Placeholder Text"/>
    <w:basedOn w:val="15"/>
    <w:autoRedefine/>
    <w:unhideWhenUsed/>
    <w:qFormat/>
    <w:uiPriority w:val="99"/>
    <w:rPr>
      <w:color w:val="666666"/>
    </w:rPr>
  </w:style>
</w:styles>
</file>

<file path=word/_rels/document.xml.rels><?xml version="1.0" encoding="UTF-8" standalone="yes"?>
<Relationships xmlns="http://schemas.openxmlformats.org/package/2006/relationships"><Relationship Id="rId9" Type="http://schemas.openxmlformats.org/officeDocument/2006/relationships/image" Target="media/image6.tiff"/><Relationship Id="rId8" Type="http://schemas.openxmlformats.org/officeDocument/2006/relationships/image" Target="media/image5.tiff"/><Relationship Id="rId7" Type="http://schemas.openxmlformats.org/officeDocument/2006/relationships/image" Target="media/image4.tiff"/><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customXml" Target="../customXml/item1.xml"/><Relationship Id="rId13" Type="http://schemas.openxmlformats.org/officeDocument/2006/relationships/image" Target="media/image10.tiff"/><Relationship Id="rId12" Type="http://schemas.openxmlformats.org/officeDocument/2006/relationships/image" Target="media/image9.tiff"/><Relationship Id="rId11" Type="http://schemas.openxmlformats.org/officeDocument/2006/relationships/image" Target="media/image8.tiff"/><Relationship Id="rId10" Type="http://schemas.openxmlformats.org/officeDocument/2006/relationships/image" Target="media/image7.tiff"/><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ich\AppData\Local\Chemistry%20Add-in%20for%20Word\Chemistry%20Gallery\Chem4Word.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Props1.xml><?xml version="1.0" encoding="utf-8"?>
<ds:datastoreItem xmlns:ds="http://schemas.openxmlformats.org/officeDocument/2006/customXml" ds:itemID="{61B6F02A-7A9C-4974-8436-93029990F354}">
  <ds:schemaRefs/>
</ds:datastoreItem>
</file>

<file path=customXml/itemProps2.xml><?xml version="1.0" encoding="utf-8"?>
<ds:datastoreItem xmlns:ds="http://schemas.openxmlformats.org/officeDocument/2006/customXml" ds:itemID="{AF43A768-993E-41DB-976B-FC05DB86BEAE}">
  <ds:schemaRefs/>
</ds:datastoreItem>
</file>

<file path=docProps/app.xml><?xml version="1.0" encoding="utf-8"?>
<Properties xmlns="http://schemas.openxmlformats.org/officeDocument/2006/extended-properties" xmlns:vt="http://schemas.openxmlformats.org/officeDocument/2006/docPropsVTypes">
  <Template>Chem4Word</Template>
  <Company>Missouri S&amp;T</Company>
  <Pages>17</Pages>
  <Words>1207</Words>
  <Characters>6884</Characters>
  <Lines>57</Lines>
  <Paragraphs>16</Paragraphs>
  <TotalTime>1</TotalTime>
  <ScaleCrop>false</ScaleCrop>
  <LinksUpToDate>false</LinksUpToDate>
  <CharactersWithSpaces>8075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2023-03-27T11:48:00Z</dcterms:created>
  <dc:creator>IA2008 + HB2009</dc:creator>
  <dc:description>NE.Bib</dc:description>
  <cp:lastModifiedBy>孙鑫</cp:lastModifiedBy>
  <cp:lastPrinted>2015-12-01T01:13:00Z</cp:lastPrinted>
  <dcterms:modified xsi:type="dcterms:W3CDTF">2024-01-05T13:27:31Z</dcterms:modified>
  <dc:title>HB2009 Instructions for Full paper</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KSOProductBuildVer">
    <vt:lpwstr>2052-12.1.0.16120</vt:lpwstr>
  </property>
  <property fmtid="{D5CDD505-2E9C-101B-9397-08002B2CF9AE}" pid="4" name="ICV">
    <vt:lpwstr>7938D76393F642F5A4451EA2589B0F8B_13</vt:lpwstr>
  </property>
</Properties>
</file>