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9F21" w14:textId="52213F8B" w:rsidR="00C919E4" w:rsidRDefault="00E33CFF" w:rsidP="00C919E4">
      <w:pPr>
        <w:widowControl/>
        <w:jc w:val="left"/>
        <w:rPr>
          <w:rFonts w:ascii="Calibri" w:hAnsi="Calibri" w:cs="Calibri"/>
          <w:b/>
          <w:bCs/>
        </w:rPr>
      </w:pPr>
      <w:r w:rsidRPr="00E33CFF">
        <w:rPr>
          <w:rFonts w:ascii="Calibri" w:hAnsi="Calibri" w:cs="Calibri"/>
          <w:b/>
          <w:bCs/>
        </w:rPr>
        <w:t xml:space="preserve">Supplement </w:t>
      </w:r>
      <w:r w:rsidR="00AC064D">
        <w:rPr>
          <w:rFonts w:ascii="Calibri" w:hAnsi="Calibri" w:cs="Calibri"/>
          <w:b/>
          <w:bCs/>
        </w:rPr>
        <w:t xml:space="preserve">for Mashima et al., </w:t>
      </w:r>
      <w:r w:rsidR="001C75F7" w:rsidRPr="001C75F7">
        <w:rPr>
          <w:rFonts w:ascii="Calibri" w:hAnsi="Calibri" w:cs="Calibri"/>
          <w:b/>
          <w:bCs/>
        </w:rPr>
        <w:t>Mutations Detected in Real World Clinical Sequencing during BTK Inhibitor Treatment in CLL</w:t>
      </w:r>
      <w:r w:rsidR="00C919E4" w:rsidRPr="00C919E4">
        <w:rPr>
          <w:rFonts w:ascii="Calibri" w:hAnsi="Calibri" w:cs="Calibri"/>
          <w:b/>
          <w:bCs/>
        </w:rPr>
        <w:t xml:space="preserve"> </w:t>
      </w:r>
    </w:p>
    <w:p w14:paraId="0ECF6797" w14:textId="60EE89AD" w:rsidR="00E33CFF" w:rsidRPr="00E33CFF" w:rsidRDefault="00E33CFF" w:rsidP="00E33CFF">
      <w:pPr>
        <w:widowControl/>
        <w:jc w:val="left"/>
        <w:rPr>
          <w:rFonts w:ascii="Calibri" w:hAnsi="Calibri" w:cs="Calibri"/>
          <w:b/>
          <w:bCs/>
        </w:rPr>
      </w:pPr>
    </w:p>
    <w:p w14:paraId="45C5D7AF" w14:textId="519C7C35" w:rsidR="00E33CFF" w:rsidRDefault="00E33CFF" w:rsidP="00A82FEE">
      <w:pPr>
        <w:widowControl/>
        <w:jc w:val="left"/>
        <w:rPr>
          <w:rFonts w:ascii="Calibri" w:hAnsi="Calibri" w:cs="Calibri"/>
          <w:b/>
          <w:bCs/>
        </w:rPr>
      </w:pPr>
      <w:r w:rsidRPr="00E33CFF">
        <w:rPr>
          <w:rFonts w:ascii="Calibri" w:hAnsi="Calibri" w:cs="Calibri"/>
          <w:b/>
          <w:bCs/>
        </w:rPr>
        <w:t xml:space="preserve">Supplementary Table S1: </w:t>
      </w:r>
      <w:r w:rsidR="0023719D" w:rsidRPr="00084F79">
        <w:rPr>
          <w:rFonts w:ascii="Calibri" w:hAnsi="Calibri" w:cs="Calibri"/>
          <w:b/>
          <w:bCs/>
        </w:rPr>
        <w:t>Derivative chromosomal abnormalities detected during BTKi with or without progression</w:t>
      </w:r>
      <w:r w:rsidRPr="00E33CFF">
        <w:rPr>
          <w:rFonts w:ascii="Calibri" w:hAnsi="Calibri" w:cs="Calibri"/>
          <w:b/>
          <w:bCs/>
        </w:rPr>
        <w:t>............................................................................</w:t>
      </w:r>
      <w:r w:rsidR="0023719D" w:rsidRPr="00E33CFF">
        <w:rPr>
          <w:rFonts w:ascii="Calibri" w:hAnsi="Calibri" w:cs="Calibri"/>
          <w:b/>
          <w:bCs/>
        </w:rPr>
        <w:t>..........................</w:t>
      </w:r>
      <w:r w:rsidRPr="00E33CFF">
        <w:rPr>
          <w:rFonts w:ascii="Calibri" w:hAnsi="Calibri" w:cs="Calibri"/>
          <w:b/>
          <w:bCs/>
        </w:rPr>
        <w:t>.........</w:t>
      </w:r>
      <w:r w:rsidR="00C50D93">
        <w:rPr>
          <w:rFonts w:ascii="Calibri" w:hAnsi="Calibri" w:cs="Calibri"/>
          <w:b/>
          <w:bCs/>
        </w:rPr>
        <w:t>.</w:t>
      </w:r>
      <w:r w:rsidRPr="00E33CFF">
        <w:rPr>
          <w:rFonts w:ascii="Calibri" w:hAnsi="Calibri" w:cs="Calibri"/>
          <w:b/>
          <w:bCs/>
        </w:rPr>
        <w:t>....</w:t>
      </w:r>
      <w:r w:rsidR="0023719D">
        <w:rPr>
          <w:rFonts w:ascii="Calibri" w:hAnsi="Calibri" w:cs="Calibri" w:hint="eastAsia"/>
          <w:b/>
          <w:bCs/>
        </w:rPr>
        <w:t>2</w:t>
      </w:r>
    </w:p>
    <w:p w14:paraId="76A5C61F" w14:textId="7B55E3E7" w:rsidR="0023719D" w:rsidRPr="00E33CFF" w:rsidRDefault="0023719D" w:rsidP="00A82FEE">
      <w:pPr>
        <w:widowControl/>
        <w:jc w:val="left"/>
        <w:rPr>
          <w:rFonts w:ascii="Calibri" w:hAnsi="Calibri" w:cs="Calibri"/>
          <w:b/>
          <w:bCs/>
        </w:rPr>
      </w:pPr>
      <w:r w:rsidRPr="00E33CFF">
        <w:rPr>
          <w:rFonts w:ascii="Calibri" w:hAnsi="Calibri" w:cs="Calibri"/>
          <w:b/>
          <w:bCs/>
        </w:rPr>
        <w:t>Supplementary</w:t>
      </w:r>
      <w:r>
        <w:rPr>
          <w:rFonts w:ascii="Calibri" w:hAnsi="Calibri" w:cs="Calibri"/>
          <w:b/>
          <w:bCs/>
        </w:rPr>
        <w:t xml:space="preserve"> Figure</w:t>
      </w:r>
      <w:r w:rsidRPr="00E33CFF">
        <w:rPr>
          <w:rFonts w:ascii="Calibri" w:hAnsi="Calibri" w:cs="Calibri"/>
          <w:b/>
          <w:bCs/>
        </w:rPr>
        <w:t xml:space="preserve"> S1: </w:t>
      </w:r>
      <w:r>
        <w:rPr>
          <w:rFonts w:ascii="Calibri" w:hAnsi="Calibri" w:cs="Calibri"/>
          <w:b/>
          <w:bCs/>
        </w:rPr>
        <w:t>Flow chart of patient inclusion</w:t>
      </w:r>
      <w:r w:rsidR="004710EF">
        <w:rPr>
          <w:rFonts w:ascii="Calibri" w:hAnsi="Calibri" w:cs="Calibri"/>
          <w:b/>
          <w:bCs/>
        </w:rPr>
        <w:t>………..</w:t>
      </w:r>
      <w:r w:rsidRPr="00E33CFF">
        <w:rPr>
          <w:rFonts w:ascii="Calibri" w:hAnsi="Calibri" w:cs="Calibri"/>
          <w:b/>
          <w:bCs/>
        </w:rPr>
        <w:t>..............................................</w:t>
      </w:r>
      <w:r w:rsidR="00C50D93">
        <w:rPr>
          <w:rFonts w:ascii="Calibri" w:hAnsi="Calibri" w:cs="Calibri"/>
          <w:b/>
          <w:bCs/>
        </w:rPr>
        <w:t>.</w:t>
      </w:r>
      <w:r w:rsidRPr="00E33CFF">
        <w:rPr>
          <w:rFonts w:ascii="Calibri" w:hAnsi="Calibri" w:cs="Calibri"/>
          <w:b/>
          <w:bCs/>
        </w:rPr>
        <w:t>...</w:t>
      </w:r>
      <w:r w:rsidR="004710EF">
        <w:rPr>
          <w:rFonts w:ascii="Calibri" w:hAnsi="Calibri" w:cs="Calibri"/>
          <w:b/>
          <w:bCs/>
        </w:rPr>
        <w:t>3</w:t>
      </w:r>
    </w:p>
    <w:p w14:paraId="675B5BB0" w14:textId="3D75B301" w:rsidR="00EB20A8" w:rsidRDefault="00EB20A8" w:rsidP="00E33CFF">
      <w:pPr>
        <w:widowControl/>
        <w:jc w:val="lef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706C500D" w14:textId="6E4F25E2" w:rsidR="00370FC3" w:rsidRPr="00084F79" w:rsidRDefault="00370FC3" w:rsidP="00370FC3">
      <w:pPr>
        <w:rPr>
          <w:rFonts w:ascii="Calibri" w:hAnsi="Calibri" w:cs="Calibri"/>
          <w:b/>
          <w:bCs/>
        </w:rPr>
      </w:pPr>
      <w:r w:rsidRPr="00084F79">
        <w:rPr>
          <w:rFonts w:ascii="Calibri" w:hAnsi="Calibri" w:cs="Calibri" w:hint="eastAsia"/>
          <w:b/>
          <w:bCs/>
        </w:rPr>
        <w:lastRenderedPageBreak/>
        <w:t>S</w:t>
      </w:r>
      <w:r w:rsidRPr="00084F79">
        <w:rPr>
          <w:rFonts w:ascii="Calibri" w:hAnsi="Calibri" w:cs="Calibri"/>
          <w:b/>
          <w:bCs/>
        </w:rPr>
        <w:t xml:space="preserve">upplementary Table </w:t>
      </w:r>
      <w:r w:rsidR="0023719D">
        <w:rPr>
          <w:rFonts w:ascii="Calibri" w:hAnsi="Calibri" w:cs="Calibri"/>
          <w:b/>
          <w:bCs/>
        </w:rPr>
        <w:t>S</w:t>
      </w:r>
      <w:r w:rsidRPr="00084F79">
        <w:rPr>
          <w:rFonts w:ascii="Calibri" w:hAnsi="Calibri" w:cs="Calibri"/>
          <w:b/>
          <w:bCs/>
        </w:rPr>
        <w:t>1. Derivative chromosomal abnormalities detected during BTKi with or without progression</w:t>
      </w:r>
      <w:r w:rsidR="0023719D">
        <w:rPr>
          <w:rFonts w:ascii="Calibri" w:hAnsi="Calibri" w:cs="Calibri"/>
          <w:b/>
          <w:bCs/>
        </w:rPr>
        <w:t xml:space="preserve"> (per case)</w:t>
      </w:r>
      <w:r w:rsidRPr="00084F79">
        <w:rPr>
          <w:rFonts w:ascii="Calibri" w:hAnsi="Calibri" w:cs="Calibri"/>
          <w:b/>
          <w:bCs/>
        </w:rPr>
        <w:t>.</w:t>
      </w:r>
    </w:p>
    <w:p w14:paraId="016BA4C8" w14:textId="4AA328A1" w:rsidR="00370FC3" w:rsidRPr="00C3637C" w:rsidRDefault="00370FC3" w:rsidP="00370FC3">
      <w:pPr>
        <w:rPr>
          <w:rFonts w:ascii="Calibri" w:hAnsi="Calibri" w:cs="Calibri"/>
          <w:b/>
          <w:bCs/>
        </w:rPr>
      </w:pPr>
    </w:p>
    <w:tbl>
      <w:tblPr>
        <w:tblStyle w:val="2"/>
        <w:tblW w:w="9356" w:type="dxa"/>
        <w:tblBorders>
          <w:top w:val="none" w:sz="0" w:space="0" w:color="auto"/>
          <w:bottom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961"/>
      </w:tblGrid>
      <w:tr w:rsidR="00370FC3" w14:paraId="5F45A593" w14:textId="77777777" w:rsidTr="00B66B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199D2B3B" w14:textId="77777777" w:rsidR="00370FC3" w:rsidRDefault="00370FC3" w:rsidP="00B66B8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N</w:t>
            </w:r>
            <w:r>
              <w:rPr>
                <w:rFonts w:ascii="Calibri" w:hAnsi="Calibri" w:cs="Calibri"/>
              </w:rPr>
              <w:t>P (N=9)</w:t>
            </w:r>
          </w:p>
        </w:tc>
        <w:tc>
          <w:tcPr>
            <w:tcW w:w="496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</w:tcPr>
          <w:p w14:paraId="3D902E1B" w14:textId="77777777" w:rsidR="00370FC3" w:rsidRDefault="00370FC3" w:rsidP="00B66B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P</w:t>
            </w:r>
            <w:r>
              <w:rPr>
                <w:rFonts w:ascii="Calibri" w:hAnsi="Calibri" w:cs="Calibri"/>
              </w:rPr>
              <w:t>D (N=14)</w:t>
            </w:r>
          </w:p>
        </w:tc>
      </w:tr>
      <w:tr w:rsidR="00370FC3" w:rsidRPr="005802B5" w14:paraId="63D143C3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EDDFCF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der(7;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17)(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q10;q10)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AFAEC9" w14:textId="77777777" w:rsidR="00370FC3" w:rsidRPr="00E365DE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der(5)t(5;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8)(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p15;q11.2) and der(9)t(8;9) (q11.2;p24)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19EB4267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6E217BA9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der(22)t(18;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22)(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q11.2;p11.2)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1591EAD9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der(8)t(8;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9)(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p23;q13)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44A1ED1E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715F2C67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1)add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(1)(p13.1)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6B375417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eastAsia="游ゴシック" w:hAnsi="Calibri" w:cs="Calibri"/>
                <w:color w:val="000000"/>
                <w:sz w:val="22"/>
              </w:rPr>
              <w:t>d</w:t>
            </w: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er(8)t(8;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11)(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p23;q13)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708AB4BC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13126DFE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der(6;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18)(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p10;q10)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451277CC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der(8;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17)(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 and der(11)t(7;11)(p15;p13)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3878BB66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14447228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der(17)t(17;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20)(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p13;p11.2)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20DC24B3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der(8;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21)(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356D9123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0AB9FFC4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10;17)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1C95AF2A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8)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4EBD72A6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4765AC01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der(17)t(X;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17)(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q13;p11.1)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2284765C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der(9;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17)(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</w:t>
            </w:r>
            <w:r>
              <w:rPr>
                <w:rFonts w:ascii="Calibri" w:eastAsia="游ゴシック" w:hAnsi="Calibri" w:cs="Calibri" w:hint="eastAsia"/>
                <w:color w:val="000000"/>
                <w:sz w:val="22"/>
              </w:rPr>
              <w:t xml:space="preserve"> </w:t>
            </w:r>
          </w:p>
        </w:tc>
      </w:tr>
      <w:tr w:rsidR="00370FC3" w14:paraId="17F5025F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54E4323B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 xml:space="preserve">der(Y)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5167D8CD" w14:textId="77777777" w:rsidR="00370FC3" w:rsidRPr="00E365DE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der(9)t(?3;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9)(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q12;q34) and der(17;18)(q10;q10)</w:t>
            </w:r>
          </w:p>
        </w:tc>
      </w:tr>
      <w:tr w:rsidR="00370FC3" w14:paraId="205BB9AC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2D68BE72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der(3;</w:t>
            </w:r>
            <w:proofErr w:type="gramStart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17)(</w:t>
            </w:r>
            <w:proofErr w:type="gramEnd"/>
            <w:r w:rsidRPr="002B70C4">
              <w:rPr>
                <w:rFonts w:ascii="Calibri" w:eastAsia="游ゴシック" w:hAnsi="Calibri" w:cs="Calibri"/>
                <w:b w:val="0"/>
                <w:bCs w:val="0"/>
                <w:color w:val="000000"/>
                <w:sz w:val="22"/>
              </w:rPr>
              <w:t>q10;q10),  der(1)t(1;9)(p36.2;q13) and der(8)t(8;17)(p11.2;q21)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265EDD47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der(14;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17)(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</w:t>
            </w:r>
          </w:p>
        </w:tc>
      </w:tr>
      <w:tr w:rsidR="00370FC3" w14:paraId="401A79B0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79EEBCE5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56D18CFC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der(17;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21)(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</w:t>
            </w:r>
          </w:p>
        </w:tc>
      </w:tr>
      <w:tr w:rsidR="00370FC3" w14:paraId="03513359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52BB1C1E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6F329A2A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der(3;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17)(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p10;q10)</w:t>
            </w:r>
            <w:r>
              <w:rPr>
                <w:rFonts w:ascii="Calibri" w:eastAsia="游ゴシック" w:hAnsi="Calibri" w:cs="Calibri"/>
                <w:color w:val="000000"/>
                <w:sz w:val="22"/>
              </w:rPr>
              <w:t xml:space="preserve"> </w:t>
            </w: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and der(3;10)(q10;q10)</w:t>
            </w:r>
          </w:p>
        </w:tc>
      </w:tr>
      <w:tr w:rsidR="00370FC3" w14:paraId="51CB6A89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5D2B9AFF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6CE61548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der(1;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22)(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q10;q10)</w:t>
            </w:r>
          </w:p>
        </w:tc>
      </w:tr>
      <w:tr w:rsidR="00370FC3" w14:paraId="0392C22C" w14:textId="77777777" w:rsidTr="00B66B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F2F2F2" w:themeFill="background1" w:themeFillShade="F2"/>
            <w:vAlign w:val="center"/>
          </w:tcPr>
          <w:p w14:paraId="03C2DB85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656C374F" w14:textId="77777777" w:rsidR="00370FC3" w:rsidRPr="00D715B1" w:rsidRDefault="00370FC3" w:rsidP="00B66B8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der(3)t(1;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3)(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p32;q12)</w:t>
            </w:r>
          </w:p>
        </w:tc>
      </w:tr>
      <w:tr w:rsidR="00370FC3" w14:paraId="3CD30288" w14:textId="77777777" w:rsidTr="00B66B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  <w:vAlign w:val="center"/>
          </w:tcPr>
          <w:p w14:paraId="302FB7C0" w14:textId="77777777" w:rsidR="00370FC3" w:rsidRPr="002B70C4" w:rsidRDefault="00370FC3" w:rsidP="00B66B85">
            <w:pPr>
              <w:jc w:val="left"/>
              <w:rPr>
                <w:rFonts w:ascii="Calibri" w:hAnsi="Calibri" w:cs="Calibri"/>
                <w:b w:val="0"/>
                <w:bCs w:val="0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31A90935" w14:textId="77777777" w:rsidR="00370FC3" w:rsidRPr="00D715B1" w:rsidRDefault="00370FC3" w:rsidP="00B66B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der(X)t(X;</w:t>
            </w:r>
            <w:proofErr w:type="gramStart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7)(</w:t>
            </w:r>
            <w:proofErr w:type="gramEnd"/>
            <w:r w:rsidRPr="00D715B1">
              <w:rPr>
                <w:rFonts w:ascii="Calibri" w:eastAsia="游ゴシック" w:hAnsi="Calibri" w:cs="Calibri"/>
                <w:color w:val="000000"/>
                <w:sz w:val="22"/>
              </w:rPr>
              <w:t>p22;p13)</w:t>
            </w:r>
          </w:p>
        </w:tc>
      </w:tr>
    </w:tbl>
    <w:p w14:paraId="0614F1CD" w14:textId="77777777" w:rsidR="00370FC3" w:rsidRDefault="00370FC3" w:rsidP="00370FC3">
      <w:pPr>
        <w:rPr>
          <w:rFonts w:ascii="Calibri" w:hAnsi="Calibri" w:cs="Calibri"/>
        </w:rPr>
      </w:pPr>
    </w:p>
    <w:p w14:paraId="6C8D0981" w14:textId="77777777" w:rsidR="00370FC3" w:rsidRPr="0021778A" w:rsidRDefault="00370FC3" w:rsidP="00370FC3">
      <w:pPr>
        <w:widowControl/>
        <w:jc w:val="left"/>
        <w:rPr>
          <w:rFonts w:ascii="Calibri" w:hAnsi="Calibri" w:cs="Calibri"/>
        </w:rPr>
      </w:pPr>
    </w:p>
    <w:p w14:paraId="225ADDE1" w14:textId="77777777" w:rsidR="00370FC3" w:rsidRDefault="00370FC3">
      <w:pPr>
        <w:widowControl/>
        <w:jc w:val="lef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3CB54A8C" w14:textId="4755C668" w:rsidR="004A4E99" w:rsidRPr="0099231F" w:rsidRDefault="000E16BB" w:rsidP="0099231F">
      <w:pPr>
        <w:rPr>
          <w:rFonts w:ascii="Calibri" w:hAnsi="Calibri" w:cs="Calibri"/>
          <w:color w:val="FF0000"/>
        </w:rPr>
      </w:pPr>
      <w:r w:rsidRPr="001C64FE">
        <w:rPr>
          <w:rFonts w:ascii="Calibri" w:hAnsi="Calibri" w:cs="Calibri" w:hint="eastAsia"/>
          <w:b/>
          <w:bCs/>
        </w:rPr>
        <w:lastRenderedPageBreak/>
        <w:t>S</w:t>
      </w:r>
      <w:r w:rsidRPr="001C64FE">
        <w:rPr>
          <w:rFonts w:ascii="Calibri" w:hAnsi="Calibri" w:cs="Calibri"/>
          <w:b/>
          <w:bCs/>
        </w:rPr>
        <w:t xml:space="preserve">upplementary </w:t>
      </w:r>
      <w:r w:rsidR="0023719D">
        <w:rPr>
          <w:rFonts w:ascii="Calibri" w:hAnsi="Calibri" w:cs="Calibri"/>
          <w:b/>
          <w:bCs/>
        </w:rPr>
        <w:t>F</w:t>
      </w:r>
      <w:r w:rsidRPr="001C64FE">
        <w:rPr>
          <w:rFonts w:ascii="Calibri" w:hAnsi="Calibri" w:cs="Calibri"/>
          <w:b/>
          <w:bCs/>
        </w:rPr>
        <w:t>ig</w:t>
      </w:r>
      <w:r w:rsidR="003C1292">
        <w:rPr>
          <w:rFonts w:ascii="Calibri" w:hAnsi="Calibri" w:cs="Calibri"/>
          <w:b/>
          <w:bCs/>
        </w:rPr>
        <w:t>ure</w:t>
      </w:r>
      <w:r w:rsidRPr="001C64FE">
        <w:rPr>
          <w:rFonts w:ascii="Calibri" w:hAnsi="Calibri" w:cs="Calibri"/>
          <w:b/>
          <w:bCs/>
        </w:rPr>
        <w:t xml:space="preserve"> </w:t>
      </w:r>
      <w:r w:rsidR="0023719D">
        <w:rPr>
          <w:rFonts w:ascii="Calibri" w:hAnsi="Calibri" w:cs="Calibri"/>
          <w:b/>
          <w:bCs/>
        </w:rPr>
        <w:t>S</w:t>
      </w:r>
      <w:r w:rsidRPr="001C64FE">
        <w:rPr>
          <w:rFonts w:ascii="Calibri" w:hAnsi="Calibri" w:cs="Calibri"/>
          <w:b/>
          <w:bCs/>
        </w:rPr>
        <w:t>1. Flowchart of patient inclusion</w:t>
      </w:r>
      <w:r w:rsidR="00442C7F"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3D782225" wp14:editId="44C2BDDB">
                <wp:simplePos x="0" y="0"/>
                <wp:positionH relativeFrom="column">
                  <wp:posOffset>889635</wp:posOffset>
                </wp:positionH>
                <wp:positionV relativeFrom="paragraph">
                  <wp:posOffset>527685</wp:posOffset>
                </wp:positionV>
                <wp:extent cx="3109426" cy="646331"/>
                <wp:effectExtent l="0" t="0" r="15240" b="20955"/>
                <wp:wrapNone/>
                <wp:docPr id="4" name="テキスト ボックス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F927C92-0EAC-3A7F-4F26-F35C1F13FE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9426" cy="64633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0E8BD157" w14:textId="77777777" w:rsidR="00442C7F" w:rsidRDefault="00442C7F" w:rsidP="00442C7F">
                            <w:pPr>
                              <w:jc w:val="center"/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>CLL patients who were treated with BTK-</w:t>
                            </w:r>
                            <w:proofErr w:type="spellStart"/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 containing regimens in DFCI database; a total of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765 treatment periods 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of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609 CLL patients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78222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70.05pt;margin-top:41.55pt;width:244.85pt;height:50.9pt;z-index:2515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" filled="f" strokecolor="windowText" strokeweight="1pt">
                <v:textbox style="mso-fit-shape-to-text:t">
                  <w:txbxContent>
                    <w:p w14:paraId="0E8BD157" w14:textId="77777777" w:rsidR="00442C7F" w:rsidRDefault="00442C7F" w:rsidP="00442C7F">
                      <w:pPr>
                        <w:jc w:val="center"/>
                        <w:rPr>
                          <w:rFonts w:ascii="Calibri" w:eastAsia="游ゴシック" w:hAnsi="Calibri" w:cs="+mn-cs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>CLL patients who were treated with BTK-</w:t>
                      </w:r>
                      <w:proofErr w:type="spellStart"/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>i</w:t>
                      </w:r>
                      <w:proofErr w:type="spellEnd"/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 containing regimens in DFCI database; a total of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 xml:space="preserve">765 treatment periods 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of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 xml:space="preserve">609 CLL patients </w:t>
                      </w:r>
                    </w:p>
                  </w:txbxContent>
                </v:textbox>
              </v:shape>
            </w:pict>
          </mc:Fallback>
        </mc:AlternateContent>
      </w:r>
      <w:r w:rsidR="00442C7F"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069ADA6C" wp14:editId="09A21F88">
                <wp:simplePos x="0" y="0"/>
                <wp:positionH relativeFrom="column">
                  <wp:posOffset>889635</wp:posOffset>
                </wp:positionH>
                <wp:positionV relativeFrom="paragraph">
                  <wp:posOffset>2176780</wp:posOffset>
                </wp:positionV>
                <wp:extent cx="3109428" cy="646331"/>
                <wp:effectExtent l="0" t="0" r="15240" b="20955"/>
                <wp:wrapNone/>
                <wp:docPr id="11" name="テキスト ボックス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4A454AF-FAE2-E1DF-7E24-12C0FFF80D3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9428" cy="64633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0648395" w14:textId="77777777" w:rsidR="00442C7F" w:rsidRDefault="00442C7F" w:rsidP="00442C7F">
                            <w:pPr>
                              <w:jc w:val="center"/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133 clinical sequencing reports during (80.0%) or at next office visit within 3 months after the period of BTK-i (20.0%)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9ADA6C" id="テキスト ボックス 10" o:spid="_x0000_s1027" type="#_x0000_t202" style="position:absolute;left:0;text-align:left;margin-left:70.05pt;margin-top:171.4pt;width:244.85pt;height:50.9pt;z-index:2517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" filled="f" strokecolor="windowText" strokeweight="1pt">
                <v:textbox style="mso-fit-shape-to-text:t">
                  <w:txbxContent>
                    <w:p w14:paraId="40648395" w14:textId="77777777" w:rsidR="00442C7F" w:rsidRDefault="00442C7F" w:rsidP="00442C7F">
                      <w:pPr>
                        <w:jc w:val="center"/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133 clinical sequencing reports during (80.0%) or at next office visit within 3 months after the period of BTK-i (20.0%)</w:t>
                      </w:r>
                    </w:p>
                  </w:txbxContent>
                </v:textbox>
              </v:shape>
            </w:pict>
          </mc:Fallback>
        </mc:AlternateContent>
      </w:r>
    </w:p>
    <w:p w14:paraId="554C70EC" w14:textId="796D4FF3" w:rsidR="00B01FE4" w:rsidRPr="00370FC3" w:rsidRDefault="00442C7F" w:rsidP="00370FC3">
      <w:pPr>
        <w:widowControl/>
        <w:jc w:val="left"/>
        <w:rPr>
          <w:rFonts w:ascii="Calibri" w:hAnsi="Calibri" w:cs="Calibri"/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C9C963A" wp14:editId="482AC025">
                <wp:simplePos x="0" y="0"/>
                <wp:positionH relativeFrom="column">
                  <wp:posOffset>3171738</wp:posOffset>
                </wp:positionH>
                <wp:positionV relativeFrom="paragraph">
                  <wp:posOffset>2850515</wp:posOffset>
                </wp:positionV>
                <wp:extent cx="2949880" cy="830997"/>
                <wp:effectExtent l="0" t="0" r="22225" b="10160"/>
                <wp:wrapNone/>
                <wp:docPr id="10" name="テキスト ボックス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552946A-1C48-D0A1-B5F0-370C5751ABB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9880" cy="83099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5D3FE9A3" w14:textId="77777777" w:rsidR="00442C7F" w:rsidRDefault="00442C7F" w:rsidP="00442C7F">
                            <w:pP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Excluded a total of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15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 results;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13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 without treatment history and/or treatment effect assessment,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1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 IBR usage for GVHD, </w:t>
                            </w: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1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kern w:val="24"/>
                              </w:rPr>
                              <w:t xml:space="preserve"> after AML development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C963A" id="テキスト ボックス 9" o:spid="_x0000_s1028" type="#_x0000_t202" style="position:absolute;margin-left:249.75pt;margin-top:224.45pt;width:232.25pt;height:65.4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" filled="f" strokecolor="windowText" strokeweight="1pt">
                <v:textbox style="mso-fit-shape-to-text:t">
                  <w:txbxContent>
                    <w:p w14:paraId="5D3FE9A3" w14:textId="77777777" w:rsidR="00442C7F" w:rsidRDefault="00442C7F" w:rsidP="00442C7F">
                      <w:pPr>
                        <w:rPr>
                          <w:rFonts w:ascii="Calibri" w:eastAsia="游ゴシック" w:hAnsi="Calibri" w:cs="+mn-cs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Excluded a total of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15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 results;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13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 without treatment history and/or treatment effect assessment,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1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 IBR usage for GVHD, </w:t>
                      </w: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1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kern w:val="24"/>
                        </w:rPr>
                        <w:t xml:space="preserve"> after AML development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5205C738" wp14:editId="12B75C47">
                <wp:simplePos x="0" y="0"/>
                <wp:positionH relativeFrom="column">
                  <wp:posOffset>877570</wp:posOffset>
                </wp:positionH>
                <wp:positionV relativeFrom="paragraph">
                  <wp:posOffset>3742722</wp:posOffset>
                </wp:positionV>
                <wp:extent cx="3108960" cy="461645"/>
                <wp:effectExtent l="0" t="0" r="15240" b="10160"/>
                <wp:wrapNone/>
                <wp:docPr id="7" name="テキスト ボックス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1C950D08-1D8C-83B3-97B7-4C16B5B24DB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896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2B605805" w14:textId="77777777" w:rsidR="00442C7F" w:rsidRDefault="00442C7F" w:rsidP="00442C7F">
                            <w:pPr>
                              <w:jc w:val="center"/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118 clinical sequencing reports from </w:t>
                            </w:r>
                          </w:p>
                          <w:p w14:paraId="2A1D9062" w14:textId="77777777" w:rsidR="00442C7F" w:rsidRDefault="00442C7F" w:rsidP="00442C7F">
                            <w:pPr>
                              <w:jc w:val="center"/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85 patients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5C738" id="テキスト ボックス 6" o:spid="_x0000_s1029" type="#_x0000_t202" style="position:absolute;margin-left:69.1pt;margin-top:294.7pt;width:244.8pt;height:36.35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" filled="f" strokecolor="windowText" strokeweight="1pt">
                <v:textbox style="mso-fit-shape-to-text:t">
                  <w:txbxContent>
                    <w:p w14:paraId="2B605805" w14:textId="77777777" w:rsidR="00442C7F" w:rsidRDefault="00442C7F" w:rsidP="00442C7F">
                      <w:pPr>
                        <w:jc w:val="center"/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 xml:space="preserve">118 clinical sequencing reports from </w:t>
                      </w:r>
                    </w:p>
                    <w:p w14:paraId="2A1D9062" w14:textId="77777777" w:rsidR="00442C7F" w:rsidRDefault="00442C7F" w:rsidP="00442C7F">
                      <w:pPr>
                        <w:jc w:val="center"/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85 patients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0BCF62" wp14:editId="7BD12B79">
                <wp:simplePos x="0" y="0"/>
                <wp:positionH relativeFrom="column">
                  <wp:posOffset>2433955</wp:posOffset>
                </wp:positionH>
                <wp:positionV relativeFrom="paragraph">
                  <wp:posOffset>2782570</wp:posOffset>
                </wp:positionV>
                <wp:extent cx="741045" cy="468630"/>
                <wp:effectExtent l="38100" t="19050" r="59055" b="83820"/>
                <wp:wrapNone/>
                <wp:docPr id="8" name="コネクタ: 曲線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1DA596DB-3AFE-38A6-CFF7-9D83FD90EB1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1045" cy="468630"/>
                        </a:xfrm>
                        <a:prstGeom prst="curvedConnector3">
                          <a:avLst>
                            <a:gd name="adj1" fmla="val -351"/>
                          </a:avLst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A5A0E32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コネクタ: 曲線 7" o:spid="_x0000_s1026" type="#_x0000_t38" style="position:absolute;left:0;text-align:left;margin-left:191.65pt;margin-top:219.1pt;width:58.35pt;height:36.9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" adj="-76" strokecolor="windowText" strokeweight="2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9061E4F" wp14:editId="126C093B">
                <wp:simplePos x="0" y="0"/>
                <wp:positionH relativeFrom="column">
                  <wp:posOffset>2433955</wp:posOffset>
                </wp:positionH>
                <wp:positionV relativeFrom="paragraph">
                  <wp:posOffset>2743232</wp:posOffset>
                </wp:positionV>
                <wp:extent cx="0" cy="1003935"/>
                <wp:effectExtent l="57150" t="0" r="57150" b="43815"/>
                <wp:wrapNone/>
                <wp:docPr id="9" name="直線矢印コネクタ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6ABD294-5798-7614-2B29-276B88E418B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0393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C8123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left:0;text-align:left;margin-left:191.65pt;margin-top:3in;width:0;height:79.05pt;z-index: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" strokecolor="windowText" strokeweight="2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5240E06" wp14:editId="2CD12F76">
                <wp:simplePos x="0" y="0"/>
                <wp:positionH relativeFrom="column">
                  <wp:posOffset>2433320</wp:posOffset>
                </wp:positionH>
                <wp:positionV relativeFrom="paragraph">
                  <wp:posOffset>1677670</wp:posOffset>
                </wp:positionV>
                <wp:extent cx="3838" cy="264391"/>
                <wp:effectExtent l="57150" t="19050" r="53340" b="40640"/>
                <wp:wrapNone/>
                <wp:docPr id="12" name="直線矢印コネクタ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DEAF30B-D573-61D7-150A-E7AA7CE668D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838" cy="264391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F85267" id="直線矢印コネクタ 11" o:spid="_x0000_s1026" type="#_x0000_t32" style="position:absolute;left:0;text-align:left;margin-left:191.6pt;margin-top:132.1pt;width:.3pt;height:20.8pt;flip:x;z-index:2517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" strokecolor="windowText" strokeweight="2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7DFA6148" wp14:editId="79FB41BA">
                <wp:simplePos x="0" y="0"/>
                <wp:positionH relativeFrom="column">
                  <wp:posOffset>2436495</wp:posOffset>
                </wp:positionH>
                <wp:positionV relativeFrom="paragraph">
                  <wp:posOffset>1078865</wp:posOffset>
                </wp:positionV>
                <wp:extent cx="3838" cy="274135"/>
                <wp:effectExtent l="57150" t="19050" r="53340" b="50165"/>
                <wp:wrapNone/>
                <wp:docPr id="5" name="直線矢印コネクタ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C042768-C702-9818-2823-F922933695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838" cy="27413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97F417" id="直線矢印コネクタ 4" o:spid="_x0000_s1026" type="#_x0000_t32" style="position:absolute;left:0;text-align:left;margin-left:191.85pt;margin-top:84.95pt;width:.3pt;height:21.6pt;flip:x;z-index:2515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" strokecolor="windowText" strokeweight="2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1D19444E" wp14:editId="0EEC793C">
                <wp:simplePos x="0" y="0"/>
                <wp:positionH relativeFrom="column">
                  <wp:posOffset>889635</wp:posOffset>
                </wp:positionH>
                <wp:positionV relativeFrom="paragraph">
                  <wp:posOffset>1348310</wp:posOffset>
                </wp:positionV>
                <wp:extent cx="3109428" cy="461665"/>
                <wp:effectExtent l="0" t="0" r="15240" b="14605"/>
                <wp:wrapNone/>
                <wp:docPr id="6" name="テキスト ボックス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9AE712D-1D17-0154-3854-83F0C651F40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9428" cy="4616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58C56239" w14:textId="77777777" w:rsidR="00442C7F" w:rsidRDefault="00442C7F" w:rsidP="00442C7F">
                            <w:pPr>
                              <w:jc w:val="center"/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游ゴシック" w:hAnsi="Calibri" w:cs="+mn-cs"/>
                                <w:b/>
                                <w:bCs/>
                                <w:color w:val="000000"/>
                                <w:kern w:val="24"/>
                              </w:rPr>
                              <w:t>470 clinical sequencing reports from 301 patients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9444E" id="テキスト ボックス 5" o:spid="_x0000_s1030" type="#_x0000_t202" style="position:absolute;margin-left:70.05pt;margin-top:106.15pt;width:244.85pt;height:36.35pt;z-index: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" filled="f" strokecolor="windowText" strokeweight="1pt">
                <v:textbox style="mso-fit-shape-to-text:t">
                  <w:txbxContent>
                    <w:p w14:paraId="58C56239" w14:textId="77777777" w:rsidR="00442C7F" w:rsidRDefault="00442C7F" w:rsidP="00442C7F">
                      <w:pPr>
                        <w:jc w:val="center"/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游ゴシック" w:hAnsi="Calibri" w:cs="+mn-cs"/>
                          <w:b/>
                          <w:bCs/>
                          <w:color w:val="000000"/>
                          <w:kern w:val="24"/>
                        </w:rPr>
                        <w:t>470 clinical sequencing reports from 301 patients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1FE4" w:rsidRPr="00370FC3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18D46" w14:textId="77777777" w:rsidR="00EB20A8" w:rsidRDefault="00EB20A8" w:rsidP="00EB20A8">
      <w:r>
        <w:separator/>
      </w:r>
    </w:p>
  </w:endnote>
  <w:endnote w:type="continuationSeparator" w:id="0">
    <w:p w14:paraId="3FF9E7F9" w14:textId="77777777" w:rsidR="00EB20A8" w:rsidRDefault="00EB20A8" w:rsidP="00EB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6792174"/>
      <w:docPartObj>
        <w:docPartGallery w:val="Page Numbers (Bottom of Page)"/>
        <w:docPartUnique/>
      </w:docPartObj>
    </w:sdtPr>
    <w:sdtEndPr/>
    <w:sdtContent>
      <w:p w14:paraId="6145DDF7" w14:textId="3C2B0887" w:rsidR="0023719D" w:rsidRDefault="0023719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87422B3" w14:textId="77777777" w:rsidR="0023719D" w:rsidRDefault="0023719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A2F2E" w14:textId="77777777" w:rsidR="00EB20A8" w:rsidRDefault="00EB20A8" w:rsidP="00EB20A8">
      <w:r>
        <w:separator/>
      </w:r>
    </w:p>
  </w:footnote>
  <w:footnote w:type="continuationSeparator" w:id="0">
    <w:p w14:paraId="4ACBC5D3" w14:textId="77777777" w:rsidR="00EB20A8" w:rsidRDefault="00EB20A8" w:rsidP="00EB2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BB"/>
    <w:rsid w:val="00084F79"/>
    <w:rsid w:val="000E16BB"/>
    <w:rsid w:val="001C75F7"/>
    <w:rsid w:val="0023719D"/>
    <w:rsid w:val="00370FC3"/>
    <w:rsid w:val="003C1292"/>
    <w:rsid w:val="00442C7F"/>
    <w:rsid w:val="004710EF"/>
    <w:rsid w:val="004A4E99"/>
    <w:rsid w:val="0099231F"/>
    <w:rsid w:val="00A82FEE"/>
    <w:rsid w:val="00AC064D"/>
    <w:rsid w:val="00B01FE4"/>
    <w:rsid w:val="00C26037"/>
    <w:rsid w:val="00C50D93"/>
    <w:rsid w:val="00C919E4"/>
    <w:rsid w:val="00E33CFF"/>
    <w:rsid w:val="00EB20A8"/>
    <w:rsid w:val="00EE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C53BAC4"/>
  <w15:chartTrackingRefBased/>
  <w15:docId w15:val="{DD564E3F-5BD9-4A13-B901-7B6A75266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6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E16BB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0E16BB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rsid w:val="000E16BB"/>
    <w:rPr>
      <w:sz w:val="20"/>
      <w:szCs w:val="20"/>
    </w:rPr>
  </w:style>
  <w:style w:type="table" w:styleId="2">
    <w:name w:val="Grid Table 2"/>
    <w:basedOn w:val="a1"/>
    <w:uiPriority w:val="47"/>
    <w:rsid w:val="000E16BB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6">
    <w:name w:val="header"/>
    <w:basedOn w:val="a"/>
    <w:link w:val="a7"/>
    <w:uiPriority w:val="99"/>
    <w:unhideWhenUsed/>
    <w:rsid w:val="00EB20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B20A8"/>
  </w:style>
  <w:style w:type="paragraph" w:styleId="a8">
    <w:name w:val="footer"/>
    <w:basedOn w:val="a"/>
    <w:link w:val="a9"/>
    <w:uiPriority w:val="99"/>
    <w:unhideWhenUsed/>
    <w:rsid w:val="00EB20A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B2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Mashima, Kiyomi</dc:creator>
  <cp:keywords/>
  <dc:description/>
  <cp:lastModifiedBy>Mashima, Kiyomi</cp:lastModifiedBy>
  <cp:revision>2</cp:revision>
  <dcterms:created xsi:type="dcterms:W3CDTF">2023-12-28T21:38:00Z</dcterms:created>
  <dcterms:modified xsi:type="dcterms:W3CDTF">2023-12-28T21:38:00Z</dcterms:modified>
</cp:coreProperties>
</file>