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74B080" w14:textId="42253657" w:rsidR="0075047A" w:rsidRDefault="0075047A" w:rsidP="0075047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216E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7. SUPPLEMENTARY MATERIALS </w:t>
      </w:r>
    </w:p>
    <w:tbl>
      <w:tblPr>
        <w:tblpPr w:leftFromText="141" w:rightFromText="141" w:vertAnchor="text" w:horzAnchor="margin" w:tblpXSpec="center" w:tblpY="923"/>
        <w:tblW w:w="79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</w:tblGrid>
      <w:tr w:rsidR="0075047A" w:rsidRPr="005216EA" w14:paraId="3C1791A9" w14:textId="77777777" w:rsidTr="00FF48C4">
        <w:trPr>
          <w:trHeight w:val="37"/>
        </w:trPr>
        <w:tc>
          <w:tcPr>
            <w:tcW w:w="1134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9DA051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340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1C4F9F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Tocilizumab</w:t>
            </w:r>
          </w:p>
        </w:tc>
        <w:tc>
          <w:tcPr>
            <w:tcW w:w="340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27348B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Methotrexate</w:t>
            </w:r>
          </w:p>
        </w:tc>
      </w:tr>
      <w:tr w:rsidR="0075047A" w:rsidRPr="005216EA" w14:paraId="77716D75" w14:textId="77777777" w:rsidTr="00FF48C4">
        <w:trPr>
          <w:trHeight w:val="29"/>
        </w:trPr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DDED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3BE013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Biomarker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DDED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103761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ΔSJC</w:t>
            </w:r>
          </w:p>
          <w:p w14:paraId="74297574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week 8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DDED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8BCE96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ΔSJC</w:t>
            </w:r>
          </w:p>
          <w:p w14:paraId="0F813C9E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week 16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DDED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FF3111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ΔSJC</w:t>
            </w:r>
          </w:p>
          <w:p w14:paraId="380A57CE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week 24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DDED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D752C6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ΔSJC</w:t>
            </w:r>
          </w:p>
          <w:p w14:paraId="028F6713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week 8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DDED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72022B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ΔSJC</w:t>
            </w:r>
          </w:p>
          <w:p w14:paraId="7ACA0349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week 16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DDED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ED0C4B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ΔSJC</w:t>
            </w:r>
          </w:p>
          <w:p w14:paraId="4AFD6DFD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week 24</w:t>
            </w:r>
          </w:p>
        </w:tc>
      </w:tr>
      <w:tr w:rsidR="0075047A" w:rsidRPr="005216EA" w14:paraId="2C19CBE2" w14:textId="77777777" w:rsidTr="00FF48C4">
        <w:trPr>
          <w:trHeight w:val="67"/>
        </w:trPr>
        <w:tc>
          <w:tcPr>
            <w:tcW w:w="1134" w:type="dxa"/>
            <w:tcBorders>
              <w:top w:val="single" w:sz="12" w:space="0" w:color="000000"/>
            </w:tcBorders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810695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C1M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E65D51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0.05</w:t>
            </w:r>
          </w:p>
          <w:p w14:paraId="0D96C871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0.56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944C9F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-0.04</w:t>
            </w:r>
          </w:p>
          <w:p w14:paraId="104C6B19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0.66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B550F5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0.14</w:t>
            </w:r>
          </w:p>
          <w:p w14:paraId="6CEFADA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0.14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E5DA0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-0.01</w:t>
            </w:r>
          </w:p>
          <w:p w14:paraId="29EA09D9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0.92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88925E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0.05</w:t>
            </w:r>
          </w:p>
          <w:p w14:paraId="1C63CD08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0.59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BD7E2E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0.08</w:t>
            </w:r>
          </w:p>
          <w:p w14:paraId="6F9E6F1E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0.38</w:t>
            </w:r>
          </w:p>
        </w:tc>
      </w:tr>
      <w:tr w:rsidR="0075047A" w:rsidRPr="005216EA" w14:paraId="66372DDC" w14:textId="77777777" w:rsidTr="00FF48C4">
        <w:trPr>
          <w:trHeight w:val="359"/>
        </w:trPr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AF6BD9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C2M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C9605E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-0.06</w:t>
            </w:r>
          </w:p>
          <w:p w14:paraId="3082A56E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0.55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11380B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0.08</w:t>
            </w:r>
          </w:p>
          <w:p w14:paraId="729FB19E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0.42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6E005E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0.08</w:t>
            </w:r>
          </w:p>
          <w:p w14:paraId="5E110DA8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0.39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45DB71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0.04</w:t>
            </w:r>
          </w:p>
          <w:p w14:paraId="4600701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0.65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D90DBB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rho = -0.01 </w:t>
            </w:r>
          </w:p>
          <w:p w14:paraId="36F07D93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0.89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0E448C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rho = 0.002 </w:t>
            </w:r>
          </w:p>
          <w:p w14:paraId="1568880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0.99</w:t>
            </w:r>
          </w:p>
        </w:tc>
      </w:tr>
      <w:tr w:rsidR="0075047A" w:rsidRPr="005216EA" w14:paraId="2D596DD0" w14:textId="77777777" w:rsidTr="00FF48C4">
        <w:trPr>
          <w:trHeight w:val="23"/>
        </w:trPr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E74F66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C3M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DDED45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0.01</w:t>
            </w:r>
          </w:p>
          <w:p w14:paraId="25E45B9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0.9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9A7C6F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-0.07</w:t>
            </w:r>
          </w:p>
          <w:p w14:paraId="75A47A39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0.44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F1DCFC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-0.01</w:t>
            </w:r>
          </w:p>
          <w:p w14:paraId="76B7882F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0.97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F06EB4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0.09</w:t>
            </w:r>
          </w:p>
          <w:p w14:paraId="17D3E482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0.3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F1FF1B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rho = 0.14 </w:t>
            </w:r>
          </w:p>
          <w:p w14:paraId="7CD48B44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0.1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EFB574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 = 0.2</w:t>
            </w:r>
          </w:p>
          <w:p w14:paraId="0710DF76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 = 0.02</w:t>
            </w:r>
          </w:p>
        </w:tc>
      </w:tr>
      <w:tr w:rsidR="0075047A" w:rsidRPr="005216EA" w14:paraId="5F69EFA8" w14:textId="77777777" w:rsidTr="00FF48C4">
        <w:trPr>
          <w:trHeight w:val="240"/>
        </w:trPr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D68F8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C4M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4D10C2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-0.03</w:t>
            </w:r>
          </w:p>
          <w:p w14:paraId="4B88DB69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0.75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562B93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-0.1</w:t>
            </w:r>
          </w:p>
          <w:p w14:paraId="70D29DD6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0.26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FE091C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-0.1</w:t>
            </w:r>
          </w:p>
          <w:p w14:paraId="5EB06670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0.88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56CCC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0.16</w:t>
            </w:r>
          </w:p>
          <w:p w14:paraId="0CFAABF6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0.06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A3C2A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rho = 0.17 </w:t>
            </w:r>
          </w:p>
          <w:p w14:paraId="306F42AE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0.05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5DE806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rho = 0.23 </w:t>
            </w:r>
          </w:p>
          <w:p w14:paraId="289B0DB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 = 0.008</w:t>
            </w:r>
          </w:p>
        </w:tc>
      </w:tr>
      <w:tr w:rsidR="0075047A" w:rsidRPr="005216EA" w14:paraId="62C89C05" w14:textId="77777777" w:rsidTr="00FF48C4">
        <w:trPr>
          <w:trHeight w:val="391"/>
        </w:trPr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1BF97D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CRP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3F1B1C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0.16</w:t>
            </w:r>
          </w:p>
          <w:p w14:paraId="19FFCDD3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0.05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87EA8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0.1</w:t>
            </w:r>
          </w:p>
          <w:p w14:paraId="4A3CEC79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0.22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48B6F9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0.16</w:t>
            </w:r>
          </w:p>
          <w:p w14:paraId="66A04034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0.05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CBEB40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 = 0.18</w:t>
            </w:r>
          </w:p>
          <w:p w14:paraId="260CC05B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 = 0.03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3C2F2F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 = 0.21</w:t>
            </w:r>
          </w:p>
          <w:p w14:paraId="69EB0CE4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 = 0.01</w:t>
            </w:r>
          </w:p>
        </w:tc>
        <w:tc>
          <w:tcPr>
            <w:tcW w:w="1134" w:type="dxa"/>
            <w:shd w:val="clear" w:color="auto" w:fill="ECEC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5A797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rho = 0.18 </w:t>
            </w:r>
          </w:p>
          <w:p w14:paraId="1EF2C6FD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 = 0.03</w:t>
            </w:r>
          </w:p>
        </w:tc>
      </w:tr>
      <w:tr w:rsidR="0075047A" w:rsidRPr="005216EA" w14:paraId="0B343702" w14:textId="77777777" w:rsidTr="00FF48C4">
        <w:trPr>
          <w:trHeight w:val="259"/>
        </w:trPr>
        <w:tc>
          <w:tcPr>
            <w:tcW w:w="1134" w:type="dxa"/>
            <w:tcBorders>
              <w:bottom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1649ED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CRPM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1EE856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0.03</w:t>
            </w:r>
          </w:p>
          <w:p w14:paraId="53C3D98C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0.76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7DB372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rho = -0.02 </w:t>
            </w:r>
          </w:p>
          <w:p w14:paraId="4059CFE4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0.81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892F80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0.11</w:t>
            </w:r>
          </w:p>
          <w:p w14:paraId="39F01AE4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0.19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446B0E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rho = 0.12</w:t>
            </w:r>
          </w:p>
          <w:p w14:paraId="1ACBC3D7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0.15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24DB16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rho = 0.13 </w:t>
            </w:r>
          </w:p>
          <w:p w14:paraId="1EF59583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 = 0.14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75971C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rho = 0.19 </w:t>
            </w:r>
          </w:p>
          <w:p w14:paraId="1032E2D1" w14:textId="77777777" w:rsidR="0075047A" w:rsidRPr="005216EA" w:rsidRDefault="0075047A" w:rsidP="00FF48C4">
            <w:pPr>
              <w:suppressAutoHyphens/>
              <w:autoSpaceDN w:val="0"/>
              <w:spacing w:before="0"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color w:val="000000" w:themeColor="text1"/>
              </w:rPr>
            </w:pPr>
            <w:r w:rsidRPr="005216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 = 0.03</w:t>
            </w:r>
          </w:p>
        </w:tc>
      </w:tr>
    </w:tbl>
    <w:p w14:paraId="28A28F28" w14:textId="77777777" w:rsidR="0075047A" w:rsidRPr="005216EA" w:rsidRDefault="0075047A" w:rsidP="0075047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27A3F412" w14:textId="77777777" w:rsidR="0075047A" w:rsidRPr="005216EA" w:rsidRDefault="0075047A" w:rsidP="0075047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57D71AA6" w14:textId="77777777" w:rsidR="0075047A" w:rsidRPr="005216EA" w:rsidRDefault="0075047A" w:rsidP="0075047A">
      <w:pPr>
        <w:jc w:val="center"/>
        <w:rPr>
          <w:color w:val="000000" w:themeColor="text1"/>
          <w:lang w:val="en-US"/>
        </w:rPr>
      </w:pPr>
    </w:p>
    <w:p w14:paraId="72263069" w14:textId="77777777" w:rsidR="0075047A" w:rsidRPr="005216EA" w:rsidRDefault="0075047A" w:rsidP="0075047A">
      <w:pPr>
        <w:rPr>
          <w:color w:val="000000" w:themeColor="text1"/>
          <w:lang w:val="en-US"/>
        </w:rPr>
      </w:pPr>
    </w:p>
    <w:p w14:paraId="3E1C31BE" w14:textId="77777777" w:rsidR="0075047A" w:rsidRPr="005216EA" w:rsidRDefault="0075047A" w:rsidP="0075047A">
      <w:pPr>
        <w:rPr>
          <w:color w:val="000000" w:themeColor="text1"/>
          <w:lang w:val="en-US"/>
        </w:rPr>
      </w:pPr>
    </w:p>
    <w:p w14:paraId="5AAD1AC4" w14:textId="77777777" w:rsidR="0075047A" w:rsidRPr="005216EA" w:rsidRDefault="0075047A" w:rsidP="0075047A">
      <w:pPr>
        <w:rPr>
          <w:color w:val="000000" w:themeColor="text1"/>
          <w:lang w:val="en-US"/>
        </w:rPr>
      </w:pPr>
    </w:p>
    <w:p w14:paraId="3DE8BBC0" w14:textId="77777777" w:rsidR="0075047A" w:rsidRPr="005216EA" w:rsidRDefault="0075047A" w:rsidP="0075047A">
      <w:pPr>
        <w:rPr>
          <w:color w:val="000000" w:themeColor="text1"/>
          <w:lang w:val="en-US"/>
        </w:rPr>
      </w:pPr>
    </w:p>
    <w:p w14:paraId="247799D5" w14:textId="77777777" w:rsidR="0075047A" w:rsidRPr="005216EA" w:rsidRDefault="0075047A" w:rsidP="0075047A">
      <w:pPr>
        <w:spacing w:line="240" w:lineRule="auto"/>
        <w:rPr>
          <w:color w:val="000000" w:themeColor="text1"/>
          <w:lang w:val="en-US"/>
        </w:rPr>
      </w:pPr>
      <w:r w:rsidRPr="005216EA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  <w:lang w:val="en-US"/>
        </w:rPr>
        <w:t>Table 5</w:t>
      </w:r>
      <w:r w:rsidRPr="005216E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 Correlation between week 8 change in levels of respective biomarkers according to the treatment group and change in number of swollen joint count (</w:t>
      </w:r>
      <w:r w:rsidRPr="005216EA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ΔSJC)</w:t>
      </w:r>
      <w:r w:rsidRPr="005216E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at week 8, 16 and 24. Correlation values are given as Spearman’s correlation coefficient (rho) and significance as p-value. Significant correlations with P&lt;0.0083 have been highlighted (Bonferroni correction).</w:t>
      </w:r>
    </w:p>
    <w:p w14:paraId="763D4D4E" w14:textId="77777777" w:rsidR="00A340D3" w:rsidRDefault="00A340D3"/>
    <w:sectPr w:rsidR="00A340D3" w:rsidSect="0075047A">
      <w:footerReference w:type="default" r:id="rId4"/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222615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B553522" w14:textId="77777777" w:rsidR="002B02B8" w:rsidRDefault="0075047A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EE40809" w14:textId="77777777" w:rsidR="002B02B8" w:rsidRDefault="0075047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47A"/>
    <w:rsid w:val="00114675"/>
    <w:rsid w:val="002B53FA"/>
    <w:rsid w:val="0075047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CC698A"/>
  <w15:chartTrackingRefBased/>
  <w15:docId w15:val="{0AF4B3B8-77F8-064D-B34F-19E848C8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47A"/>
    <w:pPr>
      <w:spacing w:before="240" w:after="240" w:line="480" w:lineRule="auto"/>
      <w:jc w:val="both"/>
    </w:pPr>
    <w:rPr>
      <w:rFonts w:eastAsiaTheme="minorEastAsia"/>
      <w:sz w:val="22"/>
      <w:szCs w:val="22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504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47A"/>
    <w:rPr>
      <w:rFonts w:eastAsiaTheme="minorEastAsia"/>
      <w:sz w:val="22"/>
      <w:szCs w:val="22"/>
      <w:lang w:val="en-GB" w:eastAsia="zh-CN"/>
    </w:rPr>
  </w:style>
  <w:style w:type="character" w:styleId="LineNumber">
    <w:name w:val="line number"/>
    <w:basedOn w:val="DefaultParagraphFont"/>
    <w:uiPriority w:val="99"/>
    <w:semiHidden/>
    <w:unhideWhenUsed/>
    <w:rsid w:val="007504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2020-09-09T19:52:00Z</dcterms:created>
  <dcterms:modified xsi:type="dcterms:W3CDTF">2020-09-09T19:53:00Z</dcterms:modified>
</cp:coreProperties>
</file>