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CF293" w14:textId="77777777" w:rsidR="00366BEF" w:rsidRDefault="00366BEF" w:rsidP="00366BEF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inline distT="0" distB="0" distL="0" distR="0" wp14:anchorId="30380291" wp14:editId="6FC752DC">
            <wp:extent cx="3794125" cy="4257446"/>
            <wp:effectExtent l="0" t="0" r="0" b="0"/>
            <wp:docPr id="1" name="Picture 1" descr="A diagram of a cloud form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iagram of a cloud form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080" cy="4260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2C6F8" w14:textId="77777777" w:rsidR="00366BEF" w:rsidRDefault="00366BEF" w:rsidP="00366BEF">
      <w:pPr>
        <w:jc w:val="both"/>
        <w:rPr>
          <w:rFonts w:asciiTheme="majorBidi" w:hAnsiTheme="majorBidi" w:cstheme="majorBidi"/>
          <w:sz w:val="24"/>
          <w:szCs w:val="24"/>
        </w:rPr>
      </w:pPr>
      <w:r w:rsidRPr="00C91B12">
        <w:rPr>
          <w:rFonts w:asciiTheme="majorBidi" w:hAnsiTheme="majorBidi" w:cstheme="majorBidi"/>
          <w:b/>
          <w:bCs/>
          <w:sz w:val="24"/>
          <w:szCs w:val="24"/>
        </w:rPr>
        <w:t>Graphical Abstract:</w:t>
      </w:r>
      <w:r>
        <w:rPr>
          <w:rFonts w:asciiTheme="majorBidi" w:hAnsiTheme="majorBidi" w:cstheme="majorBidi"/>
          <w:sz w:val="24"/>
          <w:szCs w:val="24"/>
        </w:rPr>
        <w:t xml:space="preserve"> a)</w:t>
      </w:r>
      <w:r w:rsidRPr="00C91B12">
        <w:rPr>
          <w:rFonts w:asciiTheme="majorBidi" w:hAnsiTheme="majorBidi" w:cstheme="majorBidi"/>
          <w:sz w:val="24"/>
          <w:szCs w:val="24"/>
        </w:rPr>
        <w:t xml:space="preserve"> illustrates the </w:t>
      </w:r>
      <w:r>
        <w:rPr>
          <w:rFonts w:asciiTheme="majorBidi" w:hAnsiTheme="majorBidi" w:cstheme="majorBidi"/>
          <w:sz w:val="24"/>
          <w:szCs w:val="24"/>
        </w:rPr>
        <w:t>regular</w:t>
      </w:r>
      <w:r w:rsidRPr="00C91B12">
        <w:rPr>
          <w:rFonts w:asciiTheme="majorBidi" w:hAnsiTheme="majorBidi" w:cstheme="majorBidi"/>
          <w:sz w:val="24"/>
          <w:szCs w:val="24"/>
        </w:rPr>
        <w:t xml:space="preserve"> CRISPR system mechanism, while Part </w:t>
      </w:r>
      <w:r>
        <w:rPr>
          <w:rFonts w:asciiTheme="majorBidi" w:hAnsiTheme="majorBidi" w:cstheme="majorBidi"/>
          <w:sz w:val="24"/>
          <w:szCs w:val="24"/>
        </w:rPr>
        <w:t>b)</w:t>
      </w:r>
      <w:r w:rsidRPr="00C91B12">
        <w:rPr>
          <w:rFonts w:asciiTheme="majorBidi" w:hAnsiTheme="majorBidi" w:cstheme="majorBidi"/>
          <w:sz w:val="24"/>
          <w:szCs w:val="24"/>
        </w:rPr>
        <w:t xml:space="preserve"> showcases the conditional form, activating exclusively in the presence of triggers.</w:t>
      </w:r>
    </w:p>
    <w:p w14:paraId="7CDBBF6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BEF"/>
    <w:rsid w:val="00366BE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8213C"/>
  <w15:chartTrackingRefBased/>
  <w15:docId w15:val="{F7AA13E4-B716-4400-A536-CE2D25AFC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BE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Springer Nature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2024-02-13T13:29:00Z</dcterms:created>
  <dcterms:modified xsi:type="dcterms:W3CDTF">2024-02-13T13:30:00Z</dcterms:modified>
</cp:coreProperties>
</file>