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5E83D" w14:textId="77777777" w:rsidR="003B0B80" w:rsidRPr="00363F7F" w:rsidRDefault="003B0B80" w:rsidP="003B0B80">
      <w:pPr>
        <w:spacing w:after="0" w:line="240" w:lineRule="auto"/>
        <w:jc w:val="right"/>
        <w:rPr>
          <w:rFonts w:ascii="TimesNewRomanPSMT" w:hAnsi="TimesNewRomanPSMT" w:cs="TimesNewRomanPSMT"/>
          <w:b/>
          <w:bCs/>
          <w:color w:val="000000" w:themeColor="text1"/>
          <w:sz w:val="24"/>
          <w:szCs w:val="24"/>
        </w:rPr>
      </w:pPr>
      <w:r w:rsidRPr="00363F7F">
        <w:rPr>
          <w:rFonts w:ascii="TimesNewRomanPSMT" w:hAnsi="TimesNewRomanPSMT" w:cs="TimesNewRomanPSMT"/>
          <w:b/>
          <w:bCs/>
          <w:color w:val="000000" w:themeColor="text1"/>
          <w:sz w:val="24"/>
          <w:szCs w:val="24"/>
        </w:rPr>
        <w:t>Supplementary material</w:t>
      </w:r>
    </w:p>
    <w:p w14:paraId="737CEF01" w14:textId="77777777" w:rsidR="003B0B80" w:rsidRDefault="003B0B80" w:rsidP="003B0B80">
      <w:pPr>
        <w:spacing w:after="0" w:line="240" w:lineRule="auto"/>
      </w:pPr>
    </w:p>
    <w:p w14:paraId="4A6E1C57" w14:textId="77777777" w:rsidR="00024514" w:rsidRPr="00024514" w:rsidRDefault="00024514" w:rsidP="00024514">
      <w:pPr>
        <w:spacing w:after="0" w:line="240" w:lineRule="auto"/>
        <w:jc w:val="both"/>
        <w:rPr>
          <w:rFonts w:ascii="Times New Roman" w:eastAsia="Calibri" w:hAnsi="Times New Roman" w:cs="Times New Roman"/>
          <w:b/>
          <w:bCs/>
          <w:color w:val="000000" w:themeColor="text1"/>
          <w:sz w:val="20"/>
          <w:szCs w:val="20"/>
          <w:lang w:val="en-GB"/>
        </w:rPr>
      </w:pPr>
      <w:r w:rsidRPr="00024514">
        <w:rPr>
          <w:rFonts w:ascii="Times New Roman" w:eastAsia="Calibri" w:hAnsi="Times New Roman" w:cs="Times New Roman"/>
          <w:b/>
          <w:bCs/>
          <w:color w:val="000000" w:themeColor="text1"/>
          <w:sz w:val="20"/>
          <w:szCs w:val="20"/>
          <w:lang w:val="en-GB"/>
        </w:rPr>
        <w:t>Bioproduction of yeast single cell oil with acute oral toxicity study intended for edible oil application</w:t>
      </w:r>
    </w:p>
    <w:p w14:paraId="5945D201" w14:textId="77777777" w:rsidR="00024514" w:rsidRPr="00024514" w:rsidRDefault="00024514" w:rsidP="002C55B8">
      <w:pPr>
        <w:spacing w:after="0" w:line="240" w:lineRule="auto"/>
        <w:jc w:val="both"/>
        <w:rPr>
          <w:rFonts w:ascii="Times New Roman" w:hAnsi="Times New Roman"/>
          <w:sz w:val="20"/>
          <w:szCs w:val="20"/>
          <w:lang w:val="en-US"/>
        </w:rPr>
      </w:pPr>
    </w:p>
    <w:p w14:paraId="55AD13EB" w14:textId="61822802" w:rsidR="002C55B8" w:rsidRPr="00024514" w:rsidRDefault="002C55B8" w:rsidP="002C55B8">
      <w:pPr>
        <w:spacing w:after="0" w:line="240" w:lineRule="auto"/>
        <w:jc w:val="both"/>
        <w:rPr>
          <w:rFonts w:ascii="Times New Roman" w:hAnsi="Times New Roman"/>
          <w:b/>
          <w:bCs/>
          <w:color w:val="000000"/>
          <w:sz w:val="20"/>
          <w:szCs w:val="20"/>
        </w:rPr>
      </w:pPr>
      <w:r w:rsidRPr="00024514">
        <w:rPr>
          <w:rFonts w:ascii="Times New Roman" w:hAnsi="Times New Roman"/>
          <w:sz w:val="20"/>
          <w:szCs w:val="20"/>
          <w:lang w:val="en-US"/>
        </w:rPr>
        <w:t>Abhilek K Nautiyal</w:t>
      </w:r>
      <w:r w:rsidRPr="00024514">
        <w:rPr>
          <w:rFonts w:ascii="Times New Roman" w:hAnsi="Times New Roman"/>
          <w:sz w:val="20"/>
          <w:szCs w:val="20"/>
          <w:vertAlign w:val="superscript"/>
          <w:lang w:val="en-US"/>
        </w:rPr>
        <w:t>1,2</w:t>
      </w:r>
      <w:r w:rsidRPr="00024514">
        <w:rPr>
          <w:rFonts w:ascii="Times New Roman" w:hAnsi="Times New Roman"/>
          <w:sz w:val="20"/>
          <w:szCs w:val="20"/>
          <w:lang w:val="en-US"/>
        </w:rPr>
        <w:t>,</w:t>
      </w:r>
      <w:r w:rsidRPr="00024514">
        <w:rPr>
          <w:rFonts w:ascii="Times New Roman" w:hAnsi="Times New Roman"/>
          <w:color w:val="000000"/>
          <w:sz w:val="20"/>
          <w:szCs w:val="20"/>
        </w:rPr>
        <w:t xml:space="preserve"> Priyanka</w:t>
      </w:r>
      <w:r w:rsidRPr="00024514">
        <w:rPr>
          <w:rFonts w:ascii="Times New Roman" w:hAnsi="Times New Roman"/>
          <w:color w:val="000000"/>
          <w:sz w:val="20"/>
          <w:szCs w:val="20"/>
          <w:vertAlign w:val="superscript"/>
        </w:rPr>
        <w:t>2,3</w:t>
      </w:r>
      <w:r w:rsidRPr="00024514">
        <w:rPr>
          <w:rFonts w:ascii="Times New Roman" w:hAnsi="Times New Roman"/>
          <w:color w:val="000000"/>
          <w:sz w:val="20"/>
          <w:szCs w:val="20"/>
        </w:rPr>
        <w:t>, Pranoy Paul</w:t>
      </w:r>
      <w:r w:rsidRPr="00024514">
        <w:rPr>
          <w:rFonts w:ascii="Times New Roman" w:hAnsi="Times New Roman"/>
          <w:color w:val="000000"/>
          <w:sz w:val="20"/>
          <w:szCs w:val="20"/>
          <w:vertAlign w:val="superscript"/>
        </w:rPr>
        <w:t>4</w:t>
      </w:r>
      <w:r w:rsidRPr="00024514">
        <w:rPr>
          <w:rFonts w:ascii="Times New Roman" w:hAnsi="Times New Roman"/>
          <w:color w:val="000000"/>
          <w:sz w:val="20"/>
          <w:szCs w:val="20"/>
        </w:rPr>
        <w:t>, Sachin Raut</w:t>
      </w:r>
      <w:r w:rsidRPr="00024514">
        <w:rPr>
          <w:rFonts w:ascii="Times New Roman" w:hAnsi="Times New Roman"/>
          <w:color w:val="000000"/>
          <w:sz w:val="20"/>
          <w:szCs w:val="20"/>
          <w:vertAlign w:val="superscript"/>
        </w:rPr>
        <w:t xml:space="preserve">2,3 </w:t>
      </w:r>
      <w:r w:rsidRPr="00024514">
        <w:rPr>
          <w:rFonts w:ascii="Times New Roman" w:hAnsi="Times New Roman"/>
          <w:sz w:val="20"/>
          <w:szCs w:val="20"/>
          <w:lang w:val="en-US"/>
        </w:rPr>
        <w:t>Thallada Bhaskar</w:t>
      </w:r>
      <w:r w:rsidRPr="00024514">
        <w:rPr>
          <w:rFonts w:ascii="Times New Roman" w:hAnsi="Times New Roman"/>
          <w:sz w:val="20"/>
          <w:szCs w:val="20"/>
          <w:vertAlign w:val="superscript"/>
          <w:lang w:val="en-US"/>
        </w:rPr>
        <w:t>1,2</w:t>
      </w:r>
      <w:r w:rsidRPr="00024514">
        <w:rPr>
          <w:rFonts w:ascii="Times New Roman" w:hAnsi="Times New Roman"/>
          <w:sz w:val="20"/>
          <w:szCs w:val="20"/>
          <w:lang w:val="en-US"/>
        </w:rPr>
        <w:t xml:space="preserve">, </w:t>
      </w:r>
      <w:r w:rsidRPr="00024514">
        <w:rPr>
          <w:rFonts w:ascii="Times New Roman" w:hAnsi="Times New Roman"/>
          <w:color w:val="000000"/>
          <w:sz w:val="20"/>
          <w:szCs w:val="20"/>
        </w:rPr>
        <w:t>Nilotpal Chowdhury</w:t>
      </w:r>
      <w:r w:rsidRPr="00024514">
        <w:rPr>
          <w:rFonts w:ascii="Times New Roman" w:hAnsi="Times New Roman"/>
          <w:color w:val="000000"/>
          <w:sz w:val="20"/>
          <w:szCs w:val="20"/>
          <w:vertAlign w:val="superscript"/>
        </w:rPr>
        <w:t>4</w:t>
      </w:r>
      <w:r w:rsidRPr="00024514">
        <w:rPr>
          <w:rFonts w:ascii="Times New Roman" w:hAnsi="Times New Roman"/>
          <w:color w:val="000000"/>
          <w:sz w:val="20"/>
          <w:szCs w:val="20"/>
        </w:rPr>
        <w:t>, Neeraj Khatri</w:t>
      </w:r>
      <w:r w:rsidRPr="00024514">
        <w:rPr>
          <w:rFonts w:ascii="Times New Roman" w:hAnsi="Times New Roman"/>
          <w:color w:val="000000"/>
          <w:sz w:val="20"/>
          <w:szCs w:val="20"/>
          <w:vertAlign w:val="superscript"/>
        </w:rPr>
        <w:t>2,3*</w:t>
      </w:r>
      <w:r w:rsidRPr="00024514">
        <w:rPr>
          <w:rFonts w:ascii="Times New Roman" w:hAnsi="Times New Roman"/>
          <w:color w:val="000000"/>
          <w:sz w:val="20"/>
          <w:szCs w:val="20"/>
        </w:rPr>
        <w:t xml:space="preserve">, </w:t>
      </w:r>
      <w:r w:rsidRPr="00024514">
        <w:rPr>
          <w:rFonts w:ascii="Times New Roman" w:hAnsi="Times New Roman"/>
          <w:sz w:val="20"/>
          <w:szCs w:val="20"/>
          <w:lang w:val="en-US"/>
        </w:rPr>
        <w:t>Debashish Ghosh</w:t>
      </w:r>
      <w:r w:rsidRPr="00024514">
        <w:rPr>
          <w:rFonts w:ascii="Times New Roman" w:hAnsi="Times New Roman"/>
          <w:sz w:val="20"/>
          <w:szCs w:val="20"/>
          <w:vertAlign w:val="superscript"/>
          <w:lang w:val="en-US"/>
        </w:rPr>
        <w:t>1,2*</w:t>
      </w:r>
    </w:p>
    <w:p w14:paraId="6BE1F356" w14:textId="77777777" w:rsidR="002C55B8" w:rsidRPr="00024514" w:rsidRDefault="002C55B8" w:rsidP="002C55B8">
      <w:pPr>
        <w:spacing w:after="0" w:line="240" w:lineRule="auto"/>
        <w:contextualSpacing/>
        <w:jc w:val="both"/>
        <w:rPr>
          <w:rFonts w:ascii="Times New Roman" w:hAnsi="Times New Roman"/>
          <w:sz w:val="20"/>
          <w:szCs w:val="20"/>
          <w:vertAlign w:val="superscript"/>
          <w:lang w:val="en-US"/>
        </w:rPr>
      </w:pPr>
    </w:p>
    <w:p w14:paraId="564129B2" w14:textId="77777777" w:rsidR="002C55B8" w:rsidRPr="00024514" w:rsidRDefault="002C55B8" w:rsidP="002C55B8">
      <w:pPr>
        <w:spacing w:after="0" w:line="240" w:lineRule="auto"/>
        <w:jc w:val="both"/>
        <w:rPr>
          <w:rFonts w:ascii="Times New Roman" w:hAnsi="Times New Roman"/>
          <w:color w:val="000000"/>
          <w:sz w:val="20"/>
          <w:szCs w:val="20"/>
        </w:rPr>
      </w:pPr>
      <w:r w:rsidRPr="00024514">
        <w:rPr>
          <w:rFonts w:ascii="Times New Roman" w:hAnsi="Times New Roman"/>
          <w:sz w:val="20"/>
          <w:szCs w:val="20"/>
          <w:vertAlign w:val="superscript"/>
          <w:lang w:val="en-US"/>
        </w:rPr>
        <w:t>1</w:t>
      </w:r>
      <w:r w:rsidRPr="00024514">
        <w:rPr>
          <w:rFonts w:ascii="Times New Roman" w:hAnsi="Times New Roman"/>
          <w:sz w:val="20"/>
          <w:szCs w:val="20"/>
          <w:lang w:val="en-US"/>
        </w:rPr>
        <w:t xml:space="preserve">Material Resource Efficiency Division (MRED), CSIR-Indian Institute of Petroleum, Mohkampur, Dehradun 248001, Uttarakhand, India; </w:t>
      </w:r>
      <w:r w:rsidRPr="00024514">
        <w:rPr>
          <w:rFonts w:ascii="Times New Roman" w:hAnsi="Times New Roman"/>
          <w:sz w:val="20"/>
          <w:szCs w:val="20"/>
          <w:vertAlign w:val="superscript"/>
          <w:lang w:val="en-US"/>
        </w:rPr>
        <w:t>2</w:t>
      </w:r>
      <w:r w:rsidRPr="00024514">
        <w:rPr>
          <w:rFonts w:ascii="Times New Roman" w:hAnsi="Times New Roman"/>
          <w:sz w:val="20"/>
          <w:szCs w:val="20"/>
        </w:rPr>
        <w:t xml:space="preserve">Academy of Scientific and Innovative Research (AcSIR), CSIR-HRDC Campus, Ghaziabad 210002, Uttar Pradesh, India, </w:t>
      </w:r>
      <w:r w:rsidRPr="00024514">
        <w:rPr>
          <w:rFonts w:ascii="Times New Roman" w:hAnsi="Times New Roman"/>
          <w:color w:val="000000"/>
          <w:sz w:val="20"/>
          <w:szCs w:val="20"/>
          <w:vertAlign w:val="superscript"/>
        </w:rPr>
        <w:t>3</w:t>
      </w:r>
      <w:r w:rsidRPr="00024514">
        <w:rPr>
          <w:rFonts w:ascii="Times New Roman" w:hAnsi="Times New Roman"/>
          <w:color w:val="000000"/>
          <w:sz w:val="20"/>
          <w:szCs w:val="20"/>
        </w:rPr>
        <w:t xml:space="preserve">IMTech Centre for Animal Resources &amp; Experimentation (iCARE), CSIR-Institute of Microbial Technology (IMTECH), Chandigarh 160036, India, </w:t>
      </w:r>
      <w:r w:rsidRPr="00024514">
        <w:rPr>
          <w:rFonts w:ascii="Times New Roman" w:hAnsi="Times New Roman"/>
          <w:color w:val="000000"/>
          <w:sz w:val="20"/>
          <w:szCs w:val="20"/>
          <w:vertAlign w:val="superscript"/>
        </w:rPr>
        <w:t>4</w:t>
      </w:r>
      <w:r w:rsidRPr="00024514">
        <w:rPr>
          <w:rFonts w:ascii="Times New Roman" w:hAnsi="Times New Roman"/>
          <w:color w:val="000000"/>
          <w:sz w:val="20"/>
          <w:szCs w:val="20"/>
        </w:rPr>
        <w:t xml:space="preserve">Multidisciplinary Research Unit, All India Institute of Medical Sciences, Rishikesh, Rishikesh 249203, India, </w:t>
      </w:r>
    </w:p>
    <w:p w14:paraId="1CE96A75" w14:textId="77777777" w:rsidR="002C55B8" w:rsidRPr="00024514" w:rsidRDefault="002C55B8" w:rsidP="002C55B8">
      <w:pPr>
        <w:spacing w:after="0" w:line="240" w:lineRule="auto"/>
        <w:jc w:val="both"/>
        <w:rPr>
          <w:rFonts w:ascii="Times New Roman" w:hAnsi="Times New Roman"/>
          <w:color w:val="000000"/>
          <w:sz w:val="20"/>
          <w:szCs w:val="20"/>
        </w:rPr>
      </w:pPr>
    </w:p>
    <w:p w14:paraId="41A5C759" w14:textId="77777777" w:rsidR="002C55B8" w:rsidRPr="00024514" w:rsidRDefault="002C55B8" w:rsidP="002C55B8">
      <w:pPr>
        <w:spacing w:after="0" w:line="240" w:lineRule="auto"/>
        <w:contextualSpacing/>
        <w:jc w:val="both"/>
        <w:rPr>
          <w:rFonts w:ascii="Times New Roman" w:hAnsi="Times New Roman"/>
          <w:color w:val="000000"/>
          <w:sz w:val="20"/>
          <w:szCs w:val="20"/>
          <w:shd w:val="clear" w:color="auto" w:fill="FDFCFA"/>
        </w:rPr>
      </w:pPr>
    </w:p>
    <w:p w14:paraId="0FDD67B1" w14:textId="56A08643" w:rsidR="002C55B8" w:rsidRPr="00024514" w:rsidRDefault="002C55B8" w:rsidP="002C55B8">
      <w:pPr>
        <w:spacing w:after="0" w:line="240" w:lineRule="auto"/>
        <w:contextualSpacing/>
        <w:rPr>
          <w:rFonts w:ascii="Times New Roman" w:hAnsi="Times New Roman"/>
          <w:sz w:val="20"/>
          <w:szCs w:val="20"/>
          <w:lang w:val="en-US"/>
        </w:rPr>
      </w:pPr>
      <w:r w:rsidRPr="00024514">
        <w:rPr>
          <w:rFonts w:ascii="Times New Roman" w:hAnsi="Times New Roman"/>
          <w:sz w:val="20"/>
          <w:szCs w:val="20"/>
          <w:lang w:val="en-US"/>
        </w:rPr>
        <w:t xml:space="preserve">*Corresponding Author: </w:t>
      </w:r>
      <w:hyperlink r:id="rId4" w:history="1">
        <w:r w:rsidRPr="00024514">
          <w:rPr>
            <w:rStyle w:val="Hyperlink"/>
            <w:rFonts w:ascii="Times New Roman" w:hAnsi="Times New Roman" w:cs="Times New Roman"/>
            <w:sz w:val="20"/>
            <w:szCs w:val="20"/>
            <w:shd w:val="clear" w:color="auto" w:fill="FFFDFB"/>
          </w:rPr>
          <w:t>neeraj@imtech.res.in</w:t>
        </w:r>
      </w:hyperlink>
      <w:r w:rsidRPr="00024514">
        <w:rPr>
          <w:rFonts w:ascii="Times New Roman" w:hAnsi="Times New Roman"/>
          <w:color w:val="657C7F"/>
          <w:sz w:val="20"/>
          <w:szCs w:val="20"/>
          <w:shd w:val="clear" w:color="auto" w:fill="FFFDFB"/>
        </w:rPr>
        <w:t xml:space="preserve">, </w:t>
      </w:r>
      <w:hyperlink r:id="rId5" w:history="1">
        <w:r w:rsidRPr="00024514">
          <w:rPr>
            <w:rStyle w:val="Hyperlink"/>
            <w:rFonts w:ascii="Times New Roman" w:hAnsi="Times New Roman"/>
            <w:sz w:val="20"/>
            <w:szCs w:val="20"/>
            <w:lang w:val="en-US"/>
          </w:rPr>
          <w:t>dghosh@iip.res.in</w:t>
        </w:r>
      </w:hyperlink>
      <w:r w:rsidRPr="00024514">
        <w:rPr>
          <w:rFonts w:ascii="Times New Roman" w:hAnsi="Times New Roman"/>
          <w:sz w:val="20"/>
          <w:szCs w:val="20"/>
          <w:lang w:val="en-US"/>
        </w:rPr>
        <w:t>; +919410703482, +91 135 2525947</w:t>
      </w:r>
    </w:p>
    <w:p w14:paraId="529496E7" w14:textId="77777777" w:rsidR="003B0B80" w:rsidRPr="002C55B8" w:rsidRDefault="003B0B80" w:rsidP="003B0B80">
      <w:pPr>
        <w:spacing w:after="0" w:line="240" w:lineRule="auto"/>
        <w:rPr>
          <w:lang w:val="en-US"/>
        </w:rPr>
        <w:sectPr w:rsidR="003B0B80" w:rsidRPr="002C55B8">
          <w:pgSz w:w="11906" w:h="16838"/>
          <w:pgMar w:top="1440" w:right="1440" w:bottom="1440" w:left="1440" w:header="708" w:footer="708" w:gutter="0"/>
          <w:cols w:space="708"/>
          <w:docGrid w:linePitch="360"/>
        </w:sectPr>
      </w:pPr>
    </w:p>
    <w:p w14:paraId="755D5651" w14:textId="77777777" w:rsidR="003B0B80" w:rsidRPr="00363F7F" w:rsidRDefault="003B0B80" w:rsidP="003B0B80">
      <w:pPr>
        <w:spacing w:after="0" w:line="240" w:lineRule="auto"/>
        <w:rPr>
          <w:rFonts w:ascii="TimesNewRomanPSMT" w:hAnsi="TimesNewRomanPSMT" w:cs="TimesNewRomanPSMT"/>
          <w:color w:val="000000" w:themeColor="text1"/>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8"/>
      </w:tblGrid>
      <w:tr w:rsidR="003B0B80" w:rsidRPr="00363F7F" w14:paraId="64C10BF2" w14:textId="77777777" w:rsidTr="003B0B80">
        <w:trPr>
          <w:jc w:val="center"/>
        </w:trPr>
        <w:tc>
          <w:tcPr>
            <w:tcW w:w="13938" w:type="dxa"/>
          </w:tcPr>
          <w:p w14:paraId="18C550FF" w14:textId="77777777" w:rsidR="003B0B80" w:rsidRPr="00363F7F" w:rsidRDefault="003B0B80" w:rsidP="003B0B80">
            <w:pPr>
              <w:spacing w:after="0" w:line="240" w:lineRule="auto"/>
              <w:jc w:val="center"/>
              <w:rPr>
                <w:rFonts w:ascii="TimesNewRomanPSMT" w:hAnsi="TimesNewRomanPSMT" w:cs="TimesNewRomanPSMT"/>
                <w:color w:val="000000" w:themeColor="text1"/>
                <w:sz w:val="24"/>
                <w:szCs w:val="24"/>
              </w:rPr>
            </w:pPr>
            <w:r w:rsidRPr="00363F7F">
              <w:rPr>
                <w:rFonts w:ascii="TimesNewRomanPSMT" w:hAnsi="TimesNewRomanPSMT" w:cs="TimesNewRomanPSMT"/>
                <w:noProof/>
                <w:color w:val="000000" w:themeColor="text1"/>
                <w:sz w:val="24"/>
                <w:szCs w:val="24"/>
                <w:lang w:val="en-US"/>
              </w:rPr>
              <w:drawing>
                <wp:inline distT="0" distB="0" distL="0" distR="0" wp14:anchorId="48993C07" wp14:editId="39A0B23C">
                  <wp:extent cx="5781822" cy="4284754"/>
                  <wp:effectExtent l="0" t="0" r="0" b="1905"/>
                  <wp:docPr id="8340538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053814" name="Picture 834053814"/>
                          <pic:cNvPicPr/>
                        </pic:nvPicPr>
                        <pic:blipFill>
                          <a:blip r:embed="rId6" cstate="print">
                            <a:extLst>
                              <a:ext uri="{28A0092B-C50C-407E-A947-70E740481C1C}">
                                <a14:useLocalDpi xmlns:a14="http://schemas.microsoft.com/office/drawing/2010/main" val="0"/>
                              </a:ext>
                            </a:extLst>
                          </a:blip>
                          <a:stretch>
                            <a:fillRect/>
                          </a:stretch>
                        </pic:blipFill>
                        <pic:spPr>
                          <a:xfrm>
                            <a:off x="0" y="0"/>
                            <a:ext cx="5814189" cy="4308740"/>
                          </a:xfrm>
                          <a:prstGeom prst="rect">
                            <a:avLst/>
                          </a:prstGeom>
                        </pic:spPr>
                      </pic:pic>
                    </a:graphicData>
                  </a:graphic>
                </wp:inline>
              </w:drawing>
            </w:r>
          </w:p>
        </w:tc>
      </w:tr>
      <w:tr w:rsidR="003B0B80" w:rsidRPr="00363F7F" w14:paraId="1C19C8A0" w14:textId="77777777" w:rsidTr="003B0B80">
        <w:trPr>
          <w:jc w:val="center"/>
        </w:trPr>
        <w:tc>
          <w:tcPr>
            <w:tcW w:w="13938" w:type="dxa"/>
          </w:tcPr>
          <w:p w14:paraId="5CF41D6D" w14:textId="77777777" w:rsidR="003B0B80" w:rsidRPr="00363F7F" w:rsidRDefault="003B0B80" w:rsidP="003B0B80">
            <w:pPr>
              <w:spacing w:after="0" w:line="240" w:lineRule="auto"/>
              <w:rPr>
                <w:rFonts w:ascii="TimesNewRomanPSMT" w:hAnsi="TimesNewRomanPSMT" w:cs="TimesNewRomanPSMT"/>
                <w:color w:val="000000" w:themeColor="text1"/>
                <w:sz w:val="24"/>
                <w:szCs w:val="24"/>
              </w:rPr>
            </w:pPr>
          </w:p>
        </w:tc>
      </w:tr>
      <w:tr w:rsidR="003B0B80" w:rsidRPr="00363F7F" w14:paraId="3A2A6532" w14:textId="77777777" w:rsidTr="003B0B80">
        <w:trPr>
          <w:trHeight w:val="348"/>
          <w:jc w:val="center"/>
        </w:trPr>
        <w:tc>
          <w:tcPr>
            <w:tcW w:w="13938" w:type="dxa"/>
          </w:tcPr>
          <w:p w14:paraId="2432566D" w14:textId="7191C821" w:rsidR="003B0B80" w:rsidRPr="00024514" w:rsidRDefault="003B0B80" w:rsidP="003B0B80">
            <w:pPr>
              <w:autoSpaceDE w:val="0"/>
              <w:autoSpaceDN w:val="0"/>
              <w:adjustRightInd w:val="0"/>
              <w:spacing w:after="0" w:line="240" w:lineRule="auto"/>
              <w:jc w:val="both"/>
              <w:rPr>
                <w:rFonts w:ascii="Times New Roman" w:hAnsi="Times New Roman" w:cs="Times New Roman"/>
                <w:color w:val="000000" w:themeColor="text1"/>
                <w:sz w:val="20"/>
                <w:szCs w:val="20"/>
              </w:rPr>
            </w:pPr>
            <w:r w:rsidRPr="00024514">
              <w:rPr>
                <w:rFonts w:ascii="Times New Roman" w:hAnsi="Times New Roman" w:cs="Times New Roman"/>
                <w:b/>
                <w:bCs/>
                <w:color w:val="000000" w:themeColor="text1"/>
                <w:sz w:val="20"/>
                <w:szCs w:val="20"/>
              </w:rPr>
              <w:t>Fi</w:t>
            </w:r>
            <w:r w:rsidR="004F25AB" w:rsidRPr="00024514">
              <w:rPr>
                <w:rFonts w:ascii="Times New Roman" w:hAnsi="Times New Roman" w:cs="Times New Roman"/>
                <w:b/>
                <w:bCs/>
                <w:color w:val="000000" w:themeColor="text1"/>
                <w:sz w:val="20"/>
                <w:szCs w:val="20"/>
              </w:rPr>
              <w:t>g</w:t>
            </w:r>
            <w:r w:rsidRPr="00024514">
              <w:rPr>
                <w:rFonts w:ascii="Times New Roman" w:hAnsi="Times New Roman" w:cs="Times New Roman"/>
                <w:b/>
                <w:bCs/>
                <w:color w:val="000000" w:themeColor="text1"/>
                <w:sz w:val="20"/>
                <w:szCs w:val="20"/>
              </w:rPr>
              <w:t>.S1:</w:t>
            </w:r>
            <w:r w:rsidRPr="00024514">
              <w:rPr>
                <w:rFonts w:ascii="Times New Roman" w:hAnsi="Times New Roman" w:cs="Times New Roman"/>
                <w:color w:val="000000" w:themeColor="text1"/>
                <w:sz w:val="20"/>
                <w:szCs w:val="20"/>
              </w:rPr>
              <w:t xml:space="preserve"> Effects of Yeast Single Cell Oil (SCO) on the blood biochemical parameters of mice. (a) Female Blood urea; (b) Male Blood urea; (c) Female Uric acid; (d) Male Uric acid; (e) Female Serum creatinine; (f) Male Serum creatinine. Data are means ± SD of n = 3 per group. </w:t>
            </w:r>
            <w:r w:rsidRPr="00024514">
              <w:rPr>
                <w:rFonts w:ascii="Times New Roman" w:eastAsia="Times New Roman" w:hAnsi="Times New Roman" w:cs="Times New Roman"/>
                <w:color w:val="000000" w:themeColor="text1"/>
                <w:sz w:val="20"/>
                <w:szCs w:val="20"/>
                <w:lang w:eastAsia="en-IN"/>
              </w:rPr>
              <w:t>Renal function indices such as urea and creatinine can be used to assess nephron functional capacity and are regarded as good markers of kidney function. This demonstrated that the Yeast SCO did not affect renal function or renal integrity.</w:t>
            </w:r>
          </w:p>
        </w:tc>
      </w:tr>
    </w:tbl>
    <w:p w14:paraId="07790197" w14:textId="77777777" w:rsidR="003B0B80" w:rsidRPr="00363F7F" w:rsidRDefault="003B0B80" w:rsidP="003B0B80">
      <w:pPr>
        <w:spacing w:after="0" w:line="240" w:lineRule="auto"/>
        <w:rPr>
          <w:rFonts w:ascii="TimesNewRomanPSMT" w:hAnsi="TimesNewRomanPSMT" w:cs="TimesNewRomanPSMT"/>
          <w:color w:val="000000" w:themeColor="text1"/>
          <w:sz w:val="24"/>
          <w:szCs w:val="24"/>
        </w:rPr>
        <w:sectPr w:rsidR="003B0B80" w:rsidRPr="00363F7F" w:rsidSect="00D745F2">
          <w:pgSz w:w="16838" w:h="11906" w:orient="landscape"/>
          <w:pgMar w:top="1440" w:right="1440" w:bottom="1440" w:left="1440" w:header="708" w:footer="708" w:gutter="0"/>
          <w:cols w:space="708"/>
          <w:docGrid w:linePitch="360"/>
        </w:sectPr>
      </w:pPr>
    </w:p>
    <w:p w14:paraId="483EA9D7" w14:textId="77777777" w:rsidR="003B0B80" w:rsidRPr="00363F7F" w:rsidRDefault="003B0B80" w:rsidP="003B0B80">
      <w:pPr>
        <w:spacing w:after="0" w:line="240" w:lineRule="auto"/>
        <w:rPr>
          <w:rFonts w:ascii="TimesNewRomanPSMT" w:hAnsi="TimesNewRomanPSMT" w:cs="TimesNewRomanPSMT"/>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48"/>
      </w:tblGrid>
      <w:tr w:rsidR="003B0B80" w:rsidRPr="00363F7F" w14:paraId="3BE32C8C" w14:textId="77777777" w:rsidTr="00F2216F">
        <w:tc>
          <w:tcPr>
            <w:tcW w:w="13948" w:type="dxa"/>
          </w:tcPr>
          <w:p w14:paraId="2706687C" w14:textId="77777777" w:rsidR="003B0B80" w:rsidRPr="00363F7F" w:rsidRDefault="003B0B80" w:rsidP="003B0B80">
            <w:pPr>
              <w:spacing w:after="0" w:line="240" w:lineRule="auto"/>
              <w:jc w:val="center"/>
              <w:rPr>
                <w:rFonts w:ascii="TimesNewRomanPSMT" w:hAnsi="TimesNewRomanPSMT" w:cs="TimesNewRomanPSMT"/>
                <w:color w:val="000000" w:themeColor="text1"/>
                <w:sz w:val="24"/>
                <w:szCs w:val="24"/>
              </w:rPr>
            </w:pPr>
            <w:r w:rsidRPr="00363F7F">
              <w:rPr>
                <w:rFonts w:ascii="TimesNewRomanPSMT" w:hAnsi="TimesNewRomanPSMT" w:cs="TimesNewRomanPSMT"/>
                <w:noProof/>
                <w:color w:val="000000" w:themeColor="text1"/>
                <w:sz w:val="24"/>
                <w:szCs w:val="24"/>
                <w:lang w:val="en-US"/>
              </w:rPr>
              <w:drawing>
                <wp:inline distT="0" distB="0" distL="0" distR="0" wp14:anchorId="64E26B88" wp14:editId="5E63DBF4">
                  <wp:extent cx="4664503" cy="4079631"/>
                  <wp:effectExtent l="0" t="0" r="3175" b="0"/>
                  <wp:docPr id="1470633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633807" name="Picture 1470633807"/>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17892" cy="4126325"/>
                          </a:xfrm>
                          <a:prstGeom prst="rect">
                            <a:avLst/>
                          </a:prstGeom>
                        </pic:spPr>
                      </pic:pic>
                    </a:graphicData>
                  </a:graphic>
                </wp:inline>
              </w:drawing>
            </w:r>
          </w:p>
        </w:tc>
      </w:tr>
      <w:tr w:rsidR="003B0B80" w:rsidRPr="00363F7F" w14:paraId="0B282732" w14:textId="77777777" w:rsidTr="00F2216F">
        <w:tc>
          <w:tcPr>
            <w:tcW w:w="13948" w:type="dxa"/>
          </w:tcPr>
          <w:p w14:paraId="1530C5FD" w14:textId="77777777" w:rsidR="003B0B80" w:rsidRPr="00363F7F" w:rsidRDefault="003B0B80" w:rsidP="003B0B80">
            <w:pPr>
              <w:spacing w:after="0" w:line="240" w:lineRule="auto"/>
              <w:rPr>
                <w:rFonts w:ascii="TimesNewRomanPSMT" w:hAnsi="TimesNewRomanPSMT" w:cs="TimesNewRomanPSMT"/>
                <w:color w:val="000000" w:themeColor="text1"/>
                <w:sz w:val="24"/>
                <w:szCs w:val="24"/>
              </w:rPr>
            </w:pPr>
          </w:p>
        </w:tc>
      </w:tr>
      <w:tr w:rsidR="003B0B80" w:rsidRPr="00363F7F" w14:paraId="73155A19" w14:textId="77777777" w:rsidTr="00F2216F">
        <w:tc>
          <w:tcPr>
            <w:tcW w:w="13948" w:type="dxa"/>
          </w:tcPr>
          <w:p w14:paraId="1E746A0E" w14:textId="286AAE17" w:rsidR="003B0B80" w:rsidRPr="00024514" w:rsidRDefault="003B0B80" w:rsidP="003B0B80">
            <w:pPr>
              <w:spacing w:after="0" w:line="240" w:lineRule="auto"/>
              <w:jc w:val="both"/>
              <w:rPr>
                <w:rFonts w:ascii="Times New Roman" w:hAnsi="Times New Roman" w:cs="Times New Roman"/>
                <w:color w:val="000000" w:themeColor="text1"/>
                <w:sz w:val="20"/>
                <w:szCs w:val="20"/>
              </w:rPr>
            </w:pPr>
            <w:r w:rsidRPr="00024514">
              <w:rPr>
                <w:rFonts w:ascii="Times New Roman" w:hAnsi="Times New Roman" w:cs="Times New Roman"/>
                <w:b/>
                <w:bCs/>
                <w:color w:val="000000" w:themeColor="text1"/>
                <w:sz w:val="20"/>
                <w:szCs w:val="20"/>
              </w:rPr>
              <w:t>Fig.S2:</w:t>
            </w:r>
            <w:r w:rsidRPr="00024514">
              <w:rPr>
                <w:rFonts w:ascii="Times New Roman" w:hAnsi="Times New Roman" w:cs="Times New Roman"/>
                <w:color w:val="000000" w:themeColor="text1"/>
                <w:sz w:val="20"/>
                <w:szCs w:val="20"/>
              </w:rPr>
              <w:t xml:space="preserve">: Effects of Yeast Single Cell Oil (SCO) on the blood biochemical parameters of mice. (a) Female cholesterol, Serum triglyceride, Total lipids; (b Male cholesterol, Serum triglyceride, Total lipids; (c) Female SGOT (AST), SGPT (ALT), Serum alkaline phosphatase; (d) Male SGOT (AST), SGPT (ALT), Serum alkaline phosphatase; (e) Female Total protein, Serum albumin, Serum globulin; (f) Male Total protein, Serum albumin, Serum globulin. Data are means ± SD of n = 3 per group. In the damaged liver, the AST will be released from liver cells into the bloodstream which acts as an important protease involved in liver metabolism. </w:t>
            </w:r>
          </w:p>
        </w:tc>
      </w:tr>
    </w:tbl>
    <w:p w14:paraId="4794EB89" w14:textId="77777777" w:rsidR="003B0B80" w:rsidRDefault="003B0B80" w:rsidP="003B0B80">
      <w:pPr>
        <w:spacing w:after="0" w:line="240" w:lineRule="auto"/>
        <w:rPr>
          <w:rFonts w:ascii="Times New Roman" w:hAnsi="Times New Roman" w:cs="Times New Roman"/>
          <w:color w:val="000000" w:themeColor="text1"/>
          <w:sz w:val="24"/>
          <w:szCs w:val="24"/>
        </w:rPr>
      </w:pPr>
    </w:p>
    <w:p w14:paraId="63022A44" w14:textId="77777777" w:rsidR="003B0B80" w:rsidRPr="003B0B80" w:rsidRDefault="003B0B80" w:rsidP="003B0B80">
      <w:pPr>
        <w:rPr>
          <w:rFonts w:ascii="TimesNewRomanPSMT" w:hAnsi="TimesNewRomanPSMT" w:cs="TimesNewRomanPSMT"/>
          <w:sz w:val="24"/>
          <w:szCs w:val="24"/>
        </w:rPr>
      </w:pPr>
    </w:p>
    <w:p w14:paraId="348E7BBC" w14:textId="77777777" w:rsidR="003B0B80" w:rsidRDefault="003B0B80" w:rsidP="003B0B80">
      <w:pPr>
        <w:jc w:val="center"/>
        <w:rPr>
          <w:rFonts w:ascii="Times New Roman" w:hAnsi="Times New Roman" w:cs="Times New Roman"/>
          <w:color w:val="000000" w:themeColor="text1"/>
          <w:sz w:val="24"/>
          <w:szCs w:val="24"/>
        </w:rPr>
        <w:sectPr w:rsidR="003B0B80" w:rsidSect="00FD062B">
          <w:pgSz w:w="16838" w:h="11906" w:orient="landscape"/>
          <w:pgMar w:top="1440" w:right="1440" w:bottom="1440" w:left="1440" w:header="708" w:footer="708" w:gutter="0"/>
          <w:cols w:space="708"/>
          <w:docGrid w:linePitch="360"/>
        </w:sectPr>
      </w:pPr>
    </w:p>
    <w:p w14:paraId="379083A4" w14:textId="77777777" w:rsidR="003B0B80" w:rsidRPr="00363F7F" w:rsidRDefault="003B0B80" w:rsidP="003B0B80">
      <w:pPr>
        <w:spacing w:after="0" w:line="240" w:lineRule="auto"/>
        <w:rPr>
          <w:rFonts w:ascii="TimesNewRomanPSMT" w:hAnsi="TimesNewRomanPSMT" w:cs="TimesNewRomanPSMT"/>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5"/>
      </w:tblGrid>
      <w:tr w:rsidR="003B0B80" w:rsidRPr="00363F7F" w14:paraId="112BAFEA" w14:textId="77777777" w:rsidTr="003B0B80">
        <w:trPr>
          <w:trHeight w:val="9757"/>
        </w:trPr>
        <w:tc>
          <w:tcPr>
            <w:tcW w:w="9095" w:type="dxa"/>
          </w:tcPr>
          <w:p w14:paraId="3E16F116" w14:textId="77777777" w:rsidR="003B0B80" w:rsidRPr="00363F7F" w:rsidRDefault="003B0B80" w:rsidP="003B0B80">
            <w:pPr>
              <w:spacing w:after="0" w:line="240" w:lineRule="auto"/>
              <w:jc w:val="center"/>
              <w:rPr>
                <w:rFonts w:ascii="TimesNewRomanPSMT" w:hAnsi="TimesNewRomanPSMT" w:cs="TimesNewRomanPSMT"/>
                <w:color w:val="000000" w:themeColor="text1"/>
                <w:sz w:val="24"/>
                <w:szCs w:val="24"/>
              </w:rPr>
            </w:pPr>
            <w:r w:rsidRPr="00363F7F">
              <w:rPr>
                <w:rFonts w:ascii="TimesNewRomanPSMT" w:hAnsi="TimesNewRomanPSMT" w:cs="TimesNewRomanPSMT"/>
                <w:noProof/>
                <w:color w:val="000000" w:themeColor="text1"/>
                <w:sz w:val="24"/>
                <w:szCs w:val="24"/>
                <w:lang w:val="en-US"/>
              </w:rPr>
              <w:drawing>
                <wp:inline distT="0" distB="0" distL="0" distR="0" wp14:anchorId="19DAA71C" wp14:editId="32E424E7">
                  <wp:extent cx="2134716" cy="5998866"/>
                  <wp:effectExtent l="0" t="0" r="0" b="1905"/>
                  <wp:docPr id="4105295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529547" name="Picture 41052954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6513" cy="6060119"/>
                          </a:xfrm>
                          <a:prstGeom prst="rect">
                            <a:avLst/>
                          </a:prstGeom>
                        </pic:spPr>
                      </pic:pic>
                    </a:graphicData>
                  </a:graphic>
                </wp:inline>
              </w:drawing>
            </w:r>
          </w:p>
        </w:tc>
      </w:tr>
      <w:tr w:rsidR="003B0B80" w:rsidRPr="00363F7F" w14:paraId="7456BED8" w14:textId="77777777" w:rsidTr="003B0B80">
        <w:trPr>
          <w:trHeight w:val="3326"/>
        </w:trPr>
        <w:tc>
          <w:tcPr>
            <w:tcW w:w="9095" w:type="dxa"/>
          </w:tcPr>
          <w:p w14:paraId="74943233" w14:textId="6017733F" w:rsidR="003B0B80" w:rsidRPr="00024514" w:rsidRDefault="003B0B80" w:rsidP="003B0B80">
            <w:pPr>
              <w:spacing w:after="0" w:line="240" w:lineRule="auto"/>
              <w:jc w:val="both"/>
              <w:rPr>
                <w:rFonts w:ascii="Times New Roman" w:hAnsi="Times New Roman" w:cs="Times New Roman"/>
                <w:noProof/>
                <w:color w:val="000000" w:themeColor="text1"/>
                <w:sz w:val="20"/>
                <w:szCs w:val="20"/>
                <w:lang w:val="en-GB"/>
              </w:rPr>
            </w:pPr>
            <w:r w:rsidRPr="00024514">
              <w:rPr>
                <w:rFonts w:ascii="Times New Roman" w:hAnsi="Times New Roman" w:cs="Times New Roman"/>
                <w:b/>
                <w:bCs/>
                <w:noProof/>
                <w:color w:val="000000" w:themeColor="text1"/>
                <w:sz w:val="20"/>
                <w:szCs w:val="20"/>
                <w:lang w:val="en-GB"/>
              </w:rPr>
              <w:t>Fig.S3:</w:t>
            </w:r>
            <w:r w:rsidRPr="00024514">
              <w:rPr>
                <w:rFonts w:ascii="Times New Roman" w:hAnsi="Times New Roman" w:cs="Times New Roman"/>
                <w:noProof/>
                <w:color w:val="000000" w:themeColor="text1"/>
                <w:sz w:val="20"/>
                <w:szCs w:val="20"/>
                <w:lang w:val="en-GB"/>
              </w:rPr>
              <w:t xml:space="preserve"> Photomicrograph </w:t>
            </w:r>
            <w:r w:rsidRPr="00024514">
              <w:rPr>
                <w:rFonts w:ascii="Times New Roman" w:hAnsi="Times New Roman" w:cs="Times New Roman"/>
                <w:noProof/>
                <w:color w:val="000000" w:themeColor="text1"/>
                <w:sz w:val="20"/>
                <w:szCs w:val="20"/>
              </w:rPr>
              <w:t>of liver tissue section (sudan red</w:t>
            </w:r>
            <w:r w:rsidRPr="00024514">
              <w:rPr>
                <w:rFonts w:ascii="Times New Roman" w:hAnsi="Times New Roman" w:cs="Times New Roman"/>
                <w:noProof/>
                <w:color w:val="000000" w:themeColor="text1"/>
                <w:sz w:val="20"/>
                <w:szCs w:val="20"/>
                <w:lang w:val="en-GB"/>
              </w:rPr>
              <w:t xml:space="preserve"> staining, 40x magnification)</w:t>
            </w:r>
            <w:r w:rsidRPr="00024514">
              <w:rPr>
                <w:rFonts w:ascii="Times New Roman" w:hAnsi="Times New Roman" w:cs="Times New Roman"/>
                <w:noProof/>
                <w:color w:val="000000" w:themeColor="text1"/>
                <w:sz w:val="20"/>
                <w:szCs w:val="20"/>
              </w:rPr>
              <w:t xml:space="preserve"> of female mice administrated Yeast SCO with (LK) Control; (LL) 50 mg/kg bw; (LM) 300 mg/kg bw; (LN) 2000 mg/kg bw and (LO) 5000 mg/kg bw; </w:t>
            </w:r>
            <w:r w:rsidRPr="00024514">
              <w:rPr>
                <w:rFonts w:ascii="Times New Roman" w:hAnsi="Times New Roman" w:cs="Times New Roman"/>
                <w:noProof/>
                <w:color w:val="000000" w:themeColor="text1"/>
                <w:sz w:val="20"/>
                <w:szCs w:val="20"/>
                <w:lang w:val="en-GB"/>
              </w:rPr>
              <w:t xml:space="preserve">Photomicrograph </w:t>
            </w:r>
            <w:r w:rsidRPr="00024514">
              <w:rPr>
                <w:rFonts w:ascii="Times New Roman" w:hAnsi="Times New Roman" w:cs="Times New Roman"/>
                <w:noProof/>
                <w:color w:val="000000" w:themeColor="text1"/>
                <w:sz w:val="20"/>
                <w:szCs w:val="20"/>
              </w:rPr>
              <w:t>of liver tissue section (sudan red</w:t>
            </w:r>
            <w:r w:rsidRPr="00024514">
              <w:rPr>
                <w:rFonts w:ascii="Times New Roman" w:hAnsi="Times New Roman" w:cs="Times New Roman"/>
                <w:noProof/>
                <w:color w:val="000000" w:themeColor="text1"/>
                <w:sz w:val="20"/>
                <w:szCs w:val="20"/>
                <w:lang w:val="en-GB"/>
              </w:rPr>
              <w:t xml:space="preserve"> staining, 40x magnification)</w:t>
            </w:r>
            <w:r w:rsidRPr="00024514">
              <w:rPr>
                <w:rFonts w:ascii="Times New Roman" w:hAnsi="Times New Roman" w:cs="Times New Roman"/>
                <w:noProof/>
                <w:color w:val="000000" w:themeColor="text1"/>
                <w:sz w:val="20"/>
                <w:szCs w:val="20"/>
              </w:rPr>
              <w:t xml:space="preserve"> of male mice administrated Yeast SCO with (LP) Control; (LQ) 50 mg/kg bw; (LR) 300 mg/kg bw; (LS) 2000 mg/kg bw and (LT) 5000 mg/kg bw.</w:t>
            </w:r>
            <w:r w:rsidRPr="00024514">
              <w:rPr>
                <w:rFonts w:ascii="Times New Roman" w:eastAsia="Times New Roman" w:hAnsi="Times New Roman" w:cs="Times New Roman"/>
                <w:color w:val="000000" w:themeColor="text1"/>
                <w:sz w:val="20"/>
                <w:szCs w:val="20"/>
                <w:lang w:eastAsia="en-IN"/>
              </w:rPr>
              <w:t xml:space="preserve"> There is steatosis within all the groups irrespective of gender, with a progressive increase from control to 5000 mg/Kg. Group I (control {LK &amp; LP}) and II (50 mg/Kg {LL &amp; LQ}) show steatosis confined to periportal areas and few scattered hepatocytes. Group III (300 mg/Kg {LM &amp; LR}) shows a considerable increase in lipid vacuoles which have a more diffuse distribution. In addition to that, Groups IV (2000 mg/Kg {LN &amp; LS}) and V (5000 mg/Kg {LO &amp; LT}) show the most extensive change with diffuse steatosis.</w:t>
            </w:r>
          </w:p>
        </w:tc>
      </w:tr>
    </w:tbl>
    <w:p w14:paraId="3EE44919" w14:textId="77777777" w:rsidR="003B0B80" w:rsidRPr="00363F7F" w:rsidRDefault="003B0B80" w:rsidP="003B0B80">
      <w:pPr>
        <w:spacing w:after="0" w:line="240" w:lineRule="auto"/>
        <w:rPr>
          <w:rFonts w:ascii="TimesNewRomanPSMT" w:hAnsi="TimesNewRomanPSMT" w:cs="TimesNewRomanPSMT"/>
          <w:color w:val="000000" w:themeColor="text1"/>
          <w:sz w:val="24"/>
          <w:szCs w:val="24"/>
        </w:rPr>
      </w:pPr>
    </w:p>
    <w:p w14:paraId="7D11E745" w14:textId="77777777" w:rsidR="003B0B80" w:rsidRDefault="003B0B80" w:rsidP="003B0B80">
      <w:pPr>
        <w:spacing w:after="0" w:line="240" w:lineRule="auto"/>
      </w:pPr>
    </w:p>
    <w:sectPr w:rsidR="003B0B80" w:rsidSect="003B0B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GxtDA0MTSzNDUzNjVU0lEKTi0uzszPAykwrgUAkF9rTCwAAAA="/>
  </w:docVars>
  <w:rsids>
    <w:rsidRoot w:val="003B0B80"/>
    <w:rsid w:val="00014C97"/>
    <w:rsid w:val="00024514"/>
    <w:rsid w:val="00103FAA"/>
    <w:rsid w:val="00111A23"/>
    <w:rsid w:val="002C55B8"/>
    <w:rsid w:val="003B0B80"/>
    <w:rsid w:val="004427C0"/>
    <w:rsid w:val="004F25AB"/>
    <w:rsid w:val="00607D40"/>
    <w:rsid w:val="00925966"/>
    <w:rsid w:val="00A04837"/>
    <w:rsid w:val="00A414D2"/>
    <w:rsid w:val="00CB5A79"/>
    <w:rsid w:val="00DB4166"/>
    <w:rsid w:val="00E420C3"/>
    <w:rsid w:val="00E86467"/>
    <w:rsid w:val="00F503C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30C84B"/>
  <w15:chartTrackingRefBased/>
  <w15:docId w15:val="{1CE0C118-B736-49F9-B5CA-FA7CA0EBE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B80"/>
    <w:pPr>
      <w:spacing w:after="160" w:line="259"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B0B8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0B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mailto:dghosh@iip.res.in" TargetMode="External"/><Relationship Id="rId10" Type="http://schemas.openxmlformats.org/officeDocument/2006/relationships/theme" Target="theme/theme1.xml"/><Relationship Id="rId4" Type="http://schemas.openxmlformats.org/officeDocument/2006/relationships/hyperlink" Target="mailto:neeraj@imtech.res.in"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465</Words>
  <Characters>2615</Characters>
  <Application>Microsoft Office Word</Application>
  <DocSecurity>0</DocSecurity>
  <Lines>49</Lines>
  <Paragraphs>9</Paragraphs>
  <ScaleCrop>false</ScaleCrop>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Debashish Ghosh</dc:creator>
  <cp:keywords/>
  <dc:description/>
  <cp:lastModifiedBy>Dr. Debashish Ghosh</cp:lastModifiedBy>
  <cp:revision>15</cp:revision>
  <dcterms:created xsi:type="dcterms:W3CDTF">2023-11-14T11:21:00Z</dcterms:created>
  <dcterms:modified xsi:type="dcterms:W3CDTF">2024-01-05T07:39:00Z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12811816-a57f-4a48-89b5-31b2ff53df61</vt:lpwstr>
  </property>
</Properties>
</file>