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79DC" w14:textId="77777777" w:rsidR="00F552D2" w:rsidRPr="00743179" w:rsidRDefault="00F552D2" w:rsidP="00F552D2">
      <w:pPr>
        <w:jc w:val="center"/>
        <w:rPr>
          <w:rFonts w:cs="Times New Roman"/>
          <w:b/>
          <w:bCs/>
          <w:i/>
          <w:iCs/>
          <w:szCs w:val="24"/>
        </w:rPr>
      </w:pPr>
      <w:r w:rsidRPr="00743179">
        <w:rPr>
          <w:rFonts w:cs="Times New Roman"/>
          <w:b/>
          <w:bCs/>
          <w:i/>
          <w:iCs/>
          <w:szCs w:val="24"/>
        </w:rPr>
        <w:t>Supplementary Information for</w:t>
      </w:r>
    </w:p>
    <w:p w14:paraId="25EEAAF0" w14:textId="77777777" w:rsidR="00356032" w:rsidRPr="001B0A14" w:rsidRDefault="00356032" w:rsidP="003560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Hysteresis in ENSO teleconnections under a CO</w:t>
      </w:r>
      <w:r w:rsidRPr="007F7E1F">
        <w:rPr>
          <w:b/>
          <w:bCs/>
          <w:sz w:val="28"/>
          <w:szCs w:val="28"/>
          <w:vertAlign w:val="subscript"/>
        </w:rPr>
        <w:t>2</w:t>
      </w:r>
      <w:r>
        <w:rPr>
          <w:b/>
          <w:bCs/>
          <w:sz w:val="28"/>
          <w:szCs w:val="28"/>
        </w:rPr>
        <w:t xml:space="preserve"> removal pathway</w:t>
      </w:r>
    </w:p>
    <w:p w14:paraId="38BC3D44" w14:textId="31BDB8C4" w:rsidR="008E1B2F" w:rsidRPr="001A5A0F" w:rsidRDefault="008E1B2F" w:rsidP="008E1B2F">
      <w:pPr>
        <w:spacing w:before="100" w:beforeAutospacing="1" w:after="100" w:afterAutospacing="1"/>
        <w:jc w:val="center"/>
        <w:rPr>
          <w:rFonts w:ascii="Myriad Pro" w:hAnsi="Myriad Pro"/>
          <w:b/>
          <w:sz w:val="22"/>
          <w:vertAlign w:val="superscript"/>
        </w:rPr>
      </w:pPr>
      <w:r w:rsidRPr="001A5A0F">
        <w:rPr>
          <w:rFonts w:ascii="Myriad Pro" w:hAnsi="Myriad Pro"/>
          <w:b/>
          <w:sz w:val="22"/>
        </w:rPr>
        <w:t>Soon-Il An</w:t>
      </w:r>
      <w:r w:rsidRPr="001A5A0F">
        <w:rPr>
          <w:rFonts w:ascii="Myriad Pro" w:hAnsi="Myriad Pro"/>
          <w:b/>
          <w:sz w:val="22"/>
          <w:vertAlign w:val="superscript"/>
        </w:rPr>
        <w:t>1,2,</w:t>
      </w:r>
      <w:r>
        <w:rPr>
          <w:rFonts w:ascii="Myriad Pro" w:hAnsi="Myriad Pro"/>
          <w:b/>
          <w:sz w:val="22"/>
          <w:vertAlign w:val="superscript"/>
        </w:rPr>
        <w:t>3</w:t>
      </w:r>
      <w:r w:rsidRPr="001A5A0F">
        <w:rPr>
          <w:rFonts w:ascii="Myriad Pro" w:hAnsi="Myriad Pro"/>
          <w:b/>
          <w:sz w:val="22"/>
          <w:vertAlign w:val="superscript"/>
        </w:rPr>
        <w:t>*</w:t>
      </w:r>
      <w:r w:rsidRPr="001A5A0F">
        <w:rPr>
          <w:rFonts w:ascii="Myriad Pro" w:hAnsi="Myriad Pro"/>
          <w:b/>
          <w:sz w:val="22"/>
        </w:rPr>
        <w:t xml:space="preserve">, </w:t>
      </w:r>
      <w:proofErr w:type="spellStart"/>
      <w:r>
        <w:rPr>
          <w:rFonts w:ascii="Myriad Pro" w:hAnsi="Myriad Pro"/>
          <w:b/>
          <w:sz w:val="22"/>
        </w:rPr>
        <w:t>Su-hyeon</w:t>
      </w:r>
      <w:proofErr w:type="spellEnd"/>
      <w:r w:rsidRPr="001A5A0F">
        <w:rPr>
          <w:rFonts w:ascii="Myriad Pro" w:hAnsi="Myriad Pro"/>
          <w:b/>
          <w:sz w:val="22"/>
        </w:rPr>
        <w:t xml:space="preserve"> </w:t>
      </w:r>
      <w:r>
        <w:rPr>
          <w:rFonts w:ascii="Myriad Pro" w:hAnsi="Myriad Pro"/>
          <w:b/>
          <w:sz w:val="22"/>
        </w:rPr>
        <w:t>Shin</w:t>
      </w:r>
      <w:r w:rsidRPr="001A5A0F">
        <w:rPr>
          <w:rFonts w:ascii="Myriad Pro" w:hAnsi="Myriad Pro"/>
          <w:b/>
          <w:sz w:val="22"/>
          <w:vertAlign w:val="superscript"/>
        </w:rPr>
        <w:t>2</w:t>
      </w:r>
      <w:r w:rsidRPr="001A5A0F">
        <w:rPr>
          <w:rFonts w:ascii="Myriad Pro" w:hAnsi="Myriad Pro"/>
          <w:b/>
          <w:sz w:val="22"/>
        </w:rPr>
        <w:t xml:space="preserve">, </w:t>
      </w:r>
      <w:r>
        <w:rPr>
          <w:rFonts w:ascii="Myriad Pro" w:hAnsi="Myriad Pro"/>
          <w:b/>
          <w:sz w:val="22"/>
        </w:rPr>
        <w:t>Chao Liu</w:t>
      </w:r>
      <w:r w:rsidRPr="00DF170E">
        <w:rPr>
          <w:rFonts w:ascii="Myriad Pro" w:hAnsi="Myriad Pro"/>
          <w:b/>
          <w:sz w:val="22"/>
          <w:vertAlign w:val="superscript"/>
        </w:rPr>
        <w:t>1</w:t>
      </w:r>
      <w:r>
        <w:rPr>
          <w:rFonts w:ascii="Myriad Pro" w:hAnsi="Myriad Pro"/>
          <w:b/>
          <w:sz w:val="22"/>
        </w:rPr>
        <w:t>, S-W Yeh</w:t>
      </w:r>
      <w:r w:rsidRPr="00FA2FDB">
        <w:rPr>
          <w:rFonts w:ascii="Myriad Pro" w:hAnsi="Myriad Pro"/>
          <w:b/>
          <w:sz w:val="22"/>
          <w:vertAlign w:val="superscript"/>
        </w:rPr>
        <w:t>4</w:t>
      </w:r>
      <w:r>
        <w:rPr>
          <w:rFonts w:ascii="Myriad Pro" w:hAnsi="Myriad Pro"/>
          <w:b/>
          <w:sz w:val="22"/>
        </w:rPr>
        <w:t>, S-K Min</w:t>
      </w:r>
      <w:r w:rsidRPr="00FA2FDB">
        <w:rPr>
          <w:rFonts w:ascii="Myriad Pro" w:hAnsi="Myriad Pro"/>
          <w:b/>
          <w:sz w:val="22"/>
          <w:vertAlign w:val="superscript"/>
        </w:rPr>
        <w:t>3</w:t>
      </w:r>
      <w:r>
        <w:rPr>
          <w:rFonts w:ascii="Myriad Pro" w:hAnsi="Myriad Pro"/>
          <w:b/>
          <w:sz w:val="22"/>
        </w:rPr>
        <w:t>, S-W Son</w:t>
      </w:r>
      <w:r w:rsidRPr="00FA2FDB">
        <w:rPr>
          <w:rFonts w:ascii="Myriad Pro" w:hAnsi="Myriad Pro"/>
          <w:b/>
          <w:sz w:val="22"/>
          <w:vertAlign w:val="superscript"/>
        </w:rPr>
        <w:t>5</w:t>
      </w:r>
      <w:r>
        <w:rPr>
          <w:rFonts w:ascii="Myriad Pro" w:hAnsi="Myriad Pro"/>
          <w:b/>
          <w:sz w:val="22"/>
        </w:rPr>
        <w:t>, and J-S Kug</w:t>
      </w:r>
      <w:r w:rsidR="00356032">
        <w:rPr>
          <w:rFonts w:ascii="Myriad Pro" w:hAnsi="Myriad Pro"/>
          <w:b/>
          <w:sz w:val="22"/>
          <w:vertAlign w:val="superscript"/>
        </w:rPr>
        <w:t>5</w:t>
      </w:r>
    </w:p>
    <w:p w14:paraId="28872409" w14:textId="77777777" w:rsidR="008E1B2F" w:rsidRPr="001A5A0F" w:rsidRDefault="008E1B2F" w:rsidP="008E1B2F">
      <w:pPr>
        <w:spacing w:before="100" w:beforeAutospacing="1" w:after="100" w:afterAutospacing="1"/>
        <w:jc w:val="center"/>
        <w:rPr>
          <w:rFonts w:ascii="Myriad Pro" w:hAnsi="Myriad Pro"/>
          <w:sz w:val="22"/>
        </w:rPr>
      </w:pPr>
      <w:r w:rsidRPr="001A5A0F">
        <w:rPr>
          <w:rFonts w:ascii="Myriad Pro" w:hAnsi="Myriad Pro"/>
          <w:sz w:val="22"/>
          <w:vertAlign w:val="superscript"/>
        </w:rPr>
        <w:t>1</w:t>
      </w:r>
      <w:r w:rsidRPr="001A5A0F">
        <w:rPr>
          <w:rFonts w:ascii="Myriad Pro" w:hAnsi="Myriad Pro"/>
          <w:sz w:val="22"/>
        </w:rPr>
        <w:t xml:space="preserve">Irreversible Climate Change Research Center, Yonsei University, </w:t>
      </w:r>
      <w:proofErr w:type="spellStart"/>
      <w:r w:rsidRPr="001A5A0F">
        <w:rPr>
          <w:rFonts w:ascii="Myriad Pro" w:hAnsi="Myriad Pro"/>
          <w:sz w:val="22"/>
        </w:rPr>
        <w:t>Seodaemun-gu</w:t>
      </w:r>
      <w:proofErr w:type="spellEnd"/>
      <w:r w:rsidRPr="001A5A0F">
        <w:rPr>
          <w:rFonts w:ascii="Myriad Pro" w:hAnsi="Myriad Pro"/>
          <w:sz w:val="22"/>
        </w:rPr>
        <w:t>, Seoul, 03722, Republic of Korea</w:t>
      </w:r>
    </w:p>
    <w:p w14:paraId="637E27F0" w14:textId="77777777" w:rsidR="008E1B2F" w:rsidRPr="001A5A0F" w:rsidRDefault="008E1B2F" w:rsidP="008E1B2F">
      <w:pPr>
        <w:spacing w:before="100" w:beforeAutospacing="1" w:after="100" w:afterAutospacing="1"/>
        <w:jc w:val="center"/>
        <w:rPr>
          <w:rFonts w:ascii="Myriad Pro" w:hAnsi="Myriad Pro"/>
          <w:sz w:val="22"/>
        </w:rPr>
      </w:pPr>
      <w:r w:rsidRPr="001A5A0F">
        <w:rPr>
          <w:rFonts w:ascii="Myriad Pro" w:hAnsi="Myriad Pro"/>
          <w:sz w:val="22"/>
          <w:vertAlign w:val="superscript"/>
        </w:rPr>
        <w:t>2</w:t>
      </w:r>
      <w:r w:rsidRPr="001A5A0F">
        <w:rPr>
          <w:rFonts w:ascii="Myriad Pro" w:hAnsi="Myriad Pro"/>
          <w:sz w:val="22"/>
        </w:rPr>
        <w:t xml:space="preserve">Department of Atmospheric Sciences, Yonsei University, </w:t>
      </w:r>
      <w:proofErr w:type="spellStart"/>
      <w:r w:rsidRPr="001A5A0F">
        <w:rPr>
          <w:rFonts w:ascii="Myriad Pro" w:hAnsi="Myriad Pro"/>
          <w:sz w:val="22"/>
        </w:rPr>
        <w:t>Seodaemun-gu</w:t>
      </w:r>
      <w:proofErr w:type="spellEnd"/>
      <w:r w:rsidRPr="001A5A0F">
        <w:rPr>
          <w:rFonts w:ascii="Myriad Pro" w:hAnsi="Myriad Pro"/>
          <w:sz w:val="22"/>
        </w:rPr>
        <w:t>, Seoul, 03722, Republic of Korea</w:t>
      </w:r>
    </w:p>
    <w:p w14:paraId="79CF04A4" w14:textId="77777777" w:rsidR="008E1B2F" w:rsidRDefault="008E1B2F" w:rsidP="008E1B2F">
      <w:pPr>
        <w:spacing w:before="100" w:beforeAutospacing="1" w:after="100" w:afterAutospacing="1"/>
        <w:jc w:val="center"/>
        <w:rPr>
          <w:rFonts w:ascii="Myriad Pro" w:hAnsi="Myriad Pro"/>
          <w:sz w:val="22"/>
        </w:rPr>
      </w:pPr>
      <w:r>
        <w:rPr>
          <w:rFonts w:ascii="Myriad Pro" w:hAnsi="Myriad Pro"/>
          <w:sz w:val="22"/>
          <w:vertAlign w:val="superscript"/>
        </w:rPr>
        <w:t>3</w:t>
      </w:r>
      <w:r w:rsidRPr="001A5A0F">
        <w:rPr>
          <w:rFonts w:ascii="Myriad Pro" w:hAnsi="Myriad Pro"/>
          <w:sz w:val="22"/>
        </w:rPr>
        <w:t>Division of Environmental Science and Engineering, Pohang University of Science and Technology (POSTECH), Pohang, Republic of Korea</w:t>
      </w:r>
    </w:p>
    <w:p w14:paraId="15F1FB58" w14:textId="77777777" w:rsidR="008E1B2F" w:rsidRDefault="008E1B2F" w:rsidP="008E1B2F">
      <w:pPr>
        <w:spacing w:before="100" w:beforeAutospacing="1" w:after="100" w:afterAutospacing="1"/>
        <w:jc w:val="center"/>
        <w:rPr>
          <w:rFonts w:ascii="Myriad Pro" w:hAnsi="Myriad Pro"/>
          <w:sz w:val="22"/>
        </w:rPr>
      </w:pPr>
      <w:r w:rsidRPr="00FA2FDB">
        <w:rPr>
          <w:rFonts w:ascii="Myriad Pro" w:hAnsi="Myriad Pro"/>
          <w:sz w:val="22"/>
          <w:vertAlign w:val="superscript"/>
        </w:rPr>
        <w:t>4</w:t>
      </w:r>
      <w:r>
        <w:rPr>
          <w:rFonts w:ascii="Myriad Pro" w:hAnsi="Myriad Pro" w:hint="eastAsia"/>
          <w:sz w:val="22"/>
        </w:rPr>
        <w:t>H</w:t>
      </w:r>
      <w:r>
        <w:rPr>
          <w:rFonts w:ascii="Myriad Pro" w:hAnsi="Myriad Pro"/>
          <w:sz w:val="22"/>
        </w:rPr>
        <w:t xml:space="preserve">anyang University, ERICA, </w:t>
      </w:r>
      <w:proofErr w:type="spellStart"/>
      <w:r>
        <w:rPr>
          <w:rFonts w:ascii="Myriad Pro" w:hAnsi="Myriad Pro"/>
          <w:sz w:val="22"/>
        </w:rPr>
        <w:t>Ansan</w:t>
      </w:r>
      <w:proofErr w:type="spellEnd"/>
      <w:r>
        <w:rPr>
          <w:rFonts w:ascii="Myriad Pro" w:hAnsi="Myriad Pro"/>
          <w:sz w:val="22"/>
        </w:rPr>
        <w:t>, Republic of Korea</w:t>
      </w:r>
    </w:p>
    <w:p w14:paraId="7F442ADE" w14:textId="77777777" w:rsidR="008E1B2F" w:rsidRPr="001A5A0F" w:rsidRDefault="008E1B2F" w:rsidP="008E1B2F">
      <w:pPr>
        <w:spacing w:before="100" w:beforeAutospacing="1" w:after="100" w:afterAutospacing="1"/>
        <w:jc w:val="center"/>
        <w:rPr>
          <w:rFonts w:ascii="Myriad Pro" w:hAnsi="Myriad Pro"/>
          <w:sz w:val="22"/>
        </w:rPr>
      </w:pPr>
      <w:r w:rsidRPr="00FA2FDB">
        <w:rPr>
          <w:rFonts w:ascii="Myriad Pro" w:hAnsi="Myriad Pro"/>
          <w:sz w:val="22"/>
          <w:vertAlign w:val="superscript"/>
        </w:rPr>
        <w:t>5</w:t>
      </w:r>
      <w:r>
        <w:rPr>
          <w:rFonts w:ascii="Myriad Pro" w:hAnsi="Myriad Pro"/>
          <w:sz w:val="22"/>
        </w:rPr>
        <w:t xml:space="preserve">School of Earth and Environmental Sciences, Seoul National University, Seoul, Republic of Korea </w:t>
      </w:r>
    </w:p>
    <w:p w14:paraId="460C8E00" w14:textId="77777777" w:rsidR="00F552D2" w:rsidRPr="008E1B2F" w:rsidRDefault="00F552D2"/>
    <w:p w14:paraId="0D436115" w14:textId="77777777" w:rsidR="00F552D2" w:rsidRDefault="00F552D2"/>
    <w:p w14:paraId="5256126D" w14:textId="77777777" w:rsidR="00F552D2" w:rsidRDefault="00F552D2"/>
    <w:p w14:paraId="52161B92" w14:textId="6B0742E2" w:rsidR="00F552D2" w:rsidRPr="00743179" w:rsidRDefault="00F552D2" w:rsidP="00F552D2">
      <w:pPr>
        <w:rPr>
          <w:rFonts w:cs="Times New Roman"/>
          <w:b/>
          <w:bCs/>
          <w:szCs w:val="24"/>
        </w:rPr>
      </w:pPr>
      <w:r w:rsidRPr="00743179">
        <w:rPr>
          <w:rFonts w:cs="Times New Roman"/>
          <w:b/>
          <w:bCs/>
          <w:szCs w:val="24"/>
        </w:rPr>
        <w:t>This file includes:</w:t>
      </w:r>
    </w:p>
    <w:p w14:paraId="352C8B87" w14:textId="1A29F17A" w:rsidR="00F552D2" w:rsidRDefault="00F552D2" w:rsidP="00F552D2">
      <w:pPr>
        <w:rPr>
          <w:rFonts w:cs="Times New Roman"/>
          <w:szCs w:val="24"/>
        </w:rPr>
      </w:pPr>
      <w:r w:rsidRPr="00743179">
        <w:rPr>
          <w:rFonts w:cs="Times New Roman"/>
          <w:szCs w:val="24"/>
        </w:rPr>
        <w:t xml:space="preserve">Supplementary </w:t>
      </w:r>
      <w:r w:rsidR="00F54FC9">
        <w:rPr>
          <w:rFonts w:cs="Times New Roman"/>
          <w:szCs w:val="24"/>
        </w:rPr>
        <w:t>Table S1</w:t>
      </w:r>
      <w:r w:rsidR="00356032">
        <w:rPr>
          <w:rFonts w:cs="Times New Roman"/>
          <w:szCs w:val="24"/>
        </w:rPr>
        <w:t>,</w:t>
      </w:r>
      <w:r w:rsidR="007D58BF">
        <w:rPr>
          <w:rFonts w:cs="Times New Roman"/>
          <w:szCs w:val="24"/>
        </w:rPr>
        <w:t xml:space="preserve"> and S2</w:t>
      </w:r>
    </w:p>
    <w:p w14:paraId="50FA8D45" w14:textId="6C3075F4" w:rsidR="00CE6C42" w:rsidRPr="00743179" w:rsidRDefault="00CE6C42" w:rsidP="00F552D2">
      <w:pPr>
        <w:rPr>
          <w:rFonts w:cs="Times New Roman"/>
          <w:szCs w:val="24"/>
        </w:rPr>
      </w:pPr>
      <w:r>
        <w:rPr>
          <w:rFonts w:cs="Times New Roman" w:hint="eastAsia"/>
          <w:szCs w:val="24"/>
        </w:rPr>
        <w:t>S</w:t>
      </w:r>
      <w:r>
        <w:rPr>
          <w:rFonts w:cs="Times New Roman"/>
          <w:szCs w:val="24"/>
        </w:rPr>
        <w:t>upplementary Fig. S1</w:t>
      </w:r>
      <w:r w:rsidR="00356032">
        <w:rPr>
          <w:rFonts w:cs="Times New Roman"/>
          <w:szCs w:val="24"/>
        </w:rPr>
        <w:t>, S2, and S3</w:t>
      </w:r>
    </w:p>
    <w:p w14:paraId="3D2782BB" w14:textId="70BB5F55" w:rsidR="007D58BF" w:rsidRPr="007D58BF" w:rsidRDefault="00F552D2" w:rsidP="007D58BF">
      <w:pPr>
        <w:pStyle w:val="a3"/>
        <w:jc w:val="both"/>
      </w:pPr>
      <w:r>
        <w:br w:type="page"/>
      </w:r>
    </w:p>
    <w:p w14:paraId="6B41B052" w14:textId="02F19C3B" w:rsidR="00F552D2" w:rsidRDefault="007D58BF" w:rsidP="00C619FE">
      <w:pPr>
        <w:pStyle w:val="a3"/>
        <w:jc w:val="both"/>
        <w:rPr>
          <w:b w:val="0"/>
          <w:bCs w:val="0"/>
        </w:rPr>
      </w:pPr>
      <w:r w:rsidRPr="007D58BF">
        <w:rPr>
          <w:b w:val="0"/>
          <w:bCs w:val="0"/>
          <w:noProof/>
        </w:rPr>
        <w:lastRenderedPageBreak/>
        <w:drawing>
          <wp:inline distT="0" distB="0" distL="0" distR="0" wp14:anchorId="0A032574" wp14:editId="69EEF830">
            <wp:extent cx="5731510" cy="1440815"/>
            <wp:effectExtent l="0" t="0" r="0" b="0"/>
            <wp:docPr id="178791996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199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C654E" w14:textId="4CB5BDC2" w:rsidR="007D58BF" w:rsidRDefault="007D58BF" w:rsidP="007D58BF">
      <w:pPr>
        <w:pStyle w:val="a4"/>
        <w:spacing w:line="276" w:lineRule="auto"/>
        <w:ind w:leftChars="0" w:left="240" w:hangingChars="100" w:hanging="240"/>
        <w:jc w:val="both"/>
        <w:rPr>
          <w:rFonts w:eastAsiaTheme="majorEastAsia"/>
        </w:rPr>
      </w:pPr>
      <w:r w:rsidRPr="00F54FC9">
        <w:rPr>
          <w:rFonts w:hint="eastAsia"/>
        </w:rPr>
        <w:t>T</w:t>
      </w:r>
      <w:r w:rsidRPr="00F54FC9">
        <w:t>able S</w:t>
      </w:r>
      <w:r>
        <w:t>1</w:t>
      </w:r>
      <w:r w:rsidRPr="00F54FC9">
        <w:t xml:space="preserve">. </w:t>
      </w:r>
      <w:r>
        <w:t xml:space="preserve">Cross </w:t>
      </w:r>
      <w:r>
        <w:rPr>
          <w:rFonts w:eastAsiaTheme="majorEastAsia"/>
        </w:rPr>
        <w:t>co</w:t>
      </w:r>
      <w:r w:rsidRPr="00F54FC9">
        <w:rPr>
          <w:rFonts w:eastAsiaTheme="majorEastAsia"/>
        </w:rPr>
        <w:t xml:space="preserve">rrelation coefficients </w:t>
      </w:r>
      <w:r>
        <w:rPr>
          <w:rFonts w:eastAsiaTheme="majorEastAsia"/>
        </w:rPr>
        <w:t>of</w:t>
      </w:r>
      <w:r w:rsidRPr="00F54FC9">
        <w:rPr>
          <w:rFonts w:eastAsiaTheme="majorEastAsia"/>
        </w:rPr>
        <w:t xml:space="preserve"> various tropical Pacific physical quantities based on each ensemble. </w:t>
      </w:r>
      <w:r>
        <w:rPr>
          <w:rFonts w:eastAsiaTheme="majorEastAsia"/>
        </w:rPr>
        <w:t xml:space="preserve">One standard deviation of each ensemble is represented after the average quantities.  </w:t>
      </w:r>
    </w:p>
    <w:p w14:paraId="661A848C" w14:textId="77777777" w:rsidR="007D58BF" w:rsidRDefault="007D58BF" w:rsidP="007D58BF">
      <w:pPr>
        <w:pStyle w:val="a4"/>
        <w:spacing w:line="276" w:lineRule="auto"/>
        <w:ind w:leftChars="0" w:left="0" w:firstLineChars="100" w:firstLine="240"/>
        <w:jc w:val="both"/>
        <w:rPr>
          <w:rFonts w:eastAsiaTheme="majorEastAsia"/>
        </w:rPr>
      </w:pPr>
    </w:p>
    <w:p w14:paraId="0C85B81C" w14:textId="77777777" w:rsidR="007D58BF" w:rsidRDefault="007D58BF" w:rsidP="002C36A7">
      <w:pPr>
        <w:pStyle w:val="a4"/>
        <w:spacing w:line="276" w:lineRule="auto"/>
        <w:ind w:leftChars="0" w:left="0"/>
      </w:pPr>
      <w:r w:rsidRPr="007D58BF">
        <w:rPr>
          <w:noProof/>
        </w:rPr>
        <w:drawing>
          <wp:inline distT="0" distB="0" distL="0" distR="0" wp14:anchorId="4AA31DE1" wp14:editId="6EBE139C">
            <wp:extent cx="5731510" cy="1346835"/>
            <wp:effectExtent l="0" t="0" r="0" b="0"/>
            <wp:docPr id="183845789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45789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439BD" w14:textId="4C7E34EA" w:rsidR="00BF72BF" w:rsidRDefault="007D58BF" w:rsidP="00137C14">
      <w:pPr>
        <w:pStyle w:val="a4"/>
        <w:spacing w:line="276" w:lineRule="auto"/>
        <w:ind w:leftChars="0" w:left="240" w:hangingChars="100" w:hanging="240"/>
        <w:jc w:val="both"/>
        <w:rPr>
          <w:rFonts w:eastAsiaTheme="majorEastAsia" w:hint="eastAsia"/>
        </w:rPr>
      </w:pPr>
      <w:r w:rsidRPr="00F54FC9">
        <w:rPr>
          <w:rFonts w:hint="eastAsia"/>
        </w:rPr>
        <w:t>T</w:t>
      </w:r>
      <w:r w:rsidRPr="00F54FC9">
        <w:t>able S</w:t>
      </w:r>
      <w:r>
        <w:t>2</w:t>
      </w:r>
      <w:r w:rsidRPr="00F54FC9">
        <w:t xml:space="preserve">. Average of </w:t>
      </w:r>
      <w:r w:rsidRPr="00F54FC9">
        <w:rPr>
          <w:rFonts w:eastAsiaTheme="majorEastAsia"/>
        </w:rPr>
        <w:t xml:space="preserve">correlation coefficients between various tropical Pacific physical quantities (uppermost row) and ENSO teleconnection trends over boxes (rightmost column) based on each ensemble. </w:t>
      </w:r>
      <w:r>
        <w:rPr>
          <w:rFonts w:eastAsiaTheme="majorEastAsia"/>
        </w:rPr>
        <w:t xml:space="preserve">One standard deviation of each ensemble is represented after the average quantities.  </w:t>
      </w:r>
    </w:p>
    <w:p w14:paraId="698A7BC8" w14:textId="0EB048CC" w:rsidR="00137C14" w:rsidRDefault="00137C14">
      <w:pPr>
        <w:widowControl/>
        <w:wordWrap/>
        <w:autoSpaceDE/>
        <w:autoSpaceDN/>
        <w:spacing w:line="240" w:lineRule="auto"/>
        <w:rPr>
          <w:rFonts w:eastAsiaTheme="majorEastAsia" w:cs="Times New Roman"/>
          <w:kern w:val="0"/>
          <w:szCs w:val="24"/>
        </w:rPr>
      </w:pPr>
      <w:r>
        <w:rPr>
          <w:rFonts w:eastAsiaTheme="majorEastAsia"/>
        </w:rPr>
        <w:br w:type="page"/>
      </w:r>
      <w:r>
        <w:rPr>
          <w:rFonts w:eastAsiaTheme="majorEastAsia" w:cs="Times New Roman"/>
          <w:noProof/>
          <w:kern w:val="0"/>
          <w:szCs w:val="24"/>
        </w:rPr>
        <w:lastRenderedPageBreak/>
        <w:drawing>
          <wp:inline distT="0" distB="0" distL="0" distR="0" wp14:anchorId="1BE56353" wp14:editId="20C0CA21">
            <wp:extent cx="5731510" cy="1972945"/>
            <wp:effectExtent l="0" t="0" r="0" b="0"/>
            <wp:docPr id="1435254170" name="그림 1" descr="텍스트, 도표, 그래프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254170" name="그림 1" descr="텍스트, 도표, 그래프, 라인이(가) 표시된 사진&#10;&#10;자동 생성된 설명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10C53" w14:textId="69C9E322" w:rsidR="00BF72BF" w:rsidRPr="00002716" w:rsidRDefault="00137C14" w:rsidP="007D58BF">
      <w:pPr>
        <w:pStyle w:val="a4"/>
        <w:spacing w:line="276" w:lineRule="auto"/>
        <w:ind w:leftChars="0" w:left="245" w:hangingChars="100" w:hanging="245"/>
        <w:jc w:val="both"/>
        <w:rPr>
          <w:b/>
          <w:bCs/>
          <w:color w:val="000000" w:themeColor="text1"/>
        </w:rPr>
      </w:pPr>
      <w:r w:rsidRPr="00002716">
        <w:rPr>
          <w:b/>
          <w:bCs/>
        </w:rPr>
        <w:t xml:space="preserve">Figure S1. </w:t>
      </w:r>
      <w:proofErr w:type="spellStart"/>
      <w:r w:rsidR="00002716" w:rsidRPr="00002716">
        <w:rPr>
          <w:b/>
          <w:bCs/>
          <w:color w:val="000000"/>
          <w:sz w:val="21"/>
          <w:szCs w:val="21"/>
          <w:shd w:val="clear" w:color="auto" w:fill="FFFFFF"/>
        </w:rPr>
        <w:t>Hovmöller</w:t>
      </w:r>
      <w:proofErr w:type="spellEnd"/>
      <w:r w:rsidR="00002716" w:rsidRPr="00002716">
        <w:rPr>
          <w:b/>
          <w:bCs/>
          <w:color w:val="000000"/>
          <w:sz w:val="21"/>
          <w:szCs w:val="21"/>
          <w:shd w:val="clear" w:color="auto" w:fill="FFFFFF"/>
        </w:rPr>
        <w:t xml:space="preserve"> diagram</w:t>
      </w:r>
      <w:r w:rsidR="00002716" w:rsidRPr="00002716">
        <w:rPr>
          <w:b/>
          <w:bCs/>
          <w:color w:val="000000"/>
          <w:sz w:val="21"/>
          <w:szCs w:val="21"/>
          <w:shd w:val="clear" w:color="auto" w:fill="FFFFFF"/>
        </w:rPr>
        <w:t xml:space="preserve"> of </w:t>
      </w:r>
      <w:r w:rsidRPr="00002716">
        <w:rPr>
          <w:b/>
          <w:bCs/>
        </w:rPr>
        <w:t>ENSO teleconnection</w:t>
      </w:r>
      <w:r w:rsidR="00002716" w:rsidRPr="00002716">
        <w:rPr>
          <w:b/>
          <w:bCs/>
        </w:rPr>
        <w:t xml:space="preserve">s averaged over (a) </w:t>
      </w:r>
      <w:r w:rsidR="00002716" w:rsidRPr="00002716">
        <w:rPr>
          <w:b/>
          <w:bCs/>
        </w:rPr>
        <w:t>40N-65N, and (b) 40S-65S</w:t>
      </w:r>
      <w:r w:rsidR="00002716" w:rsidRPr="00002716">
        <w:rPr>
          <w:b/>
          <w:bCs/>
        </w:rPr>
        <w:t>. ENSO teleconnections indicate</w:t>
      </w:r>
      <w:r w:rsidRPr="00002716">
        <w:rPr>
          <w:b/>
          <w:bCs/>
        </w:rPr>
        <w:t xml:space="preserve"> </w:t>
      </w:r>
      <w:r w:rsidR="00002716" w:rsidRPr="00002716">
        <w:rPr>
          <w:b/>
          <w:bCs/>
        </w:rPr>
        <w:t xml:space="preserve">the </w:t>
      </w:r>
      <w:r w:rsidR="00002716" w:rsidRPr="00002716">
        <w:rPr>
          <w:b/>
          <w:bCs/>
          <w:color w:val="000000"/>
          <w:sz w:val="21"/>
          <w:szCs w:val="21"/>
          <w:shd w:val="clear" w:color="auto" w:fill="FFFFFF"/>
        </w:rPr>
        <w:t xml:space="preserve">30-year moving </w:t>
      </w:r>
      <w:r w:rsidRPr="00002716">
        <w:rPr>
          <w:b/>
          <w:bCs/>
        </w:rPr>
        <w:t xml:space="preserve">regressions of 500hPa GPH anomalies against Niño-3.4 index from CDR-reversibility experiment. (a) </w:t>
      </w:r>
      <w:r w:rsidR="00002716" w:rsidRPr="00002716">
        <w:rPr>
          <w:b/>
          <w:bCs/>
        </w:rPr>
        <w:t xml:space="preserve">Latitudinal average. </w:t>
      </w:r>
      <w:r w:rsidRPr="00002716">
        <w:rPr>
          <w:b/>
          <w:bCs/>
          <w:color w:val="000000" w:themeColor="text1"/>
        </w:rPr>
        <w:t>Units are mK</w:t>
      </w:r>
      <w:r w:rsidRPr="00002716">
        <w:rPr>
          <w:b/>
          <w:bCs/>
          <w:color w:val="000000" w:themeColor="text1"/>
          <w:vertAlign w:val="superscript"/>
        </w:rPr>
        <w:t>-</w:t>
      </w:r>
      <w:r w:rsidR="00002716" w:rsidRPr="00002716">
        <w:rPr>
          <w:b/>
          <w:bCs/>
          <w:color w:val="000000" w:themeColor="text1"/>
          <w:vertAlign w:val="superscript"/>
        </w:rPr>
        <w:t>1</w:t>
      </w:r>
      <w:r w:rsidRPr="00002716">
        <w:rPr>
          <w:b/>
          <w:bCs/>
          <w:color w:val="000000" w:themeColor="text1"/>
        </w:rPr>
        <w:t>.</w:t>
      </w:r>
    </w:p>
    <w:p w14:paraId="000A8EEF" w14:textId="301A1C40" w:rsidR="00137C14" w:rsidRDefault="00137C14">
      <w:pPr>
        <w:widowControl/>
        <w:wordWrap/>
        <w:autoSpaceDE/>
        <w:autoSpaceDN/>
        <w:spacing w:line="240" w:lineRule="auto"/>
        <w:rPr>
          <w:rFonts w:cs="Times New Roman"/>
          <w:color w:val="000000" w:themeColor="text1"/>
          <w:kern w:val="0"/>
          <w:szCs w:val="24"/>
        </w:rPr>
      </w:pPr>
      <w:r>
        <w:rPr>
          <w:color w:val="000000" w:themeColor="text1"/>
        </w:rPr>
        <w:br w:type="page"/>
      </w:r>
    </w:p>
    <w:p w14:paraId="74BA8A48" w14:textId="77777777" w:rsidR="00137C14" w:rsidRPr="00137C14" w:rsidRDefault="00137C14" w:rsidP="007D58BF">
      <w:pPr>
        <w:pStyle w:val="a4"/>
        <w:spacing w:line="276" w:lineRule="auto"/>
        <w:ind w:leftChars="0" w:left="240" w:hangingChars="100" w:hanging="240"/>
        <w:jc w:val="both"/>
        <w:rPr>
          <w:rFonts w:eastAsiaTheme="majorEastAsia"/>
        </w:rPr>
      </w:pPr>
    </w:p>
    <w:p w14:paraId="03D6557D" w14:textId="619C4103" w:rsidR="00BF72BF" w:rsidRDefault="00BF72BF" w:rsidP="007D58BF">
      <w:pPr>
        <w:pStyle w:val="a4"/>
        <w:spacing w:line="276" w:lineRule="auto"/>
        <w:ind w:leftChars="0" w:left="240" w:hangingChars="100" w:hanging="240"/>
        <w:jc w:val="both"/>
        <w:rPr>
          <w:rFonts w:eastAsiaTheme="majorEastAsia"/>
        </w:rPr>
      </w:pPr>
      <w:r>
        <w:rPr>
          <w:rFonts w:eastAsiaTheme="majorEastAsia"/>
          <w:noProof/>
        </w:rPr>
        <w:drawing>
          <wp:inline distT="0" distB="0" distL="0" distR="0" wp14:anchorId="4276E941" wp14:editId="7D4533CB">
            <wp:extent cx="5731510" cy="2689225"/>
            <wp:effectExtent l="0" t="0" r="0" b="3175"/>
            <wp:docPr id="64413240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132407" name="그림 64413240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49D8A" w14:textId="162FEA40" w:rsidR="00BF72BF" w:rsidRPr="00BF72BF" w:rsidRDefault="00BF72BF" w:rsidP="00BF72BF">
      <w:pPr>
        <w:pStyle w:val="a3"/>
        <w:spacing w:line="276" w:lineRule="auto"/>
        <w:jc w:val="both"/>
        <w:rPr>
          <w:color w:val="000000" w:themeColor="text1"/>
          <w:sz w:val="24"/>
          <w:szCs w:val="24"/>
        </w:rPr>
      </w:pPr>
      <w:r w:rsidRPr="00BF72BF">
        <w:rPr>
          <w:sz w:val="24"/>
          <w:szCs w:val="24"/>
        </w:rPr>
        <w:t xml:space="preserve">Figure </w:t>
      </w:r>
      <w:r w:rsidR="00803A69">
        <w:rPr>
          <w:sz w:val="24"/>
          <w:szCs w:val="24"/>
        </w:rPr>
        <w:t>S</w:t>
      </w:r>
      <w:r w:rsidR="00137C14">
        <w:rPr>
          <w:sz w:val="24"/>
          <w:szCs w:val="24"/>
        </w:rPr>
        <w:t>2</w:t>
      </w:r>
      <w:r w:rsidR="00803A69">
        <w:rPr>
          <w:sz w:val="24"/>
          <w:szCs w:val="24"/>
        </w:rPr>
        <w:t xml:space="preserve">. </w:t>
      </w:r>
      <w:r w:rsidRPr="00BF72BF">
        <w:rPr>
          <w:sz w:val="24"/>
          <w:szCs w:val="24"/>
        </w:rPr>
        <w:t xml:space="preserve">ENSO teleconnection trends were calculated by using the 30-year moving regressions of 500hPa GPH anomalies at each grid point against Niño-3.4 index </w:t>
      </w:r>
      <w:r>
        <w:rPr>
          <w:sz w:val="24"/>
          <w:szCs w:val="24"/>
        </w:rPr>
        <w:t>from</w:t>
      </w:r>
      <w:r w:rsidRPr="00BF72BF">
        <w:rPr>
          <w:sz w:val="24"/>
          <w:szCs w:val="24"/>
        </w:rPr>
        <w:t xml:space="preserve"> CDR-reversibility experiment</w:t>
      </w:r>
      <w:r>
        <w:rPr>
          <w:sz w:val="24"/>
          <w:szCs w:val="24"/>
        </w:rPr>
        <w:t xml:space="preserve">. (a) ~ (f) Area-averaged regression timeseries for each box </w:t>
      </w:r>
      <w:r w:rsidRPr="00BF72BF">
        <w:rPr>
          <w:color w:val="000000" w:themeColor="text1"/>
          <w:sz w:val="24"/>
          <w:szCs w:val="24"/>
        </w:rPr>
        <w:t>with respect to CO2 concentration</w:t>
      </w:r>
      <w:r>
        <w:rPr>
          <w:color w:val="000000" w:themeColor="text1"/>
          <w:sz w:val="24"/>
          <w:szCs w:val="24"/>
        </w:rPr>
        <w:t xml:space="preserve">s </w:t>
      </w:r>
      <w:r>
        <w:rPr>
          <w:sz w:val="24"/>
          <w:szCs w:val="24"/>
        </w:rPr>
        <w:t xml:space="preserve">as indicated in Fig. 2. </w:t>
      </w:r>
      <w:r w:rsidRPr="00BF72BF">
        <w:rPr>
          <w:color w:val="000000" w:themeColor="text1"/>
          <w:sz w:val="24"/>
          <w:szCs w:val="24"/>
        </w:rPr>
        <w:t>Units are mK</w:t>
      </w:r>
      <w:r w:rsidRPr="00BF72BF">
        <w:rPr>
          <w:color w:val="000000" w:themeColor="text1"/>
          <w:sz w:val="24"/>
          <w:szCs w:val="24"/>
          <w:vertAlign w:val="superscript"/>
        </w:rPr>
        <w:t>-1</w:t>
      </w:r>
      <w:r w:rsidRPr="00BF72BF">
        <w:rPr>
          <w:color w:val="000000" w:themeColor="text1"/>
          <w:sz w:val="24"/>
          <w:szCs w:val="24"/>
        </w:rPr>
        <w:t>100yr</w:t>
      </w:r>
      <w:r w:rsidRPr="00BF72BF">
        <w:rPr>
          <w:color w:val="000000" w:themeColor="text1"/>
          <w:sz w:val="24"/>
          <w:szCs w:val="24"/>
          <w:vertAlign w:val="superscript"/>
        </w:rPr>
        <w:t>-1</w:t>
      </w:r>
      <w:r w:rsidRPr="00BF72BF">
        <w:rPr>
          <w:color w:val="000000" w:themeColor="text1"/>
          <w:sz w:val="24"/>
          <w:szCs w:val="24"/>
        </w:rPr>
        <w:t xml:space="preserve">. Color shadings indicate the ensemble spread of one standard deviation. </w:t>
      </w:r>
    </w:p>
    <w:p w14:paraId="41489B14" w14:textId="558E4F0D" w:rsidR="00025667" w:rsidRDefault="00025667">
      <w:pPr>
        <w:widowControl/>
        <w:wordWrap/>
        <w:autoSpaceDE/>
        <w:autoSpaceDN/>
        <w:spacing w:line="240" w:lineRule="auto"/>
        <w:rPr>
          <w:bCs/>
        </w:rPr>
      </w:pPr>
      <w:r>
        <w:rPr>
          <w:bCs/>
        </w:rPr>
        <w:br w:type="page"/>
      </w:r>
    </w:p>
    <w:p w14:paraId="7015AE03" w14:textId="6689B8B0" w:rsidR="005C63F3" w:rsidRDefault="005C63F3" w:rsidP="005C63F3">
      <w:pPr>
        <w:widowControl/>
        <w:wordWrap/>
        <w:autoSpaceDE/>
        <w:autoSpaceDN/>
        <w:spacing w:line="240" w:lineRule="auto"/>
        <w:jc w:val="center"/>
        <w:rPr>
          <w:bCs/>
        </w:rPr>
      </w:pPr>
      <w:r w:rsidRPr="005C63F3">
        <w:rPr>
          <w:bCs/>
        </w:rPr>
        <w:lastRenderedPageBreak/>
        <w:drawing>
          <wp:inline distT="0" distB="0" distL="0" distR="0" wp14:anchorId="4C7F1586" wp14:editId="42698A80">
            <wp:extent cx="3699550" cy="3574483"/>
            <wp:effectExtent l="0" t="0" r="0" b="0"/>
            <wp:docPr id="3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98FDA83A-216E-D204-EBB9-83383CEB67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98FDA83A-216E-D204-EBB9-83383CEB67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99550" cy="357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9B4BE" w14:textId="77777777" w:rsidR="005C63F3" w:rsidRDefault="005C63F3">
      <w:pPr>
        <w:widowControl/>
        <w:wordWrap/>
        <w:autoSpaceDE/>
        <w:autoSpaceDN/>
        <w:spacing w:line="240" w:lineRule="auto"/>
        <w:rPr>
          <w:bCs/>
        </w:rPr>
      </w:pPr>
    </w:p>
    <w:p w14:paraId="59A0B482" w14:textId="218624B3" w:rsidR="005C63F3" w:rsidRPr="00BF72BF" w:rsidRDefault="005C63F3" w:rsidP="005C63F3">
      <w:pPr>
        <w:pStyle w:val="a3"/>
        <w:spacing w:line="276" w:lineRule="auto"/>
        <w:jc w:val="both"/>
        <w:rPr>
          <w:rFonts w:eastAsia="바탕"/>
          <w:sz w:val="24"/>
          <w:szCs w:val="24"/>
        </w:rPr>
      </w:pPr>
      <w:r w:rsidRPr="00BF72BF">
        <w:rPr>
          <w:sz w:val="24"/>
          <w:szCs w:val="24"/>
        </w:rPr>
        <w:t>Figure S</w:t>
      </w:r>
      <w:r>
        <w:rPr>
          <w:sz w:val="24"/>
          <w:szCs w:val="24"/>
        </w:rPr>
        <w:t>3</w:t>
      </w:r>
      <w:r w:rsidRPr="00BF72BF">
        <w:rPr>
          <w:sz w:val="24"/>
          <w:szCs w:val="24"/>
        </w:rPr>
        <w:t xml:space="preserve"> Composites of 500hPa geopotential height anomalies for (a) El Niño-year and (b) La Niña-year obtained from PD run. El Niño and La Niña are defined as over positive one standard deviation and under negative one standard deviation from the mean, respectively. </w:t>
      </w:r>
    </w:p>
    <w:p w14:paraId="7F862E07" w14:textId="323A9DBA" w:rsidR="005C63F3" w:rsidRDefault="005C63F3">
      <w:pPr>
        <w:widowControl/>
        <w:wordWrap/>
        <w:autoSpaceDE/>
        <w:autoSpaceDN/>
        <w:spacing w:line="240" w:lineRule="auto"/>
        <w:rPr>
          <w:bCs/>
        </w:rPr>
      </w:pPr>
      <w:r>
        <w:rPr>
          <w:bCs/>
        </w:rPr>
        <w:br w:type="page"/>
      </w:r>
    </w:p>
    <w:p w14:paraId="0DC1B2FA" w14:textId="77777777" w:rsidR="005C63F3" w:rsidRPr="005C63F3" w:rsidRDefault="005C63F3">
      <w:pPr>
        <w:widowControl/>
        <w:wordWrap/>
        <w:autoSpaceDE/>
        <w:autoSpaceDN/>
        <w:spacing w:line="240" w:lineRule="auto"/>
        <w:rPr>
          <w:rFonts w:hint="eastAsia"/>
          <w:bCs/>
        </w:rPr>
      </w:pPr>
    </w:p>
    <w:p w14:paraId="156A57C0" w14:textId="360041C9" w:rsidR="00025667" w:rsidRDefault="00025667" w:rsidP="00025667">
      <w:pPr>
        <w:widowControl/>
        <w:wordWrap/>
        <w:autoSpaceDE/>
        <w:autoSpaceDN/>
        <w:spacing w:line="240" w:lineRule="auto"/>
        <w:rPr>
          <w:bCs/>
        </w:rPr>
      </w:pPr>
      <w:r>
        <w:rPr>
          <w:bCs/>
          <w:noProof/>
        </w:rPr>
        <w:drawing>
          <wp:inline distT="0" distB="0" distL="0" distR="0" wp14:anchorId="42E89CFA" wp14:editId="699653AB">
            <wp:extent cx="5731510" cy="3754120"/>
            <wp:effectExtent l="0" t="0" r="0" b="5080"/>
            <wp:docPr id="82738810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88108" name="그림 82738810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BD367" w14:textId="63731A9D" w:rsidR="00025667" w:rsidRPr="00025667" w:rsidRDefault="00025667" w:rsidP="00025667">
      <w:pPr>
        <w:widowControl/>
        <w:wordWrap/>
        <w:autoSpaceDE/>
        <w:autoSpaceDN/>
        <w:spacing w:line="276" w:lineRule="auto"/>
        <w:rPr>
          <w:bCs/>
        </w:rPr>
      </w:pPr>
      <w:r w:rsidRPr="00025667">
        <w:rPr>
          <w:b/>
          <w:bCs/>
          <w:szCs w:val="24"/>
        </w:rPr>
        <w:t>Figure S</w:t>
      </w:r>
      <w:r w:rsidR="005C63F3">
        <w:rPr>
          <w:b/>
          <w:bCs/>
          <w:szCs w:val="24"/>
        </w:rPr>
        <w:t>4</w:t>
      </w:r>
      <w:r w:rsidRPr="00025667">
        <w:rPr>
          <w:b/>
          <w:bCs/>
          <w:szCs w:val="24"/>
        </w:rPr>
        <w:t xml:space="preserve"> </w:t>
      </w:r>
      <w:r w:rsidRPr="00025667">
        <w:rPr>
          <w:b/>
          <w:bCs/>
        </w:rPr>
        <w:t xml:space="preserve">Regression of precipitation anomalies in tropics against Niño-3.4 index obtained from </w:t>
      </w:r>
      <w:r>
        <w:rPr>
          <w:b/>
          <w:bCs/>
        </w:rPr>
        <w:t>CO2 removal experiment of CESM1.2</w:t>
      </w:r>
      <w:r w:rsidRPr="00025667">
        <w:rPr>
          <w:b/>
          <w:bCs/>
        </w:rPr>
        <w:t>. (a) and (b) for 30-year period at the center of 2CO2 level in ramp-up and ramp-down, respectively.</w:t>
      </w:r>
      <w:r>
        <w:rPr>
          <w:b/>
          <w:bCs/>
        </w:rPr>
        <w:t xml:space="preserve"> (c) is the difference between (a) and (b). Units are mm day</w:t>
      </w:r>
      <w:r w:rsidRPr="00025667">
        <w:rPr>
          <w:b/>
          <w:bCs/>
          <w:vertAlign w:val="superscript"/>
        </w:rPr>
        <w:t>-1</w:t>
      </w:r>
      <w:r>
        <w:rPr>
          <w:b/>
          <w:bCs/>
        </w:rPr>
        <w:t xml:space="preserve"> K</w:t>
      </w:r>
      <w:r w:rsidRPr="00025667">
        <w:rPr>
          <w:b/>
          <w:bCs/>
          <w:vertAlign w:val="superscript"/>
        </w:rPr>
        <w:t>-1</w:t>
      </w:r>
      <w:r>
        <w:rPr>
          <w:b/>
          <w:bCs/>
        </w:rPr>
        <w:t xml:space="preserve">. </w:t>
      </w:r>
    </w:p>
    <w:p w14:paraId="6D1E68C6" w14:textId="77777777" w:rsidR="00025667" w:rsidRDefault="00025667" w:rsidP="00025667">
      <w:pPr>
        <w:widowControl/>
        <w:wordWrap/>
        <w:autoSpaceDE/>
        <w:autoSpaceDN/>
        <w:spacing w:line="276" w:lineRule="auto"/>
      </w:pPr>
      <w:r>
        <w:br w:type="page"/>
      </w:r>
    </w:p>
    <w:p w14:paraId="594307BF" w14:textId="77777777" w:rsidR="00025667" w:rsidRDefault="00025667" w:rsidP="00025667"/>
    <w:p w14:paraId="1972209D" w14:textId="7A2BFAAE" w:rsidR="00CE6C42" w:rsidRDefault="00025667" w:rsidP="00025667">
      <w:pPr>
        <w:rPr>
          <w:rFonts w:eastAsia="Calibri"/>
          <w:color w:val="000000"/>
        </w:rPr>
      </w:pPr>
      <w:r w:rsidRPr="00876744">
        <w:t xml:space="preserve"> </w:t>
      </w:r>
      <w:r w:rsidR="005C63F3">
        <w:rPr>
          <w:rFonts w:eastAsia="Calibri"/>
          <w:noProof/>
          <w:color w:val="000000"/>
        </w:rPr>
        <w:drawing>
          <wp:inline distT="0" distB="0" distL="0" distR="0" wp14:anchorId="043CD54F" wp14:editId="7897FB47">
            <wp:extent cx="5731510" cy="1551305"/>
            <wp:effectExtent l="0" t="0" r="0" b="0"/>
            <wp:docPr id="802282846" name="그림 2" descr="텍스트, 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82846" name="그림 2" descr="텍스트, 지도이(가) 표시된 사진&#10;&#10;자동 생성된 설명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9F26A" w14:textId="156075F3" w:rsidR="00CE6C42" w:rsidRPr="00BF72BF" w:rsidRDefault="00CE6C42" w:rsidP="00BF72BF">
      <w:pPr>
        <w:pStyle w:val="a3"/>
        <w:spacing w:line="276" w:lineRule="auto"/>
        <w:jc w:val="both"/>
        <w:rPr>
          <w:rFonts w:eastAsia="바탕"/>
          <w:sz w:val="24"/>
          <w:szCs w:val="24"/>
        </w:rPr>
      </w:pPr>
      <w:r w:rsidRPr="00BF72BF">
        <w:rPr>
          <w:sz w:val="24"/>
          <w:szCs w:val="24"/>
        </w:rPr>
        <w:t>Figure S</w:t>
      </w:r>
      <w:r w:rsidR="005C63F3">
        <w:rPr>
          <w:sz w:val="24"/>
          <w:szCs w:val="24"/>
        </w:rPr>
        <w:t>5</w:t>
      </w:r>
      <w:r w:rsidRPr="00BF72BF">
        <w:rPr>
          <w:sz w:val="24"/>
          <w:szCs w:val="24"/>
        </w:rPr>
        <w:t xml:space="preserve"> Differences in (</w:t>
      </w:r>
      <w:r w:rsidR="005C63F3">
        <w:rPr>
          <w:sz w:val="24"/>
          <w:szCs w:val="24"/>
        </w:rPr>
        <w:t>a</w:t>
      </w:r>
      <w:r w:rsidRPr="00BF72BF">
        <w:rPr>
          <w:sz w:val="24"/>
          <w:szCs w:val="24"/>
        </w:rPr>
        <w:t>) 30-year average 200hPa zonal wind and (</w:t>
      </w:r>
      <w:r w:rsidR="005C63F3">
        <w:rPr>
          <w:sz w:val="24"/>
          <w:szCs w:val="24"/>
        </w:rPr>
        <w:t>b</w:t>
      </w:r>
      <w:r w:rsidRPr="00BF72BF">
        <w:rPr>
          <w:sz w:val="24"/>
          <w:szCs w:val="24"/>
        </w:rPr>
        <w:t xml:space="preserve">) 30-year average 500hPa geopotential height anomalies between around 2CO2 Ramp-down period and around 2CO2 ramp-up period. Here, 30-year average was taken only for normal years (-0.5 </w:t>
      </w:r>
      <w:r w:rsidRPr="00BF72BF">
        <w:rPr>
          <w:rFonts w:ascii="Symbol" w:hAnsi="Symbol"/>
          <w:sz w:val="24"/>
          <w:szCs w:val="24"/>
        </w:rPr>
        <w:t></w:t>
      </w:r>
      <w:r w:rsidRPr="00BF72BF">
        <w:rPr>
          <w:sz w:val="24"/>
          <w:szCs w:val="24"/>
        </w:rPr>
        <w:t xml:space="preserve"> &lt; Niño3.4 &lt; +0.5 </w:t>
      </w:r>
      <w:r w:rsidRPr="00BF72BF">
        <w:rPr>
          <w:rFonts w:ascii="Symbol" w:hAnsi="Symbol"/>
          <w:sz w:val="24"/>
          <w:szCs w:val="24"/>
        </w:rPr>
        <w:t></w:t>
      </w:r>
      <w:r w:rsidRPr="00BF72BF">
        <w:rPr>
          <w:sz w:val="24"/>
          <w:szCs w:val="24"/>
        </w:rPr>
        <w:t>). (</w:t>
      </w:r>
      <w:r w:rsidR="005C63F3">
        <w:rPr>
          <w:sz w:val="24"/>
          <w:szCs w:val="24"/>
        </w:rPr>
        <w:t>a</w:t>
      </w:r>
      <w:r w:rsidRPr="00BF72BF">
        <w:rPr>
          <w:sz w:val="24"/>
          <w:szCs w:val="24"/>
        </w:rPr>
        <w:t>) and (</w:t>
      </w:r>
      <w:r w:rsidR="005C63F3">
        <w:rPr>
          <w:sz w:val="24"/>
          <w:szCs w:val="24"/>
        </w:rPr>
        <w:t>b</w:t>
      </w:r>
      <w:r w:rsidRPr="00BF72BF">
        <w:rPr>
          <w:sz w:val="24"/>
          <w:szCs w:val="24"/>
        </w:rPr>
        <w:t>) indicate differences in mean conditions between ramp-down and ramp-up for normal years. Contours in (</w:t>
      </w:r>
      <w:r w:rsidR="005C63F3">
        <w:rPr>
          <w:sz w:val="24"/>
          <w:szCs w:val="24"/>
        </w:rPr>
        <w:t>a</w:t>
      </w:r>
      <w:r w:rsidRPr="00BF72BF">
        <w:rPr>
          <w:sz w:val="24"/>
          <w:szCs w:val="24"/>
        </w:rPr>
        <w:t>) and (</w:t>
      </w:r>
      <w:r w:rsidR="005C63F3">
        <w:rPr>
          <w:sz w:val="24"/>
          <w:szCs w:val="24"/>
        </w:rPr>
        <w:t>b</w:t>
      </w:r>
      <w:r w:rsidRPr="00BF72BF">
        <w:rPr>
          <w:sz w:val="24"/>
          <w:szCs w:val="24"/>
        </w:rPr>
        <w:t xml:space="preserve">) indicate mean 200hPa zonal wind and mean 500hPa geopotential height obtained from the Present-day simulation. For 500hPa geopotential height anomalies, </w:t>
      </w:r>
      <w:proofErr w:type="gramStart"/>
      <w:r w:rsidRPr="00BF72BF">
        <w:rPr>
          <w:sz w:val="24"/>
          <w:szCs w:val="24"/>
        </w:rPr>
        <w:t>zonal-mean</w:t>
      </w:r>
      <w:proofErr w:type="gramEnd"/>
      <w:r w:rsidRPr="00BF72BF">
        <w:rPr>
          <w:sz w:val="24"/>
          <w:szCs w:val="24"/>
        </w:rPr>
        <w:t xml:space="preserve"> has been removed. </w:t>
      </w:r>
    </w:p>
    <w:p w14:paraId="73E19E22" w14:textId="77777777" w:rsidR="007D58BF" w:rsidRPr="00BF72BF" w:rsidRDefault="007D58BF" w:rsidP="00BF72BF">
      <w:pPr>
        <w:spacing w:line="276" w:lineRule="auto"/>
        <w:rPr>
          <w:szCs w:val="24"/>
        </w:rPr>
      </w:pPr>
    </w:p>
    <w:sectPr w:rsidR="007D58BF" w:rsidRPr="00BF72BF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alibr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D2"/>
    <w:rsid w:val="00002716"/>
    <w:rsid w:val="00025667"/>
    <w:rsid w:val="00137C14"/>
    <w:rsid w:val="002B1745"/>
    <w:rsid w:val="002C36A7"/>
    <w:rsid w:val="00356032"/>
    <w:rsid w:val="00396E05"/>
    <w:rsid w:val="005C63F3"/>
    <w:rsid w:val="007D58BF"/>
    <w:rsid w:val="007F52E8"/>
    <w:rsid w:val="00803A69"/>
    <w:rsid w:val="00861551"/>
    <w:rsid w:val="008E1B2F"/>
    <w:rsid w:val="009952E2"/>
    <w:rsid w:val="00BE3991"/>
    <w:rsid w:val="00BF72BF"/>
    <w:rsid w:val="00C619FE"/>
    <w:rsid w:val="00CA43F5"/>
    <w:rsid w:val="00CE639B"/>
    <w:rsid w:val="00CE6C42"/>
    <w:rsid w:val="00F54FC9"/>
    <w:rsid w:val="00F552D2"/>
    <w:rsid w:val="00F6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860202"/>
  <w15:chartTrackingRefBased/>
  <w15:docId w15:val="{6C298803-81D0-0247-8B1E-ED996DA2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2D2"/>
    <w:pPr>
      <w:widowControl w:val="0"/>
      <w:wordWrap w:val="0"/>
      <w:autoSpaceDE w:val="0"/>
      <w:autoSpaceDN w:val="0"/>
      <w:spacing w:line="360" w:lineRule="auto"/>
    </w:pPr>
    <w:rPr>
      <w:rFonts w:ascii="Times New Roman" w:eastAsia="Times New Roman" w:hAnsi="Times New Roman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F52E8"/>
    <w:pPr>
      <w:widowControl/>
      <w:wordWrap/>
      <w:autoSpaceDE/>
      <w:autoSpaceDN/>
      <w:spacing w:line="240" w:lineRule="auto"/>
      <w:jc w:val="left"/>
    </w:pPr>
    <w:rPr>
      <w:rFonts w:cs="Times New Roman"/>
      <w:b/>
      <w:bCs/>
      <w:kern w:val="0"/>
      <w:sz w:val="20"/>
      <w:szCs w:val="20"/>
    </w:rPr>
  </w:style>
  <w:style w:type="paragraph" w:styleId="a4">
    <w:name w:val="List Paragraph"/>
    <w:basedOn w:val="a"/>
    <w:uiPriority w:val="34"/>
    <w:qFormat/>
    <w:rsid w:val="00F54FC9"/>
    <w:pPr>
      <w:widowControl/>
      <w:wordWrap/>
      <w:autoSpaceDE/>
      <w:autoSpaceDN/>
      <w:spacing w:line="240" w:lineRule="auto"/>
      <w:ind w:leftChars="400" w:left="800"/>
      <w:jc w:val="left"/>
    </w:pPr>
    <w:rPr>
      <w:rFonts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안순일</dc:creator>
  <cp:keywords/>
  <dc:description/>
  <cp:lastModifiedBy>안순일</cp:lastModifiedBy>
  <cp:revision>20</cp:revision>
  <dcterms:created xsi:type="dcterms:W3CDTF">2023-09-16T02:02:00Z</dcterms:created>
  <dcterms:modified xsi:type="dcterms:W3CDTF">2024-01-04T23:18:00Z</dcterms:modified>
</cp:coreProperties>
</file>