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CF56" w14:textId="3250D0A0" w:rsidR="001F7576" w:rsidRDefault="005308C3" w:rsidP="001F75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H</w:t>
      </w:r>
      <w:r w:rsidR="001F7576">
        <w:rPr>
          <w:rFonts w:ascii="Arial" w:eastAsia="Arial" w:hAnsi="Arial" w:cs="Arial"/>
          <w:b/>
          <w:sz w:val="30"/>
          <w:szCs w:val="30"/>
        </w:rPr>
        <w:t xml:space="preserve">alf </w:t>
      </w:r>
      <w:r w:rsidR="001F7576">
        <w:rPr>
          <w:rFonts w:ascii="Arial" w:eastAsia="Arial" w:hAnsi="Arial" w:cs="Arial"/>
          <w:b/>
          <w:color w:val="000000"/>
          <w:sz w:val="30"/>
          <w:szCs w:val="30"/>
        </w:rPr>
        <w:t>of the unprecedented global soybean production failure in 2012 is attributable to climate change.</w:t>
      </w:r>
    </w:p>
    <w:p w14:paraId="15E3FC39" w14:textId="0EE3543E" w:rsidR="001F7576" w:rsidRDefault="001F7576" w:rsidP="001F75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sz w:val="20"/>
          <w:szCs w:val="20"/>
        </w:rPr>
      </w:pPr>
    </w:p>
    <w:p w14:paraId="664FD259" w14:textId="77777777" w:rsidR="001F7576" w:rsidRDefault="001F7576" w:rsidP="001F75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</w:rPr>
        <w:t xml:space="preserve">Raed Hamed 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, Corey Lesk 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,Theodore G. Shepherd </w:t>
      </w:r>
      <w:r>
        <w:rPr>
          <w:rFonts w:ascii="Arial" w:eastAsia="Arial" w:hAnsi="Arial" w:cs="Arial"/>
          <w:sz w:val="20"/>
          <w:szCs w:val="20"/>
          <w:vertAlign w:val="superscript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, Henrique M.D. Goulart </w:t>
      </w:r>
      <w:r>
        <w:rPr>
          <w:rFonts w:ascii="Arial" w:eastAsia="Arial" w:hAnsi="Arial" w:cs="Arial"/>
          <w:sz w:val="20"/>
          <w:szCs w:val="20"/>
          <w:vertAlign w:val="superscript"/>
        </w:rPr>
        <w:t>1,4</w:t>
      </w:r>
      <w:r>
        <w:rPr>
          <w:rFonts w:ascii="Arial" w:eastAsia="Arial" w:hAnsi="Arial" w:cs="Arial"/>
          <w:sz w:val="20"/>
          <w:szCs w:val="20"/>
        </w:rPr>
        <w:t xml:space="preserve">, Linda van Garderen </w:t>
      </w:r>
      <w:r>
        <w:rPr>
          <w:rFonts w:ascii="Arial" w:eastAsia="Arial" w:hAnsi="Arial" w:cs="Arial"/>
          <w:sz w:val="20"/>
          <w:szCs w:val="20"/>
          <w:vertAlign w:val="superscript"/>
        </w:rPr>
        <w:t>5.6</w:t>
      </w:r>
      <w:r>
        <w:rPr>
          <w:rFonts w:ascii="Arial" w:eastAsia="Arial" w:hAnsi="Arial" w:cs="Arial"/>
          <w:sz w:val="20"/>
          <w:szCs w:val="20"/>
        </w:rPr>
        <w:t xml:space="preserve">, Bart van den Hurk </w:t>
      </w:r>
      <w:r>
        <w:rPr>
          <w:rFonts w:ascii="Arial" w:eastAsia="Arial" w:hAnsi="Arial" w:cs="Arial"/>
          <w:sz w:val="20"/>
          <w:szCs w:val="20"/>
          <w:vertAlign w:val="superscript"/>
        </w:rPr>
        <w:t>1,4</w:t>
      </w:r>
      <w:r>
        <w:rPr>
          <w:rFonts w:ascii="Arial" w:eastAsia="Arial" w:hAnsi="Arial" w:cs="Arial"/>
          <w:sz w:val="20"/>
          <w:szCs w:val="20"/>
        </w:rPr>
        <w:t xml:space="preserve">, Dim Coumou </w:t>
      </w:r>
      <w:r>
        <w:rPr>
          <w:rFonts w:ascii="Arial" w:eastAsia="Arial" w:hAnsi="Arial" w:cs="Arial"/>
          <w:sz w:val="20"/>
          <w:szCs w:val="20"/>
          <w:vertAlign w:val="superscript"/>
        </w:rPr>
        <w:t>1,7</w:t>
      </w:r>
    </w:p>
    <w:p w14:paraId="1F4590A7" w14:textId="77777777" w:rsidR="001F7576" w:rsidRDefault="001F7576" w:rsidP="001F75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0"/>
          <w:szCs w:val="20"/>
          <w:vertAlign w:val="superscript"/>
        </w:rPr>
      </w:pPr>
    </w:p>
    <w:p w14:paraId="4ACB14DC" w14:textId="77777777" w:rsidR="001F7576" w:rsidRDefault="001F7576" w:rsidP="001F75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 Department of Water and Climate Risk, Institute for Environmental Studies (IVM), Vrije Universiteit Amsterdam, 2 Department of Geography, Neukom Institute, Dartmouth College, 3 Department of Meteorology, University of Reading, Reading, UK, 4 </w:t>
      </w:r>
      <w:proofErr w:type="spellStart"/>
      <w:r>
        <w:rPr>
          <w:rFonts w:ascii="Arial" w:eastAsia="Arial" w:hAnsi="Arial" w:cs="Arial"/>
          <w:sz w:val="16"/>
          <w:szCs w:val="16"/>
        </w:rPr>
        <w:t>Deltares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, Delft, the Netherlands, 5 Institute of Coastal Systems - Analysis and Modelling, Helmholtz-Zentrum Hereon, </w:t>
      </w:r>
      <w:proofErr w:type="spellStart"/>
      <w:r>
        <w:rPr>
          <w:rFonts w:ascii="Arial" w:eastAsia="Arial" w:hAnsi="Arial" w:cs="Arial"/>
          <w:sz w:val="16"/>
          <w:szCs w:val="16"/>
        </w:rPr>
        <w:t>Geesthacht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, Germany,  6 Institute for Marine and Atmospheric Research, Utrecht University, Utrecht, The Netherlands, 7 Royal Netherlands Meteorological Institute (KNMI), De </w:t>
      </w:r>
      <w:proofErr w:type="spellStart"/>
      <w:r>
        <w:rPr>
          <w:rFonts w:ascii="Arial" w:eastAsia="Arial" w:hAnsi="Arial" w:cs="Arial"/>
          <w:sz w:val="16"/>
          <w:szCs w:val="16"/>
        </w:rPr>
        <w:t>Bilt</w:t>
      </w:r>
      <w:proofErr w:type="spellEnd"/>
      <w:r>
        <w:rPr>
          <w:rFonts w:ascii="Arial" w:eastAsia="Arial" w:hAnsi="Arial" w:cs="Arial"/>
          <w:sz w:val="16"/>
          <w:szCs w:val="16"/>
        </w:rPr>
        <w:t>, the Netherlands</w:t>
      </w:r>
    </w:p>
    <w:p w14:paraId="4D978F4F" w14:textId="77777777" w:rsidR="001F7576" w:rsidRDefault="001F7576" w:rsidP="001F7576">
      <w:pPr>
        <w:jc w:val="both"/>
      </w:pPr>
    </w:p>
    <w:p w14:paraId="4A61B226" w14:textId="156D1F05" w:rsidR="001F7576" w:rsidRDefault="001F7576" w:rsidP="001F75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Supporting information</w:t>
      </w:r>
    </w:p>
    <w:p w14:paraId="20FC3D97" w14:textId="087E5F78" w:rsidR="001F7576" w:rsidRDefault="003D0BE8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5388A2" wp14:editId="25900559">
            <wp:extent cx="5943600" cy="3023235"/>
            <wp:effectExtent l="0" t="0" r="0" b="5715"/>
            <wp:docPr id="2109252709" name="Picture 8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52709" name="Picture 8" descr="A map of the wor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</w:t>
      </w:r>
    </w:p>
    <w:p w14:paraId="5C066788" w14:textId="33FDBA92" w:rsidR="001F7576" w:rsidRPr="00D03F77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Figure S1: County level standardized coefficients for summer maximum temperature, soil moisture and their interaction. </w:t>
      </w:r>
      <w:r w:rsidRPr="00D03F77">
        <w:rPr>
          <w:rFonts w:ascii="Arial" w:eastAsia="Arial" w:hAnsi="Arial" w:cs="Arial"/>
          <w:bCs/>
          <w:color w:val="000000"/>
        </w:rPr>
        <w:t>Significant county scale coefficients are estimated based on bootstrap resampling with 1000 draws and are highlighted by a black contour.</w:t>
      </w:r>
    </w:p>
    <w:p w14:paraId="07D37EE9" w14:textId="7CBEC5C9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54D5" w14:textId="77777777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9B6551" w14:textId="77777777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noProof/>
        </w:rPr>
        <w:lastRenderedPageBreak/>
        <w:drawing>
          <wp:inline distT="114300" distB="114300" distL="114300" distR="114300" wp14:anchorId="0CBCD8BA" wp14:editId="43D3013B">
            <wp:extent cx="5943600" cy="5295900"/>
            <wp:effectExtent l="0" t="0" r="0" b="0"/>
            <wp:docPr id="7" name="image9.png" descr="A map of the world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 descr="A map of the world with different colored line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8AAA85" w14:textId="77777777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C7ED7" w14:textId="0F737070" w:rsidR="001F7576" w:rsidRDefault="001F7576" w:rsidP="001F7576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Figure S2. (</w:t>
      </w:r>
      <w:r>
        <w:rPr>
          <w:rFonts w:ascii="Arial" w:eastAsia="Arial" w:hAnsi="Arial" w:cs="Arial"/>
          <w:b/>
        </w:rPr>
        <w:t xml:space="preserve">a) </w:t>
      </w:r>
      <w:r>
        <w:rPr>
          <w:rFonts w:ascii="Arial" w:eastAsia="Arial" w:hAnsi="Arial" w:cs="Arial"/>
          <w:b/>
          <w:color w:val="000000"/>
        </w:rPr>
        <w:t xml:space="preserve">Model </w:t>
      </w:r>
      <w:r>
        <w:rPr>
          <w:rFonts w:ascii="Arial" w:eastAsia="Arial" w:hAnsi="Arial" w:cs="Arial"/>
          <w:b/>
        </w:rPr>
        <w:t>out-of-sample</w:t>
      </w:r>
      <w:r>
        <w:rPr>
          <w:rFonts w:ascii="Arial" w:eastAsia="Arial" w:hAnsi="Arial" w:cs="Arial"/>
          <w:b/>
          <w:color w:val="000000"/>
        </w:rPr>
        <w:t xml:space="preserve"> (Leave</w:t>
      </w:r>
      <w:r w:rsidR="00724DA9">
        <w:rPr>
          <w:rFonts w:ascii="Arial" w:eastAsia="Arial" w:hAnsi="Arial" w:cs="Arial"/>
          <w:b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>one</w:t>
      </w:r>
      <w:r w:rsidR="00724DA9">
        <w:rPr>
          <w:rFonts w:ascii="Arial" w:eastAsia="Arial" w:hAnsi="Arial" w:cs="Arial"/>
          <w:b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>out cross</w:t>
      </w:r>
      <w:r w:rsidR="000237E7">
        <w:rPr>
          <w:rFonts w:ascii="Arial" w:eastAsia="Arial" w:hAnsi="Arial" w:cs="Arial"/>
          <w:b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validation) </w:t>
      </w:r>
      <w:r w:rsidRPr="001F7576">
        <w:rPr>
          <w:rFonts w:ascii="Arial" w:eastAsia="Arial" w:hAnsi="Arial" w:cs="Arial"/>
          <w:b/>
          <w:color w:val="000000"/>
        </w:rPr>
        <w:t xml:space="preserve">explained variability (R2) </w:t>
      </w:r>
      <w:r>
        <w:rPr>
          <w:rFonts w:ascii="Arial" w:eastAsia="Arial" w:hAnsi="Arial" w:cs="Arial"/>
          <w:b/>
          <w:color w:val="000000"/>
        </w:rPr>
        <w:t xml:space="preserve">at the county level. (b) </w:t>
      </w:r>
      <w:r w:rsidR="002A32F9" w:rsidRPr="003B75E6">
        <w:rPr>
          <w:rFonts w:ascii="Arial" w:eastAsia="Arial" w:hAnsi="Arial" w:cs="Arial"/>
          <w:b/>
          <w:color w:val="000000"/>
        </w:rPr>
        <w:t>Harvest-area-weighted, spatial-averaged time series</w:t>
      </w:r>
      <w:r w:rsidR="002A32F9">
        <w:rPr>
          <w:rFonts w:ascii="Arial" w:eastAsia="Arial" w:hAnsi="Arial" w:cs="Arial"/>
          <w:b/>
          <w:color w:val="000000"/>
        </w:rPr>
        <w:t xml:space="preserve"> for </w:t>
      </w:r>
      <w:r>
        <w:rPr>
          <w:rFonts w:ascii="Arial" w:eastAsia="Arial" w:hAnsi="Arial" w:cs="Arial"/>
          <w:b/>
        </w:rPr>
        <w:t>Observed (black), in sample (green) and out-of-sample (red) model simulated yield anomalies. Dashed gray line indicates the year 2012.</w:t>
      </w:r>
    </w:p>
    <w:p w14:paraId="49EAC2E6" w14:textId="77777777" w:rsidR="009A2326" w:rsidRDefault="009A2326" w:rsidP="001F7576">
      <w:pPr>
        <w:spacing w:after="0" w:line="240" w:lineRule="auto"/>
        <w:rPr>
          <w:rFonts w:ascii="Arial" w:eastAsia="Arial" w:hAnsi="Arial" w:cs="Arial"/>
          <w:b/>
        </w:rPr>
      </w:pPr>
    </w:p>
    <w:p w14:paraId="1A20D064" w14:textId="0DF04E57" w:rsidR="009A2326" w:rsidRDefault="009A2326" w:rsidP="001F7576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lastRenderedPageBreak/>
        <w:drawing>
          <wp:inline distT="0" distB="0" distL="0" distR="0" wp14:anchorId="0056503C" wp14:editId="038C9322">
            <wp:extent cx="5938520" cy="3345815"/>
            <wp:effectExtent l="0" t="0" r="0" b="0"/>
            <wp:docPr id="416131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16D0B" w14:textId="5D04B247" w:rsidR="009A2326" w:rsidRDefault="009A2326" w:rsidP="009A2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Figure S3. (</w:t>
      </w:r>
      <w:r>
        <w:rPr>
          <w:rFonts w:ascii="Arial" w:eastAsia="Arial" w:hAnsi="Arial" w:cs="Arial"/>
          <w:b/>
        </w:rPr>
        <w:t xml:space="preserve">a) </w:t>
      </w:r>
      <w:r>
        <w:rPr>
          <w:rFonts w:ascii="Arial" w:eastAsia="Arial" w:hAnsi="Arial" w:cs="Arial"/>
          <w:b/>
          <w:color w:val="000000"/>
        </w:rPr>
        <w:t xml:space="preserve">Mean climatological summer temperature values for period 1980-2014 based on the CRU dataset. (b) </w:t>
      </w:r>
      <w:r w:rsidR="00625E13">
        <w:rPr>
          <w:rFonts w:ascii="Arial" w:eastAsia="Arial" w:hAnsi="Arial" w:cs="Arial"/>
          <w:b/>
        </w:rPr>
        <w:t>Mean climatological summer soil moisture values for period 1980-2014 based on the GLEAM dataset.</w:t>
      </w:r>
    </w:p>
    <w:p w14:paraId="3FECA276" w14:textId="77777777" w:rsidR="009A2326" w:rsidRDefault="009A232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5AE5BC" w14:textId="1BDD862F" w:rsidR="001F7576" w:rsidRDefault="00B751BF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1BF">
        <w:t xml:space="preserve"> </w:t>
      </w:r>
      <w:r w:rsidR="00053285">
        <w:rPr>
          <w:noProof/>
        </w:rPr>
        <w:drawing>
          <wp:inline distT="0" distB="0" distL="0" distR="0" wp14:anchorId="07751EE9" wp14:editId="1E840A72">
            <wp:extent cx="5943600" cy="2711450"/>
            <wp:effectExtent l="0" t="0" r="0" b="0"/>
            <wp:docPr id="44685829" name="Picture 4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5829" name="Picture 4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285">
        <w:rPr>
          <w:noProof/>
        </w:rPr>
        <w:t xml:space="preserve"> </w:t>
      </w:r>
    </w:p>
    <w:p w14:paraId="372C18DE" w14:textId="4595FFF3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Figure S</w:t>
      </w:r>
      <w:r w:rsidR="001E608E">
        <w:rPr>
          <w:rFonts w:ascii="Arial" w:eastAsia="Arial" w:hAnsi="Arial" w:cs="Arial"/>
          <w:b/>
          <w:color w:val="000000"/>
        </w:rPr>
        <w:t>4</w:t>
      </w:r>
      <w:r>
        <w:rPr>
          <w:rFonts w:ascii="Arial" w:eastAsia="Arial" w:hAnsi="Arial" w:cs="Arial"/>
          <w:b/>
          <w:color w:val="000000"/>
        </w:rPr>
        <w:t>. Temperature anomalies with respect to 1980-2014 for 2012 pre-industrial, factual</w:t>
      </w:r>
      <w:r w:rsidR="00B45353">
        <w:rPr>
          <w:rFonts w:ascii="Arial" w:eastAsia="Arial" w:hAnsi="Arial" w:cs="Arial"/>
          <w:b/>
          <w:color w:val="000000"/>
        </w:rPr>
        <w:t xml:space="preserve"> (CRU)</w:t>
      </w:r>
      <w:r>
        <w:rPr>
          <w:rFonts w:ascii="Arial" w:eastAsia="Arial" w:hAnsi="Arial" w:cs="Arial"/>
          <w:b/>
          <w:color w:val="000000"/>
        </w:rPr>
        <w:t xml:space="preserve"> and plus 2°C </w:t>
      </w:r>
      <w:r w:rsidR="00B45353">
        <w:rPr>
          <w:rFonts w:ascii="Arial" w:eastAsia="Arial" w:hAnsi="Arial" w:cs="Arial"/>
          <w:b/>
          <w:color w:val="000000"/>
        </w:rPr>
        <w:t>conditions</w:t>
      </w:r>
      <w:r>
        <w:rPr>
          <w:rFonts w:ascii="Arial" w:eastAsia="Arial" w:hAnsi="Arial" w:cs="Arial"/>
          <w:b/>
          <w:color w:val="000000"/>
        </w:rPr>
        <w:t>.</w:t>
      </w:r>
      <w:r w:rsidR="00B45353">
        <w:rPr>
          <w:rFonts w:ascii="Arial" w:eastAsia="Arial" w:hAnsi="Arial" w:cs="Arial"/>
          <w:b/>
          <w:color w:val="000000"/>
        </w:rPr>
        <w:t xml:space="preserve"> Pre-industrial and plus 2°C anomalies represent averages across possible delta-change ensembles.</w:t>
      </w:r>
    </w:p>
    <w:p w14:paraId="31C2BFA3" w14:textId="23AA67B5" w:rsidR="001F7576" w:rsidRDefault="00B751BF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1BF">
        <w:lastRenderedPageBreak/>
        <w:t xml:space="preserve"> </w:t>
      </w:r>
      <w:r w:rsidR="00010D74">
        <w:rPr>
          <w:noProof/>
        </w:rPr>
        <w:drawing>
          <wp:inline distT="0" distB="0" distL="0" distR="0" wp14:anchorId="76E51187" wp14:editId="4CDE6972">
            <wp:extent cx="5943600" cy="2727960"/>
            <wp:effectExtent l="0" t="0" r="0" b="0"/>
            <wp:docPr id="108701952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1952" name="Picture 1" descr="A map of the worl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D74">
        <w:rPr>
          <w:noProof/>
        </w:rPr>
        <w:t xml:space="preserve"> </w:t>
      </w:r>
    </w:p>
    <w:p w14:paraId="28AE65C0" w14:textId="77777777" w:rsidR="00B45353" w:rsidRDefault="001F7576" w:rsidP="00B45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Figure S</w:t>
      </w:r>
      <w:r w:rsidR="00515FFB">
        <w:rPr>
          <w:rFonts w:ascii="Arial" w:eastAsia="Arial" w:hAnsi="Arial" w:cs="Arial"/>
          <w:b/>
          <w:color w:val="000000"/>
        </w:rPr>
        <w:t>5</w:t>
      </w:r>
      <w:r>
        <w:rPr>
          <w:rFonts w:ascii="Arial" w:eastAsia="Arial" w:hAnsi="Arial" w:cs="Arial"/>
          <w:b/>
          <w:color w:val="000000"/>
        </w:rPr>
        <w:t>. Soil moisture anomalies with respect to 1980-2014 for 2012 pre-industrial, factual</w:t>
      </w:r>
      <w:r w:rsidR="00B45353">
        <w:rPr>
          <w:rFonts w:ascii="Arial" w:eastAsia="Arial" w:hAnsi="Arial" w:cs="Arial"/>
          <w:b/>
          <w:color w:val="000000"/>
        </w:rPr>
        <w:t xml:space="preserve"> (GLEAM)</w:t>
      </w:r>
      <w:r>
        <w:rPr>
          <w:rFonts w:ascii="Arial" w:eastAsia="Arial" w:hAnsi="Arial" w:cs="Arial"/>
          <w:b/>
          <w:color w:val="000000"/>
        </w:rPr>
        <w:t xml:space="preserve"> and plus 2°C </w:t>
      </w:r>
      <w:r w:rsidR="00B45353">
        <w:rPr>
          <w:rFonts w:ascii="Arial" w:eastAsia="Arial" w:hAnsi="Arial" w:cs="Arial"/>
          <w:b/>
          <w:color w:val="000000"/>
        </w:rPr>
        <w:t>conditions. Pre-industrial and plus 2°C anomalies represent averages across possible delta-change ensembles.</w:t>
      </w:r>
    </w:p>
    <w:p w14:paraId="4BC5D771" w14:textId="77777777" w:rsidR="00B45353" w:rsidRDefault="00B45353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88155D" w14:textId="01BEA1D6" w:rsidR="001F7576" w:rsidRDefault="00B751BF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1BF">
        <w:t xml:space="preserve"> </w:t>
      </w:r>
      <w:r w:rsidR="003D0BE8">
        <w:rPr>
          <w:noProof/>
        </w:rPr>
        <w:drawing>
          <wp:inline distT="0" distB="0" distL="0" distR="0" wp14:anchorId="4AFACC5E" wp14:editId="5B1A9341">
            <wp:extent cx="5943600" cy="2806700"/>
            <wp:effectExtent l="0" t="0" r="0" b="0"/>
            <wp:docPr id="1800698791" name="Picture 5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98791" name="Picture 5" descr="A map of the wor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BE8">
        <w:rPr>
          <w:noProof/>
        </w:rPr>
        <w:t xml:space="preserve"> </w:t>
      </w:r>
    </w:p>
    <w:p w14:paraId="3DA88633" w14:textId="247578AE" w:rsidR="001F7576" w:rsidRDefault="001F7576" w:rsidP="001F7576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Figure S</w:t>
      </w:r>
      <w:r w:rsidR="001C406B">
        <w:rPr>
          <w:rFonts w:ascii="Arial" w:eastAsia="Arial" w:hAnsi="Arial" w:cs="Arial"/>
          <w:b/>
          <w:color w:val="000000"/>
        </w:rPr>
        <w:t>6</w:t>
      </w:r>
      <w:r>
        <w:rPr>
          <w:rFonts w:ascii="Arial" w:eastAsia="Arial" w:hAnsi="Arial" w:cs="Arial"/>
          <w:b/>
          <w:color w:val="000000"/>
        </w:rPr>
        <w:t>. Yield anomalies with respect to 1980-2014 for 2012 pre-industrial, factual</w:t>
      </w:r>
      <w:r w:rsidR="00B45353">
        <w:rPr>
          <w:rFonts w:ascii="Arial" w:eastAsia="Arial" w:hAnsi="Arial" w:cs="Arial"/>
          <w:b/>
          <w:color w:val="000000"/>
        </w:rPr>
        <w:t xml:space="preserve"> (CRU and GLEAM)</w:t>
      </w:r>
      <w:r>
        <w:rPr>
          <w:rFonts w:ascii="Arial" w:eastAsia="Arial" w:hAnsi="Arial" w:cs="Arial"/>
          <w:b/>
          <w:color w:val="000000"/>
        </w:rPr>
        <w:t xml:space="preserve"> and plus 2°C </w:t>
      </w:r>
      <w:r w:rsidR="00B779B1">
        <w:rPr>
          <w:rFonts w:ascii="Arial" w:eastAsia="Arial" w:hAnsi="Arial" w:cs="Arial"/>
          <w:b/>
          <w:color w:val="000000"/>
        </w:rPr>
        <w:t>conditions. Pre-industrial and plus 2°C anomalies represent averages across possible delta-change ensembles.</w:t>
      </w:r>
    </w:p>
    <w:p w14:paraId="05311E35" w14:textId="77777777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09C43" w14:textId="1483231E" w:rsidR="001F7576" w:rsidRDefault="003D0BE8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0A5E8A" wp14:editId="73212F25">
            <wp:extent cx="5943600" cy="4112260"/>
            <wp:effectExtent l="0" t="0" r="0" b="2540"/>
            <wp:docPr id="1810822616" name="Picture 6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22616" name="Picture 6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</w:rPr>
        <w:t xml:space="preserve"> </w:t>
      </w:r>
    </w:p>
    <w:p w14:paraId="3D579B58" w14:textId="4F6FD26B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Figure S</w:t>
      </w:r>
      <w:r w:rsidR="006567A6">
        <w:rPr>
          <w:rFonts w:ascii="Arial" w:eastAsia="Arial" w:hAnsi="Arial" w:cs="Arial"/>
          <w:b/>
          <w:color w:val="000000"/>
        </w:rPr>
        <w:t>7</w:t>
      </w:r>
      <w:r>
        <w:rPr>
          <w:rFonts w:ascii="Arial" w:eastAsia="Arial" w:hAnsi="Arial" w:cs="Arial"/>
          <w:b/>
          <w:color w:val="000000"/>
        </w:rPr>
        <w:t>. Grid-cell correlation between GLEAM/CRU and ECHAM_SN detrended datasets for period 1980-2014. Significant county scale correlations are highlighted by a black contour.</w:t>
      </w:r>
    </w:p>
    <w:p w14:paraId="64EF531C" w14:textId="77777777" w:rsidR="001F7576" w:rsidRDefault="001F7576" w:rsidP="001F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1FC485" w14:textId="77777777" w:rsidR="00791045" w:rsidRDefault="00791045"/>
    <w:sectPr w:rsidR="00791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OxtLQwMDa0tDQzMbBQ0lEKTi0uzszPAykwqQUAy+IVCywAAAA="/>
  </w:docVars>
  <w:rsids>
    <w:rsidRoot w:val="001F7576"/>
    <w:rsid w:val="00010D74"/>
    <w:rsid w:val="000237E7"/>
    <w:rsid w:val="00053285"/>
    <w:rsid w:val="001C406B"/>
    <w:rsid w:val="001E608E"/>
    <w:rsid w:val="001F7576"/>
    <w:rsid w:val="002A32F9"/>
    <w:rsid w:val="00320C77"/>
    <w:rsid w:val="003B75E6"/>
    <w:rsid w:val="003D0BE8"/>
    <w:rsid w:val="00515FFB"/>
    <w:rsid w:val="005308C3"/>
    <w:rsid w:val="005F10A5"/>
    <w:rsid w:val="00625E13"/>
    <w:rsid w:val="00643646"/>
    <w:rsid w:val="006567A6"/>
    <w:rsid w:val="006655D3"/>
    <w:rsid w:val="00724DA9"/>
    <w:rsid w:val="00791045"/>
    <w:rsid w:val="0082417B"/>
    <w:rsid w:val="008A1910"/>
    <w:rsid w:val="00992CB3"/>
    <w:rsid w:val="009A2326"/>
    <w:rsid w:val="00B36231"/>
    <w:rsid w:val="00B45353"/>
    <w:rsid w:val="00B751BF"/>
    <w:rsid w:val="00B779B1"/>
    <w:rsid w:val="00CD1AD4"/>
    <w:rsid w:val="00D03F77"/>
    <w:rsid w:val="00D83C6A"/>
    <w:rsid w:val="00D902C0"/>
    <w:rsid w:val="00D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34D6"/>
  <w15:chartTrackingRefBased/>
  <w15:docId w15:val="{84D6E308-CB1E-4A07-A9A7-C2D939E4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576"/>
    <w:rPr>
      <w:rFonts w:ascii="Calibri" w:eastAsia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45353"/>
    <w:pPr>
      <w:spacing w:after="0" w:line="240" w:lineRule="auto"/>
    </w:pPr>
    <w:rPr>
      <w:rFonts w:ascii="Calibri" w:eastAsia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0951A-4B08-4C46-BDE0-0FBB86B0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Hamed, R. (Raed)</dc:creator>
  <cp:keywords/>
  <dc:description/>
  <cp:lastModifiedBy>Hamed, R. (Raed)</cp:lastModifiedBy>
  <cp:revision>10</cp:revision>
  <dcterms:created xsi:type="dcterms:W3CDTF">2023-12-08T09:30:00Z</dcterms:created>
  <dcterms:modified xsi:type="dcterms:W3CDTF">2024-01-04T14:44:00Z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http://www.zotero.org/styles/earth-system-dynamics</vt:lpwstr>
  </property>
  <property fmtid="{D5CDD505-2E9C-101B-9397-08002B2CF9AE}" pid="11" name="Mendeley Recent Style Name 4_1">
    <vt:lpwstr>Earth System Dynamics</vt:lpwstr>
  </property>
  <property fmtid="{D5CDD505-2E9C-101B-9397-08002B2CF9AE}" pid="12" name="Mendeley Recent Style Id 5_1">
    <vt:lpwstr>http://www.zotero.org/styles/environmental-research-letters</vt:lpwstr>
  </property>
  <property fmtid="{D5CDD505-2E9C-101B-9397-08002B2CF9AE}" pid="13" name="Mendeley Recent Style Name 5_1">
    <vt:lpwstr>Environmental Research Letters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