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94A35" w14:textId="6065F5CD" w:rsidR="00713B0E" w:rsidRPr="00713B0E" w:rsidRDefault="00713B0E">
      <w:pPr>
        <w:rPr>
          <w:rFonts w:cstheme="minorHAnsi"/>
          <w:b/>
          <w:bCs/>
          <w:sz w:val="24"/>
          <w:szCs w:val="24"/>
        </w:rPr>
      </w:pPr>
      <w:r w:rsidRPr="00713B0E">
        <w:rPr>
          <w:rFonts w:cstheme="minorHAnsi"/>
          <w:b/>
          <w:bCs/>
          <w:color w:val="333333"/>
          <w:sz w:val="24"/>
          <w:szCs w:val="24"/>
          <w:shd w:val="clear" w:color="auto" w:fill="FFFFFF"/>
        </w:rPr>
        <w:t>World Health Organization Trial Registration Data Set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C70822" w14:paraId="2A14A164" w14:textId="77777777" w:rsidTr="00713B0E">
        <w:tc>
          <w:tcPr>
            <w:tcW w:w="2689" w:type="dxa"/>
            <w:vAlign w:val="center"/>
          </w:tcPr>
          <w:p w14:paraId="79AA48D8" w14:textId="5DCBB38D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Primary registry and trial identifying number</w:t>
            </w:r>
          </w:p>
        </w:tc>
        <w:tc>
          <w:tcPr>
            <w:tcW w:w="6373" w:type="dxa"/>
            <w:vAlign w:val="center"/>
          </w:tcPr>
          <w:p w14:paraId="14B976F0" w14:textId="32C26FDA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Clinicaltrials.gov, </w:t>
            </w:r>
            <w:r w:rsidRPr="00180805">
              <w:rPr>
                <w:rFonts w:cstheme="minorHAnsi"/>
                <w:color w:val="1B1B1B"/>
                <w:shd w:val="clear" w:color="auto" w:fill="FFFFFF"/>
              </w:rPr>
              <w:t>NCT06068322</w:t>
            </w:r>
          </w:p>
        </w:tc>
      </w:tr>
      <w:tr w:rsidR="00C70822" w14:paraId="0FD619E9" w14:textId="77777777" w:rsidTr="00713B0E">
        <w:tc>
          <w:tcPr>
            <w:tcW w:w="2689" w:type="dxa"/>
            <w:vAlign w:val="center"/>
          </w:tcPr>
          <w:p w14:paraId="748048C0" w14:textId="4ED3F461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Date of registration in primary registry</w:t>
            </w:r>
          </w:p>
        </w:tc>
        <w:tc>
          <w:tcPr>
            <w:tcW w:w="6373" w:type="dxa"/>
            <w:vAlign w:val="center"/>
          </w:tcPr>
          <w:p w14:paraId="7873DC44" w14:textId="50B4D0CD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2023-09-28</w:t>
            </w:r>
          </w:p>
        </w:tc>
      </w:tr>
      <w:tr w:rsidR="00C70822" w14:paraId="0982EDEA" w14:textId="77777777" w:rsidTr="00713B0E">
        <w:tc>
          <w:tcPr>
            <w:tcW w:w="2689" w:type="dxa"/>
            <w:vAlign w:val="center"/>
          </w:tcPr>
          <w:p w14:paraId="23ACC734" w14:textId="78B4A065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Secondary identifying numbers</w:t>
            </w:r>
          </w:p>
        </w:tc>
        <w:tc>
          <w:tcPr>
            <w:tcW w:w="6373" w:type="dxa"/>
            <w:vAlign w:val="center"/>
          </w:tcPr>
          <w:p w14:paraId="3662DB46" w14:textId="1E9E7439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Swedish Ethical Review Authority (#2023-00747-01 and 2023-00747-02)</w:t>
            </w:r>
            <w:r w:rsidRPr="00180805">
              <w:rPr>
                <w:rFonts w:cstheme="minorHAnsi"/>
              </w:rPr>
              <w:t xml:space="preserve">, </w:t>
            </w:r>
            <w:r w:rsidRPr="00180805">
              <w:rPr>
                <w:rFonts w:cstheme="minorHAnsi"/>
              </w:rPr>
              <w:t>Committee for Medical Ethics of Hasselt University (Hasselt, Belgium) (#B3712023000012).</w:t>
            </w:r>
            <w:r w:rsidRPr="00180805">
              <w:rPr>
                <w:rFonts w:cstheme="minorHAnsi"/>
              </w:rPr>
              <w:t xml:space="preserve"> </w:t>
            </w:r>
          </w:p>
        </w:tc>
      </w:tr>
      <w:tr w:rsidR="00C70822" w14:paraId="20E897B5" w14:textId="77777777" w:rsidTr="00713B0E">
        <w:tc>
          <w:tcPr>
            <w:tcW w:w="2689" w:type="dxa"/>
            <w:vAlign w:val="center"/>
          </w:tcPr>
          <w:p w14:paraId="7EEDE98B" w14:textId="028BB9A2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Sources of monetary or material support</w:t>
            </w:r>
          </w:p>
        </w:tc>
        <w:tc>
          <w:tcPr>
            <w:tcW w:w="6373" w:type="dxa"/>
            <w:vAlign w:val="center"/>
          </w:tcPr>
          <w:p w14:paraId="08257AE7" w14:textId="62100850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The Swedish Research Council (Grant number: 2020-01296), The Swedish Heart and Lung Foundation (Grant number: 20210146, 20230341), The European Research Council (Grant number: 101078602), Strategic Research Area – Health Care Science and Special Research Fund Hasselt University</w:t>
            </w:r>
            <w:r w:rsidRPr="00180805">
              <w:rPr>
                <w:rFonts w:cstheme="minorHAnsi"/>
              </w:rPr>
              <w:t xml:space="preserve"> </w:t>
            </w:r>
            <w:r w:rsidRPr="00180805">
              <w:rPr>
                <w:rFonts w:cstheme="minorHAnsi"/>
              </w:rPr>
              <w:t>(Grant number: BOF23DOC49).</w:t>
            </w:r>
          </w:p>
        </w:tc>
      </w:tr>
      <w:tr w:rsidR="00C70822" w14:paraId="201D74F2" w14:textId="77777777" w:rsidTr="00713B0E">
        <w:tc>
          <w:tcPr>
            <w:tcW w:w="2689" w:type="dxa"/>
            <w:vAlign w:val="center"/>
          </w:tcPr>
          <w:p w14:paraId="1610BF8A" w14:textId="3C44C298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Primary sponsor</w:t>
            </w:r>
          </w:p>
        </w:tc>
        <w:tc>
          <w:tcPr>
            <w:tcW w:w="6373" w:type="dxa"/>
            <w:vAlign w:val="center"/>
          </w:tcPr>
          <w:p w14:paraId="1B90E13C" w14:textId="6550B563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Umeå University</w:t>
            </w:r>
          </w:p>
        </w:tc>
      </w:tr>
      <w:tr w:rsidR="00C70822" w14:paraId="4620F503" w14:textId="77777777" w:rsidTr="00713B0E">
        <w:tc>
          <w:tcPr>
            <w:tcW w:w="2689" w:type="dxa"/>
            <w:vAlign w:val="center"/>
          </w:tcPr>
          <w:p w14:paraId="251C1998" w14:textId="1D51CB94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Secondary sponsor</w:t>
            </w:r>
          </w:p>
        </w:tc>
        <w:tc>
          <w:tcPr>
            <w:tcW w:w="6373" w:type="dxa"/>
            <w:vAlign w:val="center"/>
          </w:tcPr>
          <w:p w14:paraId="420EA01B" w14:textId="39E48AB6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N/A</w:t>
            </w:r>
          </w:p>
        </w:tc>
      </w:tr>
      <w:tr w:rsidR="00C70822" w14:paraId="14E07AE8" w14:textId="77777777" w:rsidTr="00713B0E">
        <w:tc>
          <w:tcPr>
            <w:tcW w:w="2689" w:type="dxa"/>
            <w:vAlign w:val="center"/>
          </w:tcPr>
          <w:p w14:paraId="79645FAF" w14:textId="72919F7D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 xml:space="preserve">Contact for public queries </w:t>
            </w:r>
          </w:p>
        </w:tc>
        <w:tc>
          <w:tcPr>
            <w:tcW w:w="6373" w:type="dxa"/>
            <w:vAlign w:val="center"/>
          </w:tcPr>
          <w:p w14:paraId="216ED176" w14:textId="77777777" w:rsidR="00C70822" w:rsidRPr="00180805" w:rsidRDefault="00C70822" w:rsidP="00713B0E">
            <w:pPr>
              <w:spacing w:after="0" w:line="240" w:lineRule="auto"/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Assoc. Prof. Andre Nyberg, Principal Investigator </w:t>
            </w:r>
          </w:p>
          <w:p w14:paraId="33664D79" w14:textId="77777777" w:rsidR="00C70822" w:rsidRPr="00180805" w:rsidRDefault="00C70822" w:rsidP="00713B0E">
            <w:pPr>
              <w:spacing w:after="0" w:line="240" w:lineRule="auto"/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andre.nyberg@umu.se, +46 90 786 66 39  </w:t>
            </w:r>
          </w:p>
          <w:p w14:paraId="1AB7B67C" w14:textId="76B6D7DF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Section of Physiotherapy, Department of Community Medicine and Rehabilitation, Umeå University, Johan Bures </w:t>
            </w:r>
            <w:proofErr w:type="spellStart"/>
            <w:r w:rsidRPr="00180805">
              <w:rPr>
                <w:rFonts w:cstheme="minorHAnsi"/>
              </w:rPr>
              <w:t>väg</w:t>
            </w:r>
            <w:proofErr w:type="spellEnd"/>
            <w:r w:rsidRPr="00180805">
              <w:rPr>
                <w:rFonts w:cstheme="minorHAnsi"/>
              </w:rPr>
              <w:t xml:space="preserve"> 12, 901 87 Umeå</w:t>
            </w:r>
          </w:p>
        </w:tc>
      </w:tr>
      <w:tr w:rsidR="00C70822" w14:paraId="582F235F" w14:textId="77777777" w:rsidTr="00713B0E">
        <w:tc>
          <w:tcPr>
            <w:tcW w:w="2689" w:type="dxa"/>
            <w:vAlign w:val="center"/>
          </w:tcPr>
          <w:p w14:paraId="02D7D12E" w14:textId="06A6DBC5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Contact for scientific queries</w:t>
            </w:r>
          </w:p>
        </w:tc>
        <w:tc>
          <w:tcPr>
            <w:tcW w:w="6373" w:type="dxa"/>
            <w:vAlign w:val="center"/>
          </w:tcPr>
          <w:p w14:paraId="62C44075" w14:textId="77777777" w:rsidR="00C70822" w:rsidRPr="00180805" w:rsidRDefault="00C70822" w:rsidP="00713B0E">
            <w:pPr>
              <w:spacing w:after="0" w:line="240" w:lineRule="auto"/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Assoc. Prof. Andre Nyberg, Principal Investigator </w:t>
            </w:r>
          </w:p>
          <w:p w14:paraId="1DE9BA06" w14:textId="77777777" w:rsidR="00C70822" w:rsidRPr="00180805" w:rsidRDefault="00C70822" w:rsidP="00713B0E">
            <w:pPr>
              <w:spacing w:after="0" w:line="240" w:lineRule="auto"/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andre.nyberg@umu.se, +46 90 786 66 39  </w:t>
            </w:r>
          </w:p>
          <w:p w14:paraId="2C807C59" w14:textId="2A9232C6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Section of Physiotherapy, Department of Community Medicine and Rehabilitation, Umeå University, Johan Bures </w:t>
            </w:r>
            <w:proofErr w:type="spellStart"/>
            <w:r w:rsidRPr="00180805">
              <w:rPr>
                <w:rFonts w:cstheme="minorHAnsi"/>
              </w:rPr>
              <w:t>väg</w:t>
            </w:r>
            <w:proofErr w:type="spellEnd"/>
            <w:r w:rsidRPr="00180805">
              <w:rPr>
                <w:rFonts w:cstheme="minorHAnsi"/>
              </w:rPr>
              <w:t xml:space="preserve"> 12, 901 87 Umeå</w:t>
            </w:r>
          </w:p>
        </w:tc>
      </w:tr>
      <w:tr w:rsidR="00C70822" w14:paraId="192511C8" w14:textId="77777777" w:rsidTr="00713B0E">
        <w:tc>
          <w:tcPr>
            <w:tcW w:w="2689" w:type="dxa"/>
            <w:vAlign w:val="center"/>
          </w:tcPr>
          <w:p w14:paraId="236CD778" w14:textId="1362B0E2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Public title</w:t>
            </w:r>
          </w:p>
        </w:tc>
        <w:tc>
          <w:tcPr>
            <w:tcW w:w="6373" w:type="dxa"/>
            <w:vAlign w:val="center"/>
          </w:tcPr>
          <w:p w14:paraId="2192D5E9" w14:textId="483223F4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Effects of high-intensity interval training in chronic obstructive pulmonary disease </w:t>
            </w:r>
          </w:p>
        </w:tc>
      </w:tr>
      <w:tr w:rsidR="00C70822" w14:paraId="2AFD71B2" w14:textId="77777777" w:rsidTr="00713B0E">
        <w:tc>
          <w:tcPr>
            <w:tcW w:w="2689" w:type="dxa"/>
            <w:vAlign w:val="center"/>
          </w:tcPr>
          <w:p w14:paraId="3E27D9BB" w14:textId="58020C3F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Scientific title</w:t>
            </w:r>
          </w:p>
        </w:tc>
        <w:tc>
          <w:tcPr>
            <w:tcW w:w="6373" w:type="dxa"/>
            <w:vAlign w:val="center"/>
          </w:tcPr>
          <w:p w14:paraId="19D8BDFE" w14:textId="469A1CE9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Effects and mechanisms of supramaximal High-Intensity Interval Training on extrapulmonary manifestations in people with and without Chronic Obstructive Pulmonary Disease (COPD-HIIT)</w:t>
            </w:r>
          </w:p>
        </w:tc>
      </w:tr>
      <w:tr w:rsidR="00C70822" w14:paraId="260308BC" w14:textId="77777777" w:rsidTr="00713B0E">
        <w:tc>
          <w:tcPr>
            <w:tcW w:w="2689" w:type="dxa"/>
            <w:vAlign w:val="center"/>
          </w:tcPr>
          <w:p w14:paraId="57FF8AE3" w14:textId="075B50BE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Countries of recruitment</w:t>
            </w:r>
          </w:p>
        </w:tc>
        <w:tc>
          <w:tcPr>
            <w:tcW w:w="6373" w:type="dxa"/>
            <w:vAlign w:val="center"/>
          </w:tcPr>
          <w:p w14:paraId="017FFC69" w14:textId="4833F1A8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Sweden, Belgium</w:t>
            </w:r>
          </w:p>
        </w:tc>
      </w:tr>
      <w:tr w:rsidR="00C70822" w14:paraId="03C16D4E" w14:textId="77777777" w:rsidTr="00713B0E">
        <w:tc>
          <w:tcPr>
            <w:tcW w:w="2689" w:type="dxa"/>
            <w:vAlign w:val="center"/>
          </w:tcPr>
          <w:p w14:paraId="5D72DDCD" w14:textId="29235CE4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Health conditions or problems studied</w:t>
            </w:r>
          </w:p>
        </w:tc>
        <w:tc>
          <w:tcPr>
            <w:tcW w:w="6373" w:type="dxa"/>
            <w:vAlign w:val="center"/>
          </w:tcPr>
          <w:p w14:paraId="1AB3EE15" w14:textId="67C45F34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Chronic obstructive pulmonary disease and healthy human volunteers</w:t>
            </w:r>
          </w:p>
        </w:tc>
      </w:tr>
      <w:tr w:rsidR="00C70822" w14:paraId="172420D8" w14:textId="77777777" w:rsidTr="00713B0E">
        <w:tc>
          <w:tcPr>
            <w:tcW w:w="2689" w:type="dxa"/>
            <w:vMerge w:val="restart"/>
            <w:vAlign w:val="center"/>
          </w:tcPr>
          <w:p w14:paraId="2E8AFC5D" w14:textId="18B5CDCA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Interventions</w:t>
            </w:r>
          </w:p>
        </w:tc>
        <w:tc>
          <w:tcPr>
            <w:tcW w:w="6373" w:type="dxa"/>
            <w:vAlign w:val="center"/>
          </w:tcPr>
          <w:p w14:paraId="25004A03" w14:textId="6222C74D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Experimental arm: Supramaximal high-intensity interval training </w:t>
            </w:r>
          </w:p>
        </w:tc>
      </w:tr>
      <w:tr w:rsidR="00C70822" w14:paraId="78AB3020" w14:textId="77777777" w:rsidTr="00713B0E">
        <w:tc>
          <w:tcPr>
            <w:tcW w:w="2689" w:type="dxa"/>
            <w:vMerge/>
            <w:vAlign w:val="center"/>
          </w:tcPr>
          <w:p w14:paraId="600CCA72" w14:textId="77777777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65BF584B" w14:textId="7EAA1116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Active comparator: Moderate-intensity continuous training </w:t>
            </w:r>
          </w:p>
        </w:tc>
      </w:tr>
      <w:tr w:rsidR="00C70822" w14:paraId="7AE8C051" w14:textId="77777777" w:rsidTr="00713B0E">
        <w:tc>
          <w:tcPr>
            <w:tcW w:w="2689" w:type="dxa"/>
            <w:vMerge/>
            <w:vAlign w:val="center"/>
          </w:tcPr>
          <w:p w14:paraId="5A6237A1" w14:textId="77777777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04FD0D02" w14:textId="23E16FDE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Passive comparator: Usual care (Chronic obstructive pulmonary disease)</w:t>
            </w:r>
          </w:p>
        </w:tc>
      </w:tr>
      <w:tr w:rsidR="00C70822" w14:paraId="5C9A1CBF" w14:textId="77777777" w:rsidTr="00713B0E">
        <w:tc>
          <w:tcPr>
            <w:tcW w:w="2689" w:type="dxa"/>
            <w:vMerge w:val="restart"/>
            <w:vAlign w:val="center"/>
          </w:tcPr>
          <w:p w14:paraId="4E26E547" w14:textId="703B3037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Key inclusion and exclusion criteria</w:t>
            </w:r>
          </w:p>
        </w:tc>
        <w:tc>
          <w:tcPr>
            <w:tcW w:w="6373" w:type="dxa"/>
            <w:vAlign w:val="center"/>
          </w:tcPr>
          <w:p w14:paraId="37485302" w14:textId="77777777" w:rsidR="00C70822" w:rsidRPr="00180805" w:rsidRDefault="00C70822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Eligible age: 60 years and older </w:t>
            </w:r>
          </w:p>
          <w:p w14:paraId="4536A664" w14:textId="23AC9C7A" w:rsidR="00C70822" w:rsidRPr="00180805" w:rsidRDefault="00C70822" w:rsidP="00713B0E">
            <w:pPr>
              <w:rPr>
                <w:rFonts w:cstheme="minorHAnsi"/>
                <w:b/>
              </w:rPr>
            </w:pPr>
            <w:r w:rsidRPr="00180805">
              <w:rPr>
                <w:rFonts w:cstheme="minorHAnsi"/>
              </w:rPr>
              <w:t>Eligible sex:</w:t>
            </w:r>
            <w:r w:rsidRPr="00180805">
              <w:rPr>
                <w:rFonts w:cstheme="minorHAnsi"/>
                <w:b/>
              </w:rPr>
              <w:t xml:space="preserve"> </w:t>
            </w:r>
            <w:r w:rsidRPr="00180805">
              <w:rPr>
                <w:rFonts w:cstheme="minorHAnsi"/>
              </w:rPr>
              <w:t xml:space="preserve">Male or female </w:t>
            </w:r>
          </w:p>
        </w:tc>
      </w:tr>
      <w:tr w:rsidR="00C70822" w14:paraId="1E5F845E" w14:textId="77777777" w:rsidTr="00713B0E">
        <w:tc>
          <w:tcPr>
            <w:tcW w:w="2689" w:type="dxa"/>
            <w:vMerge/>
            <w:vAlign w:val="center"/>
          </w:tcPr>
          <w:p w14:paraId="1F4DC419" w14:textId="77777777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14CBAF90" w14:textId="77777777" w:rsidR="00C70822" w:rsidRPr="00180805" w:rsidRDefault="00C70822" w:rsidP="00180805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Inclusion criteria: </w:t>
            </w:r>
          </w:p>
          <w:p w14:paraId="1E0065DD" w14:textId="77777777" w:rsidR="00180805" w:rsidRPr="00180805" w:rsidRDefault="00037E2F" w:rsidP="00180805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Independent in activities of daily living</w:t>
            </w:r>
          </w:p>
          <w:p w14:paraId="5BEF52C9" w14:textId="002EC9CD" w:rsidR="00C70822" w:rsidRPr="00180805" w:rsidRDefault="00C70822" w:rsidP="00180805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For people with COPD: Spirometry confirmed COPD diagnosis (FEV1/FVC &lt; 0.70)</w:t>
            </w:r>
          </w:p>
          <w:p w14:paraId="0568BE77" w14:textId="45250E6F" w:rsidR="00C70822" w:rsidRPr="00180805" w:rsidRDefault="00037E2F" w:rsidP="00180805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Healthy controls: Normal lung function</w:t>
            </w:r>
          </w:p>
        </w:tc>
      </w:tr>
      <w:tr w:rsidR="00C70822" w14:paraId="69943127" w14:textId="77777777" w:rsidTr="00713B0E">
        <w:tc>
          <w:tcPr>
            <w:tcW w:w="2689" w:type="dxa"/>
            <w:vMerge/>
            <w:vAlign w:val="center"/>
          </w:tcPr>
          <w:p w14:paraId="5165D946" w14:textId="77777777" w:rsidR="00C70822" w:rsidRPr="00180805" w:rsidRDefault="00C70822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7C66A6C2" w14:textId="77777777" w:rsidR="00C70822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Exclusion criteria:</w:t>
            </w:r>
          </w:p>
          <w:p w14:paraId="59373031" w14:textId="77777777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C</w:t>
            </w:r>
            <w:r w:rsidRPr="00180805">
              <w:rPr>
                <w:rFonts w:cstheme="minorHAnsi"/>
              </w:rPr>
              <w:t>onditions and diseases that are unstable and/or prohibits exercise or tests, based on screening by a physician</w:t>
            </w:r>
            <w:r w:rsidRPr="00180805">
              <w:rPr>
                <w:rFonts w:cstheme="minorHAnsi"/>
              </w:rPr>
              <w:t>.</w:t>
            </w:r>
          </w:p>
          <w:p w14:paraId="3950CAE4" w14:textId="77777777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Other lung conditions.</w:t>
            </w:r>
          </w:p>
          <w:p w14:paraId="4B4D2513" w14:textId="1E5E8C18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Medical conditions and treatments with known effects on brain function and cognition</w:t>
            </w:r>
          </w:p>
        </w:tc>
      </w:tr>
      <w:tr w:rsidR="00037E2F" w14:paraId="4DF4729B" w14:textId="77777777" w:rsidTr="00713B0E">
        <w:tc>
          <w:tcPr>
            <w:tcW w:w="2689" w:type="dxa"/>
            <w:vMerge w:val="restart"/>
            <w:vAlign w:val="center"/>
          </w:tcPr>
          <w:p w14:paraId="752E8A8B" w14:textId="1944509A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Study type</w:t>
            </w:r>
          </w:p>
        </w:tc>
        <w:tc>
          <w:tcPr>
            <w:tcW w:w="6373" w:type="dxa"/>
            <w:vAlign w:val="center"/>
          </w:tcPr>
          <w:p w14:paraId="1585ED7C" w14:textId="74AA8F06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Interventional</w:t>
            </w:r>
          </w:p>
        </w:tc>
      </w:tr>
      <w:tr w:rsidR="00037E2F" w14:paraId="618D4172" w14:textId="77777777" w:rsidTr="00713B0E">
        <w:tc>
          <w:tcPr>
            <w:tcW w:w="2689" w:type="dxa"/>
            <w:vMerge/>
            <w:vAlign w:val="center"/>
          </w:tcPr>
          <w:p w14:paraId="35DD85DE" w14:textId="77777777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0E655C29" w14:textId="7E6A49BB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Allocation: Randomized intervention</w:t>
            </w:r>
          </w:p>
        </w:tc>
      </w:tr>
      <w:tr w:rsidR="00037E2F" w14:paraId="6906918C" w14:textId="77777777" w:rsidTr="00713B0E">
        <w:tc>
          <w:tcPr>
            <w:tcW w:w="2689" w:type="dxa"/>
            <w:vMerge/>
            <w:vAlign w:val="center"/>
          </w:tcPr>
          <w:p w14:paraId="0314A73B" w14:textId="77777777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4A603CBA" w14:textId="4A298C39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Masking: Assessors and data analyst</w:t>
            </w:r>
          </w:p>
        </w:tc>
      </w:tr>
      <w:tr w:rsidR="00037E2F" w14:paraId="31CE9BEF" w14:textId="77777777" w:rsidTr="00713B0E">
        <w:tc>
          <w:tcPr>
            <w:tcW w:w="2689" w:type="dxa"/>
            <w:vMerge/>
            <w:vAlign w:val="center"/>
          </w:tcPr>
          <w:p w14:paraId="3C0AA0DE" w14:textId="77777777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7ECA4BE5" w14:textId="4CA176BB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Assignment: Parallel</w:t>
            </w:r>
          </w:p>
        </w:tc>
      </w:tr>
      <w:tr w:rsidR="00037E2F" w14:paraId="59729EB0" w14:textId="77777777" w:rsidTr="00713B0E">
        <w:tc>
          <w:tcPr>
            <w:tcW w:w="2689" w:type="dxa"/>
            <w:vMerge/>
            <w:vAlign w:val="center"/>
          </w:tcPr>
          <w:p w14:paraId="5E40F085" w14:textId="77777777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373" w:type="dxa"/>
            <w:vAlign w:val="center"/>
          </w:tcPr>
          <w:p w14:paraId="7C581034" w14:textId="0CBF24F5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Purpose: Treatment (improve outcomes) </w:t>
            </w:r>
          </w:p>
        </w:tc>
      </w:tr>
      <w:tr w:rsidR="00C70822" w14:paraId="1FF276B2" w14:textId="77777777" w:rsidTr="00713B0E">
        <w:tc>
          <w:tcPr>
            <w:tcW w:w="2689" w:type="dxa"/>
            <w:vAlign w:val="center"/>
          </w:tcPr>
          <w:p w14:paraId="1D3EB343" w14:textId="189B6BDA" w:rsidR="00C70822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Date of first enrolment:</w:t>
            </w:r>
          </w:p>
        </w:tc>
        <w:tc>
          <w:tcPr>
            <w:tcW w:w="6373" w:type="dxa"/>
            <w:vAlign w:val="center"/>
          </w:tcPr>
          <w:p w14:paraId="096FC558" w14:textId="679BA748" w:rsidR="00C70822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2023-11-09</w:t>
            </w:r>
          </w:p>
        </w:tc>
      </w:tr>
      <w:tr w:rsidR="00C70822" w14:paraId="15C9F7EA" w14:textId="77777777" w:rsidTr="00713B0E">
        <w:tc>
          <w:tcPr>
            <w:tcW w:w="2689" w:type="dxa"/>
            <w:vAlign w:val="center"/>
          </w:tcPr>
          <w:p w14:paraId="33C04735" w14:textId="715D6236" w:rsidR="00C70822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Target sample size</w:t>
            </w:r>
          </w:p>
        </w:tc>
        <w:tc>
          <w:tcPr>
            <w:tcW w:w="6373" w:type="dxa"/>
            <w:vAlign w:val="center"/>
          </w:tcPr>
          <w:p w14:paraId="72788D19" w14:textId="0AAB3C00" w:rsidR="00C70822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92 with COPD (active intervention), 46 with COPD (usual care), 70 healthy controls (active interventions)</w:t>
            </w:r>
          </w:p>
        </w:tc>
      </w:tr>
      <w:tr w:rsidR="00037E2F" w14:paraId="7E13B81C" w14:textId="77777777" w:rsidTr="00713B0E">
        <w:tc>
          <w:tcPr>
            <w:tcW w:w="2689" w:type="dxa"/>
            <w:vAlign w:val="center"/>
          </w:tcPr>
          <w:p w14:paraId="473F3359" w14:textId="7D5D170E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Recruitment status</w:t>
            </w:r>
          </w:p>
        </w:tc>
        <w:tc>
          <w:tcPr>
            <w:tcW w:w="6373" w:type="dxa"/>
            <w:vAlign w:val="center"/>
          </w:tcPr>
          <w:p w14:paraId="5EA1BE70" w14:textId="01157B3E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Recruiting</w:t>
            </w:r>
          </w:p>
        </w:tc>
      </w:tr>
      <w:tr w:rsidR="00037E2F" w14:paraId="31C31AEE" w14:textId="77777777" w:rsidTr="00713B0E">
        <w:tc>
          <w:tcPr>
            <w:tcW w:w="2689" w:type="dxa"/>
            <w:vAlign w:val="center"/>
          </w:tcPr>
          <w:p w14:paraId="1184E828" w14:textId="644B6EF8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 xml:space="preserve">Primary outcomes </w:t>
            </w:r>
          </w:p>
        </w:tc>
        <w:tc>
          <w:tcPr>
            <w:tcW w:w="6373" w:type="dxa"/>
            <w:vAlign w:val="center"/>
          </w:tcPr>
          <w:p w14:paraId="32CB0672" w14:textId="13A99C7F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>Change from baseline cardiorespiratory fitness (ml O2/min/kg), global cognitive function (Z-score) and quadriceps power (watt) at 3 months and 24 months.</w:t>
            </w:r>
          </w:p>
        </w:tc>
      </w:tr>
      <w:tr w:rsidR="00037E2F" w14:paraId="5745AC15" w14:textId="77777777" w:rsidTr="00713B0E">
        <w:tc>
          <w:tcPr>
            <w:tcW w:w="2689" w:type="dxa"/>
            <w:vAlign w:val="center"/>
          </w:tcPr>
          <w:p w14:paraId="002CDF97" w14:textId="41B1780E" w:rsidR="00037E2F" w:rsidRPr="00180805" w:rsidRDefault="00037E2F" w:rsidP="00713B0E">
            <w:pPr>
              <w:rPr>
                <w:rFonts w:cstheme="minorHAnsi"/>
                <w:b/>
                <w:bCs/>
              </w:rPr>
            </w:pPr>
            <w:r w:rsidRPr="00180805">
              <w:rPr>
                <w:rFonts w:cstheme="minorHAnsi"/>
                <w:b/>
                <w:bCs/>
              </w:rPr>
              <w:t>Key secondary outcomes</w:t>
            </w:r>
          </w:p>
        </w:tc>
        <w:tc>
          <w:tcPr>
            <w:tcW w:w="6373" w:type="dxa"/>
            <w:vAlign w:val="center"/>
          </w:tcPr>
          <w:p w14:paraId="548A4353" w14:textId="42BBB20E" w:rsidR="00037E2F" w:rsidRPr="00180805" w:rsidRDefault="00037E2F" w:rsidP="00713B0E">
            <w:pPr>
              <w:rPr>
                <w:rFonts w:cstheme="minorHAnsi"/>
              </w:rPr>
            </w:pPr>
            <w:r w:rsidRPr="00180805">
              <w:rPr>
                <w:rFonts w:cstheme="minorHAnsi"/>
              </w:rPr>
              <w:t xml:space="preserve">Change from baseline exercise tolerance (duration at constant work-load test), brain structure (MRI), brain function (fMRI), neuroinflammation (PET/CT), systemic inflammation (blood sample), neurotrophic factors (blood sample), health-related quality of life (EQ-5D-5L) and </w:t>
            </w:r>
            <w:r w:rsidR="00713B0E" w:rsidRPr="00180805">
              <w:rPr>
                <w:rFonts w:cstheme="minorHAnsi"/>
              </w:rPr>
              <w:t>vastus lateralis morphology, enzyme activity and mitochondrial biogenesis.</w:t>
            </w:r>
            <w:r w:rsidRPr="00180805">
              <w:rPr>
                <w:rFonts w:cstheme="minorHAnsi"/>
              </w:rPr>
              <w:t xml:space="preserve"> </w:t>
            </w:r>
          </w:p>
        </w:tc>
      </w:tr>
    </w:tbl>
    <w:p w14:paraId="34E2B0A7" w14:textId="77777777" w:rsidR="00EF7123" w:rsidRDefault="00EF7123"/>
    <w:sectPr w:rsidR="00EF7123" w:rsidSect="00EA17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A74BE"/>
    <w:multiLevelType w:val="hybridMultilevel"/>
    <w:tmpl w:val="C916D274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B6E9F"/>
    <w:multiLevelType w:val="hybridMultilevel"/>
    <w:tmpl w:val="2C146C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746C64"/>
    <w:multiLevelType w:val="hybridMultilevel"/>
    <w:tmpl w:val="5A90A06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480605">
    <w:abstractNumId w:val="1"/>
  </w:num>
  <w:num w:numId="2" w16cid:durableId="1463692306">
    <w:abstractNumId w:val="2"/>
  </w:num>
  <w:num w:numId="3" w16cid:durableId="319308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822"/>
    <w:rsid w:val="00037E2F"/>
    <w:rsid w:val="00180805"/>
    <w:rsid w:val="00286757"/>
    <w:rsid w:val="00713B0E"/>
    <w:rsid w:val="00C70822"/>
    <w:rsid w:val="00EA17B9"/>
    <w:rsid w:val="00EF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EE958"/>
  <w15:chartTrackingRefBased/>
  <w15:docId w15:val="{F4984296-9996-4F43-A254-B771DD733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C70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C70822"/>
    <w:pPr>
      <w:ind w:left="720"/>
      <w:contextualSpacing/>
    </w:pPr>
    <w:rPr>
      <w:lang w:val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0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Jakobsson</dc:creator>
  <cp:keywords/>
  <dc:description/>
  <cp:lastModifiedBy>Johan Jakobsson</cp:lastModifiedBy>
  <cp:revision>2</cp:revision>
  <dcterms:created xsi:type="dcterms:W3CDTF">2023-12-27T09:14:00Z</dcterms:created>
  <dcterms:modified xsi:type="dcterms:W3CDTF">2023-12-27T09:38:00Z</dcterms:modified>
</cp:coreProperties>
</file>