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default"/>
          <w:b/>
          <w:bCs/>
          <w:sz w:val="21"/>
          <w:szCs w:val="21"/>
          <w:lang w:val="en-US" w:eastAsia="zh-CN"/>
        </w:rPr>
        <w:t>Table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/>
          <w:b/>
          <w:bCs/>
          <w:sz w:val="21"/>
          <w:szCs w:val="21"/>
          <w:lang w:val="en-US" w:eastAsia="zh-CN"/>
        </w:rPr>
        <w:t>1</w:t>
      </w:r>
      <w:r>
        <w:rPr>
          <w:rFonts w:hint="eastAsia"/>
          <w:b/>
          <w:bCs/>
          <w:sz w:val="21"/>
          <w:szCs w:val="21"/>
          <w:lang w:val="en-US" w:eastAsia="zh-CN"/>
        </w:rPr>
        <w:t>.</w:t>
      </w:r>
      <w:r>
        <w:rPr>
          <w:rFonts w:hint="default"/>
          <w:b/>
          <w:bCs/>
          <w:sz w:val="21"/>
          <w:szCs w:val="21"/>
          <w:lang w:val="en-US" w:eastAsia="zh-CN"/>
        </w:rPr>
        <w:t xml:space="preserve">The </w:t>
      </w:r>
      <w:r>
        <w:rPr>
          <w:rFonts w:hint="eastAsia"/>
          <w:b/>
          <w:bCs/>
          <w:sz w:val="21"/>
          <w:szCs w:val="21"/>
          <w:lang w:val="en-US" w:eastAsia="zh-CN"/>
        </w:rPr>
        <w:t>d</w:t>
      </w:r>
      <w:r>
        <w:rPr>
          <w:rFonts w:hint="default"/>
          <w:b/>
          <w:bCs/>
          <w:sz w:val="21"/>
          <w:szCs w:val="21"/>
          <w:lang w:val="en-US" w:eastAsia="zh-CN"/>
        </w:rPr>
        <w:t>emographic</w:t>
      </w:r>
      <w:r>
        <w:rPr>
          <w:rFonts w:hint="eastAsia"/>
          <w:b/>
          <w:bCs/>
          <w:sz w:val="21"/>
          <w:szCs w:val="21"/>
          <w:lang w:val="en-US" w:eastAsia="zh-CN"/>
        </w:rPr>
        <w:t>s</w:t>
      </w:r>
      <w:r>
        <w:rPr>
          <w:rFonts w:hint="default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/>
          <w:b/>
          <w:bCs/>
          <w:sz w:val="21"/>
          <w:szCs w:val="21"/>
          <w:lang w:val="en-US" w:eastAsia="zh-CN"/>
        </w:rPr>
        <w:t>b</w:t>
      </w:r>
      <w:r>
        <w:rPr>
          <w:rFonts w:hint="default"/>
          <w:b/>
          <w:bCs/>
          <w:sz w:val="21"/>
          <w:szCs w:val="21"/>
          <w:lang w:val="en-US" w:eastAsia="zh-CN"/>
        </w:rPr>
        <w:t xml:space="preserve">aseline </w:t>
      </w:r>
      <w:r>
        <w:rPr>
          <w:rFonts w:hint="eastAsia"/>
          <w:b/>
          <w:bCs/>
          <w:sz w:val="21"/>
          <w:szCs w:val="21"/>
          <w:lang w:val="en-US" w:eastAsia="zh-CN"/>
        </w:rPr>
        <w:t>c</w:t>
      </w:r>
      <w:r>
        <w:rPr>
          <w:rFonts w:hint="default"/>
          <w:b/>
          <w:bCs/>
          <w:sz w:val="21"/>
          <w:szCs w:val="21"/>
          <w:lang w:val="en-US" w:eastAsia="zh-CN"/>
        </w:rPr>
        <w:t xml:space="preserve">haracteristics in </w:t>
      </w:r>
      <w:r>
        <w:rPr>
          <w:rFonts w:hint="eastAsia"/>
          <w:b/>
          <w:bCs/>
          <w:sz w:val="21"/>
          <w:szCs w:val="21"/>
          <w:lang w:val="en-US" w:eastAsia="zh-CN"/>
        </w:rPr>
        <w:t>three</w:t>
      </w:r>
      <w:r>
        <w:rPr>
          <w:rFonts w:hint="default"/>
          <w:b/>
          <w:bCs/>
          <w:sz w:val="21"/>
          <w:szCs w:val="21"/>
          <w:lang w:val="en-US" w:eastAsia="zh-CN"/>
        </w:rPr>
        <w:t xml:space="preserve"> groups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21"/>
          <w:szCs w:val="21"/>
          <w:lang w:val="en-US" w:eastAsia="zh-CN"/>
        </w:rPr>
      </w:pPr>
      <w:bookmarkStart w:id="0" w:name="_GoBack"/>
      <w:bookmarkEnd w:id="0"/>
    </w:p>
    <w:tbl>
      <w:tblPr>
        <w:tblStyle w:val="3"/>
        <w:tblW w:w="9393" w:type="dxa"/>
        <w:tblCellSpacing w:w="0" w:type="dxa"/>
        <w:tblInd w:w="-4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5"/>
        <w:gridCol w:w="1834"/>
        <w:gridCol w:w="2175"/>
        <w:gridCol w:w="1850"/>
        <w:gridCol w:w="1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tblCellSpacing w:w="0" w:type="dxa"/>
        </w:trPr>
        <w:tc>
          <w:tcPr>
            <w:tcW w:w="232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V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ariables</w:t>
            </w:r>
          </w:p>
        </w:tc>
        <w:tc>
          <w:tcPr>
            <w:tcW w:w="183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C (n=28)</w:t>
            </w:r>
          </w:p>
        </w:tc>
        <w:tc>
          <w:tcPr>
            <w:tcW w:w="217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 (n=28)</w:t>
            </w:r>
          </w:p>
        </w:tc>
        <w:tc>
          <w:tcPr>
            <w:tcW w:w="185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K2 (n=29)</w:t>
            </w:r>
          </w:p>
        </w:tc>
        <w:tc>
          <w:tcPr>
            <w:tcW w:w="1209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Age(years)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53.96±7.79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52.54±10.08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50.03±7.99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Gender(M/F)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10/18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6/22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12/17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BMI(kg/m2)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22.74±1.96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21.96±3.10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23.15±2.44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ASA(II/III)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14/14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15/13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16/13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tblCellSpacing w:w="0" w:type="dxa"/>
        </w:trPr>
        <w:tc>
          <w:tcPr>
            <w:tcW w:w="9393" w:type="dxa"/>
            <w:gridSpan w:val="5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Smoking history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No（n/%）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22(78.57%)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25(89.29%)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21(72.41%)</w:t>
            </w:r>
          </w:p>
        </w:tc>
        <w:tc>
          <w:tcPr>
            <w:tcW w:w="1209" w:type="dxa"/>
            <w:vMerge w:val="restart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Yes（n/%）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6 (21.43%)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3(10.71%)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8 (27.59%)</w:t>
            </w:r>
          </w:p>
        </w:tc>
        <w:tc>
          <w:tcPr>
            <w:tcW w:w="1209" w:type="dxa"/>
            <w:vMerge w:val="continue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tblCellSpacing w:w="0" w:type="dxa"/>
        </w:trPr>
        <w:tc>
          <w:tcPr>
            <w:tcW w:w="9393" w:type="dxa"/>
            <w:gridSpan w:val="5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Comorbidity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Hypertension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2(7.14%)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5(17.86%)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2(7.14%)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32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Diabetes mellitus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1(3.57%)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3(10.71%)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2(7.14%)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tblCellSpacing w:w="0" w:type="dxa"/>
        </w:trPr>
        <w:tc>
          <w:tcPr>
            <w:tcW w:w="9393" w:type="dxa"/>
            <w:gridSpan w:val="5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Pulmonary function preoperative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FEV1/FVC(%)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77.96±8.14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79.77±8.19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80.23±6.14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Preoperative %FEV1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107.74±17.83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105.53±14.02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109.57±14.01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FEV25-75 (L/s)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2.54±1.02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2.56±1.24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2.58±0.75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540" w:firstLineChars="3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PEF (L/s)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7.05±1.88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6.72±1.53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7.16±1.29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Preoperative %DL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bscript"/>
                <w:lang w:val="en-US" w:eastAsia="zh-CN" w:bidi="ar-SA"/>
              </w:rPr>
              <w:t>CO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87.97±11.79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89.42±11.05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91.18±10.44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Duration of anesthesia (min)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149[130-170]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143[106-194]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145[130-160]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Duration of operation (min)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115[91-138]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116[83-160]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110[94-119]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Duration of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OLV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(min)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98[80-117]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97[71-136]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90[74-100]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Dosage of propofol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(mg)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410.36±106.54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363.57±103.50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380.38±115.53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Dosage of sufentanil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(μg)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46.07±6.72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46.04±6.65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48.14±4.66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Dosage of rifentanil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(mg)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1.03±0.29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0.98±0.32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0.94±0.40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Infusion volume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(ml)</w:t>
            </w:r>
          </w:p>
        </w:tc>
        <w:tc>
          <w:tcPr>
            <w:tcW w:w="183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1000 [800-1100]</w:t>
            </w:r>
          </w:p>
        </w:tc>
        <w:tc>
          <w:tcPr>
            <w:tcW w:w="217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1000 [800-1100]</w:t>
            </w:r>
          </w:p>
        </w:tc>
        <w:tc>
          <w:tcPr>
            <w:tcW w:w="1850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1055 [950-1100]</w:t>
            </w:r>
          </w:p>
        </w:tc>
        <w:tc>
          <w:tcPr>
            <w:tcW w:w="1209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</w:trPr>
        <w:tc>
          <w:tcPr>
            <w:tcW w:w="2325" w:type="dxa"/>
            <w:tcBorders>
              <w:bottom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Urine volume (ml)</w:t>
            </w:r>
          </w:p>
        </w:tc>
        <w:tc>
          <w:tcPr>
            <w:tcW w:w="1834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100 [80-200]</w:t>
            </w:r>
          </w:p>
        </w:tc>
        <w:tc>
          <w:tcPr>
            <w:tcW w:w="2175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36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100 [50-200]</w:t>
            </w:r>
          </w:p>
        </w:tc>
        <w:tc>
          <w:tcPr>
            <w:tcW w:w="1850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160 [63-300]</w:t>
            </w:r>
          </w:p>
        </w:tc>
        <w:tc>
          <w:tcPr>
            <w:tcW w:w="1209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0.359</w:t>
            </w:r>
          </w:p>
        </w:tc>
      </w:tr>
    </w:tbl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Continuous data are presented as mean±SD or median (IQR),categorical data are presented as n (%).IQR,interquartile range;BMI,body mass index;ASA,</w:t>
      </w:r>
      <w:r>
        <w:rPr>
          <w:rFonts w:hint="default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American</w:t>
      </w:r>
      <w:r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Society</w:t>
      </w:r>
      <w:r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of Anesthesiologists</w:t>
      </w:r>
      <w:r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;FVC,forced vital capacity;FEV1,forced expiratory volume in 1s;FEF25-75%,forced expiratory volume between 25 and 75% of the FVC;PEF,peak expiratory flow;DL</w:t>
      </w:r>
      <w:r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vertAlign w:val="subscript"/>
          <w:lang w:val="en-US" w:eastAsia="zh-CN" w:bidi="ar"/>
        </w:rPr>
        <w:t>CO</w:t>
      </w:r>
      <w:r>
        <w:rPr>
          <w:rFonts w:hint="eastAsia" w:ascii="Calibri" w:hAnsi="Calibri" w:eastAsia="宋体" w:cs="Calibr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,diffusion capacity of lung for carbon monoxide;OLV,one-lung ventilation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YjQyMzk5MDIxYWFiMWMwMDFmY2E4ZDgwY2RkOWIifQ=="/>
  </w:docVars>
  <w:rsids>
    <w:rsidRoot w:val="00000000"/>
    <w:rsid w:val="7A1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2023-10-07T11:43:51Z</dcterms:created>
  <dc:creator>lenovo</dc:creator>
  <cp:lastModifiedBy>。</cp:lastModifiedBy>
  <dcterms:modified xsi:type="dcterms:W3CDTF">2023-10-07T11:44:35Z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D1D159C2C3AC4692B29AC0A8B31B7567_12</vt:lpwstr>
  </property>
</Properties>
</file>