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021A70" w14:textId="77777777" w:rsidR="00AE4A65" w:rsidRPr="00836E2B" w:rsidRDefault="00FB5B70">
      <w:pPr>
        <w:rPr>
          <w:rFonts w:ascii="Times New Roman" w:hAnsi="Times New Roman" w:cs="Times New Roman"/>
          <w:b/>
          <w:bCs/>
          <w:color w:val="000000" w:themeColor="text1"/>
          <w:kern w:val="24"/>
        </w:rPr>
      </w:pPr>
      <w:r w:rsidRPr="00836E2B">
        <w:rPr>
          <w:rFonts w:ascii="Times New Roman" w:hAnsi="Times New Roman" w:cs="Times New Roman"/>
          <w:b/>
          <w:bCs/>
          <w:color w:val="000000" w:themeColor="text1"/>
          <w:kern w:val="24"/>
        </w:rPr>
        <w:t>Supplementary data</w:t>
      </w:r>
      <w:commentRangeStart w:id="0"/>
      <w:commentRangeEnd w:id="0"/>
    </w:p>
    <w:p w14:paraId="2DBCFB47" w14:textId="77777777" w:rsidR="004C42DE" w:rsidRPr="00836E2B" w:rsidRDefault="004C42DE">
      <w:pPr>
        <w:rPr>
          <w:rFonts w:ascii="Times New Roman" w:hAnsi="Times New Roman" w:cs="Times New Roman"/>
          <w:bCs/>
          <w:color w:val="000000" w:themeColor="text1"/>
          <w:kern w:val="24"/>
        </w:rPr>
      </w:pPr>
    </w:p>
    <w:p w14:paraId="46009C4C" w14:textId="76F244B1" w:rsidR="004C42DE" w:rsidRPr="00836E2B" w:rsidRDefault="00FB5B70" w:rsidP="004C42DE">
      <w:pPr>
        <w:spacing w:line="360" w:lineRule="auto"/>
        <w:rPr>
          <w:rFonts w:ascii="Times New Roman" w:hAnsi="Times New Roman" w:cs="Times New Roman"/>
          <w:b/>
          <w:color w:val="000000" w:themeColor="text1"/>
          <w:kern w:val="0"/>
        </w:rPr>
      </w:pPr>
      <w:r w:rsidRPr="00836E2B">
        <w:rPr>
          <w:rFonts w:ascii="Times New Roman" w:hAnsi="Times New Roman" w:cs="Times New Roman"/>
          <w:b/>
          <w:bCs/>
          <w:color w:val="000000" w:themeColor="text1"/>
          <w:kern w:val="24"/>
        </w:rPr>
        <w:t xml:space="preserve">Supplementary Figure </w:t>
      </w:r>
      <w:r w:rsidR="00F15E27" w:rsidRPr="00836E2B">
        <w:rPr>
          <w:rFonts w:ascii="Times New Roman" w:hAnsi="Times New Roman" w:cs="Times New Roman"/>
          <w:b/>
          <w:bCs/>
          <w:color w:val="000000" w:themeColor="text1"/>
          <w:kern w:val="24"/>
        </w:rPr>
        <w:t>S</w:t>
      </w:r>
      <w:r w:rsidRPr="00836E2B">
        <w:rPr>
          <w:rFonts w:ascii="Times New Roman" w:hAnsi="Times New Roman" w:cs="Times New Roman"/>
          <w:b/>
          <w:bCs/>
          <w:color w:val="000000" w:themeColor="text1"/>
          <w:kern w:val="24"/>
        </w:rPr>
        <w:t xml:space="preserve">1. Plasma metabolites </w:t>
      </w:r>
      <w:r w:rsidR="009C61D3" w:rsidRPr="00836E2B">
        <w:rPr>
          <w:rFonts w:ascii="Times New Roman" w:hAnsi="Times New Roman" w:cs="Times New Roman"/>
          <w:b/>
          <w:bCs/>
          <w:color w:val="000000" w:themeColor="text1"/>
          <w:kern w:val="24"/>
        </w:rPr>
        <w:t>in</w:t>
      </w:r>
      <w:r w:rsidRPr="00836E2B">
        <w:rPr>
          <w:rFonts w:ascii="Times New Roman" w:hAnsi="Times New Roman" w:cs="Times New Roman"/>
          <w:b/>
          <w:bCs/>
          <w:color w:val="000000" w:themeColor="text1"/>
          <w:kern w:val="24"/>
        </w:rPr>
        <w:t xml:space="preserve"> the fatigue</w:t>
      </w:r>
      <w:r w:rsidR="005F6904" w:rsidRPr="00836E2B">
        <w:rPr>
          <w:rFonts w:ascii="Times New Roman" w:hAnsi="Times New Roman" w:cs="Times New Roman"/>
          <w:b/>
          <w:bCs/>
          <w:color w:val="000000" w:themeColor="text1"/>
          <w:kern w:val="24"/>
        </w:rPr>
        <w:t>d</w:t>
      </w:r>
      <w:r w:rsidRPr="00836E2B">
        <w:rPr>
          <w:rFonts w:ascii="Times New Roman" w:hAnsi="Times New Roman" w:cs="Times New Roman"/>
          <w:b/>
          <w:bCs/>
          <w:color w:val="000000" w:themeColor="text1"/>
          <w:kern w:val="24"/>
        </w:rPr>
        <w:t xml:space="preserve"> and non-fatigued groups</w:t>
      </w:r>
    </w:p>
    <w:p w14:paraId="2078F0B8" w14:textId="6F29F14B" w:rsidR="004C42DE" w:rsidRPr="00836E2B" w:rsidRDefault="00FB5B70" w:rsidP="004C42DE">
      <w:pPr>
        <w:spacing w:line="360" w:lineRule="auto"/>
        <w:rPr>
          <w:rFonts w:ascii="Times New Roman" w:hAnsi="Times New Roman" w:cs="Times New Roman"/>
          <w:color w:val="000000" w:themeColor="text1"/>
          <w:kern w:val="24"/>
        </w:rPr>
      </w:pPr>
      <w:r w:rsidRPr="00836E2B">
        <w:rPr>
          <w:rFonts w:ascii="Times New Roman" w:hAnsi="Times New Roman" w:cs="Times New Roman"/>
          <w:color w:val="000000" w:themeColor="text1"/>
          <w:kern w:val="24"/>
        </w:rPr>
        <w:t>Volcano plots show</w:t>
      </w:r>
      <w:r w:rsidR="002D1DEB" w:rsidRPr="00836E2B">
        <w:rPr>
          <w:rFonts w:ascii="Times New Roman" w:hAnsi="Times New Roman" w:cs="Times New Roman"/>
          <w:color w:val="000000" w:themeColor="text1"/>
          <w:kern w:val="24"/>
        </w:rPr>
        <w:t>ing</w:t>
      </w:r>
      <w:r w:rsidRPr="00836E2B">
        <w:rPr>
          <w:rFonts w:ascii="Times New Roman" w:hAnsi="Times New Roman" w:cs="Times New Roman"/>
          <w:color w:val="000000" w:themeColor="text1"/>
          <w:kern w:val="24"/>
        </w:rPr>
        <w:t xml:space="preserve"> differences in individual metabolite concentrations between the fatigued and non-fatigued groups. The X</w:t>
      </w:r>
      <w:r w:rsidRPr="00836E2B">
        <w:rPr>
          <w:rFonts w:ascii="Times New Roman" w:eastAsia="ＭＳ 明朝" w:hAnsi="Times New Roman" w:cs="Times New Roman"/>
          <w:color w:val="000000"/>
          <w:kern w:val="24"/>
        </w:rPr>
        <w:t>- and Y</w:t>
      </w:r>
      <w:r w:rsidRPr="00836E2B">
        <w:rPr>
          <w:rFonts w:ascii="Times New Roman" w:hAnsi="Times New Roman" w:cs="Times New Roman"/>
          <w:color w:val="000000" w:themeColor="text1"/>
          <w:kern w:val="24"/>
        </w:rPr>
        <w:t>-axes indicate the log</w:t>
      </w:r>
      <w:r w:rsidRPr="00836E2B">
        <w:rPr>
          <w:rFonts w:ascii="Times New Roman" w:hAnsi="Times New Roman" w:cs="Times New Roman"/>
          <w:color w:val="000000" w:themeColor="text1"/>
          <w:kern w:val="24"/>
          <w:vertAlign w:val="subscript"/>
        </w:rPr>
        <w:t>2</w:t>
      </w:r>
      <w:r w:rsidRPr="00836E2B">
        <w:rPr>
          <w:rFonts w:ascii="Times New Roman" w:hAnsi="Times New Roman" w:cs="Times New Roman"/>
          <w:color w:val="000000" w:themeColor="text1"/>
          <w:kern w:val="24"/>
        </w:rPr>
        <w:t xml:space="preserve"> fold change (fatigued/non-fatigued) and –log</w:t>
      </w:r>
      <w:r w:rsidRPr="00836E2B">
        <w:rPr>
          <w:rFonts w:ascii="Times New Roman" w:hAnsi="Times New Roman" w:cs="Times New Roman"/>
          <w:color w:val="000000" w:themeColor="text1"/>
          <w:kern w:val="24"/>
          <w:vertAlign w:val="subscript"/>
        </w:rPr>
        <w:t>10</w:t>
      </w:r>
      <w:r w:rsidRPr="00836E2B">
        <w:rPr>
          <w:rFonts w:ascii="Times New Roman" w:hAnsi="Times New Roman" w:cs="Times New Roman"/>
          <w:color w:val="000000" w:themeColor="text1"/>
          <w:kern w:val="24"/>
        </w:rPr>
        <w:t xml:space="preserve"> </w:t>
      </w:r>
      <w:r w:rsidRPr="00836E2B">
        <w:rPr>
          <w:rFonts w:ascii="Times New Roman" w:hAnsi="Times New Roman" w:cs="Times New Roman"/>
          <w:i/>
          <w:iCs/>
          <w:color w:val="000000" w:themeColor="text1"/>
          <w:kern w:val="24"/>
        </w:rPr>
        <w:t>P</w:t>
      </w:r>
      <w:r w:rsidRPr="00836E2B">
        <w:rPr>
          <w:rFonts w:ascii="Times New Roman" w:hAnsi="Times New Roman" w:cs="Times New Roman"/>
          <w:color w:val="000000" w:themeColor="text1"/>
          <w:kern w:val="24"/>
        </w:rPr>
        <w:t xml:space="preserve">-values (Mann-Whitney </w:t>
      </w:r>
      <w:r w:rsidR="00607A95" w:rsidRPr="00836E2B">
        <w:rPr>
          <w:rFonts w:ascii="Times New Roman" w:hAnsi="Times New Roman" w:cs="Times New Roman"/>
          <w:color w:val="000000" w:themeColor="text1"/>
          <w:kern w:val="24"/>
        </w:rPr>
        <w:t xml:space="preserve">U </w:t>
      </w:r>
      <w:r w:rsidRPr="00836E2B">
        <w:rPr>
          <w:rFonts w:ascii="Times New Roman" w:hAnsi="Times New Roman" w:cs="Times New Roman"/>
          <w:color w:val="000000" w:themeColor="text1"/>
          <w:kern w:val="24"/>
        </w:rPr>
        <w:t>test), respectively.</w:t>
      </w:r>
      <w:r w:rsidR="00714EDD" w:rsidRPr="00836E2B">
        <w:rPr>
          <w:rFonts w:ascii="Times New Roman" w:hAnsi="Times New Roman" w:cs="Times New Roman"/>
          <w:color w:val="000000" w:themeColor="text1"/>
          <w:kern w:val="24"/>
        </w:rPr>
        <w:t xml:space="preserve"> </w:t>
      </w:r>
      <w:r w:rsidR="00607A95" w:rsidRPr="00836E2B">
        <w:rPr>
          <w:rFonts w:ascii="Times New Roman" w:hAnsi="Times New Roman" w:cs="Times New Roman"/>
          <w:color w:val="000000" w:themeColor="text1"/>
          <w:kern w:val="24"/>
        </w:rPr>
        <w:t xml:space="preserve">The </w:t>
      </w:r>
      <w:r w:rsidR="00C5441C" w:rsidRPr="006626FF">
        <w:rPr>
          <w:rFonts w:ascii="Times New Roman" w:hAnsi="Times New Roman" w:cs="Times New Roman"/>
          <w:i/>
          <w:iCs/>
          <w:color w:val="000000" w:themeColor="text1"/>
          <w:kern w:val="24"/>
        </w:rPr>
        <w:t>P</w:t>
      </w:r>
      <w:r w:rsidR="00C5441C" w:rsidRPr="00836E2B">
        <w:rPr>
          <w:rFonts w:ascii="Times New Roman" w:hAnsi="Times New Roman" w:cs="Times New Roman"/>
          <w:color w:val="000000" w:themeColor="text1"/>
          <w:kern w:val="24"/>
        </w:rPr>
        <w:t>-value</w:t>
      </w:r>
      <w:r w:rsidRPr="00836E2B">
        <w:rPr>
          <w:rFonts w:ascii="Times New Roman" w:eastAsia="ＭＳ 明朝" w:hAnsi="Times New Roman" w:cs="Times New Roman"/>
          <w:color w:val="000000"/>
          <w:kern w:val="24"/>
        </w:rPr>
        <w:t xml:space="preserve">s </w:t>
      </w:r>
      <w:r w:rsidR="00C5441C" w:rsidRPr="00836E2B">
        <w:rPr>
          <w:rFonts w:ascii="Times New Roman" w:hAnsi="Times New Roman" w:cs="Times New Roman"/>
          <w:color w:val="000000" w:themeColor="text1"/>
          <w:kern w:val="24"/>
        </w:rPr>
        <w:t xml:space="preserve">were calculated using the Mann-Whitney </w:t>
      </w:r>
      <w:r w:rsidR="00607A95" w:rsidRPr="00836E2B">
        <w:rPr>
          <w:rFonts w:ascii="Times New Roman" w:hAnsi="Times New Roman" w:cs="Times New Roman"/>
          <w:color w:val="000000" w:themeColor="text1"/>
          <w:kern w:val="24"/>
        </w:rPr>
        <w:t xml:space="preserve">U </w:t>
      </w:r>
      <w:r w:rsidRPr="00836E2B">
        <w:rPr>
          <w:rFonts w:ascii="Times New Roman" w:eastAsia="ＭＳ 明朝" w:hAnsi="Times New Roman" w:cs="Times New Roman"/>
          <w:color w:val="000000"/>
          <w:kern w:val="24"/>
        </w:rPr>
        <w:t xml:space="preserve">test and adjusted for false discovery rate (FDR) correction. FDR-adjusted </w:t>
      </w:r>
      <w:r w:rsidR="00B41B85" w:rsidRPr="008D3BA1">
        <w:rPr>
          <w:rFonts w:ascii="Times New Roman" w:eastAsia="ＭＳ 明朝" w:hAnsi="Times New Roman" w:cs="Times New Roman"/>
          <w:i/>
          <w:iCs/>
          <w:color w:val="000000"/>
          <w:kern w:val="24"/>
        </w:rPr>
        <w:t>P</w:t>
      </w:r>
      <w:r w:rsidRPr="00836E2B">
        <w:rPr>
          <w:rFonts w:ascii="Times New Roman" w:eastAsia="ＭＳ 明朝" w:hAnsi="Times New Roman" w:cs="Times New Roman"/>
          <w:color w:val="000000"/>
          <w:kern w:val="24"/>
        </w:rPr>
        <w:t xml:space="preserve">-value = 0.05. </w:t>
      </w:r>
      <w:r w:rsidR="00714EDD" w:rsidRPr="00836E2B">
        <w:rPr>
          <w:rFonts w:ascii="Times New Roman" w:hAnsi="Times New Roman" w:cs="Times New Roman"/>
          <w:color w:val="000000" w:themeColor="text1"/>
        </w:rPr>
        <w:t>F., fatigued group</w:t>
      </w:r>
      <w:r w:rsidR="00B41B85" w:rsidRPr="00836E2B">
        <w:rPr>
          <w:rFonts w:ascii="Times New Roman" w:hAnsi="Times New Roman" w:cs="Times New Roman"/>
          <w:color w:val="000000" w:themeColor="text1"/>
        </w:rPr>
        <w:t>;</w:t>
      </w:r>
      <w:r w:rsidR="00714EDD" w:rsidRPr="00836E2B">
        <w:rPr>
          <w:rFonts w:ascii="Times New Roman" w:hAnsi="Times New Roman" w:cs="Times New Roman"/>
          <w:color w:val="000000" w:themeColor="text1"/>
        </w:rPr>
        <w:t xml:space="preserve"> N.F.: </w:t>
      </w:r>
      <w:r w:rsidR="00E449AA" w:rsidRPr="00836E2B">
        <w:rPr>
          <w:rFonts w:ascii="Times New Roman" w:hAnsi="Times New Roman" w:cs="Times New Roman"/>
          <w:color w:val="000000" w:themeColor="text1"/>
        </w:rPr>
        <w:t>n</w:t>
      </w:r>
      <w:r w:rsidR="00714EDD" w:rsidRPr="00836E2B">
        <w:rPr>
          <w:rFonts w:ascii="Times New Roman" w:hAnsi="Times New Roman" w:cs="Times New Roman"/>
          <w:color w:val="000000" w:themeColor="text1"/>
        </w:rPr>
        <w:t>on-fatigued group.</w:t>
      </w:r>
    </w:p>
    <w:p w14:paraId="5AB785E7" w14:textId="77777777" w:rsidR="004C42DE" w:rsidRPr="00836E2B" w:rsidRDefault="004C42DE" w:rsidP="004C42DE">
      <w:pPr>
        <w:spacing w:line="360" w:lineRule="auto"/>
        <w:rPr>
          <w:rFonts w:ascii="Times New Roman" w:hAnsi="Times New Roman" w:cs="Times New Roman"/>
          <w:color w:val="000000" w:themeColor="text1"/>
        </w:rPr>
      </w:pPr>
    </w:p>
    <w:p w14:paraId="5DE4B520" w14:textId="371AA9EE" w:rsidR="00C5441C" w:rsidRPr="00836E2B" w:rsidRDefault="00FB5B70" w:rsidP="00C5441C">
      <w:pPr>
        <w:spacing w:line="360" w:lineRule="auto"/>
        <w:rPr>
          <w:rFonts w:ascii="Times New Roman" w:hAnsi="Times New Roman" w:cs="Times New Roman"/>
          <w:color w:val="000000" w:themeColor="text1"/>
          <w:kern w:val="0"/>
        </w:rPr>
      </w:pPr>
      <w:r w:rsidRPr="00836E2B">
        <w:rPr>
          <w:rFonts w:ascii="Times New Roman" w:hAnsi="Times New Roman" w:cs="Times New Roman"/>
          <w:b/>
          <w:bCs/>
          <w:color w:val="000000" w:themeColor="text1"/>
          <w:kern w:val="24"/>
        </w:rPr>
        <w:t xml:space="preserve">Supplementary Figure </w:t>
      </w:r>
      <w:r w:rsidR="00F15E27" w:rsidRPr="00836E2B">
        <w:rPr>
          <w:rFonts w:ascii="Times New Roman" w:hAnsi="Times New Roman" w:cs="Times New Roman"/>
          <w:b/>
          <w:bCs/>
          <w:color w:val="000000" w:themeColor="text1"/>
          <w:kern w:val="24"/>
        </w:rPr>
        <w:t>S</w:t>
      </w:r>
      <w:r w:rsidRPr="00836E2B">
        <w:rPr>
          <w:rFonts w:ascii="Times New Roman" w:hAnsi="Times New Roman" w:cs="Times New Roman"/>
          <w:b/>
          <w:bCs/>
          <w:color w:val="000000" w:themeColor="text1"/>
          <w:kern w:val="24"/>
        </w:rPr>
        <w:t xml:space="preserve">2. </w:t>
      </w:r>
      <w:r w:rsidRPr="00836E2B">
        <w:rPr>
          <w:rFonts w:ascii="Times New Roman" w:hAnsi="Times New Roman" w:cs="Times New Roman"/>
          <w:b/>
          <w:color w:val="000000" w:themeColor="text1"/>
          <w:kern w:val="24"/>
        </w:rPr>
        <w:t xml:space="preserve">Plasma metabolites </w:t>
      </w:r>
      <w:r w:rsidR="009C61D3" w:rsidRPr="00836E2B">
        <w:rPr>
          <w:rFonts w:ascii="Times New Roman" w:hAnsi="Times New Roman" w:cs="Times New Roman"/>
          <w:b/>
          <w:color w:val="000000" w:themeColor="text1"/>
          <w:kern w:val="24"/>
        </w:rPr>
        <w:t>in</w:t>
      </w:r>
      <w:r w:rsidRPr="00836E2B">
        <w:rPr>
          <w:rFonts w:ascii="Times New Roman" w:hAnsi="Times New Roman" w:cs="Times New Roman"/>
          <w:b/>
          <w:color w:val="000000" w:themeColor="text1"/>
          <w:kern w:val="24"/>
        </w:rPr>
        <w:t xml:space="preserve"> the fatigued and non-fatigued </w:t>
      </w:r>
      <w:r w:rsidR="00EE41DA" w:rsidRPr="00836E2B">
        <w:rPr>
          <w:rFonts w:ascii="Times New Roman" w:hAnsi="Times New Roman" w:cs="Times New Roman"/>
          <w:b/>
          <w:color w:val="000000" w:themeColor="text1"/>
          <w:kern w:val="24"/>
        </w:rPr>
        <w:t xml:space="preserve">with </w:t>
      </w:r>
      <w:r w:rsidRPr="00836E2B">
        <w:rPr>
          <w:rFonts w:ascii="Times New Roman" w:hAnsi="Times New Roman" w:cs="Times New Roman"/>
          <w:b/>
          <w:color w:val="000000" w:themeColor="text1"/>
          <w:kern w:val="24"/>
        </w:rPr>
        <w:t>non-cachexia groups</w:t>
      </w:r>
    </w:p>
    <w:p w14:paraId="4D98DE90" w14:textId="18E16717" w:rsidR="004C42DE" w:rsidRPr="00836E2B" w:rsidRDefault="00FB5B70" w:rsidP="004C42DE">
      <w:pPr>
        <w:spacing w:line="360" w:lineRule="auto"/>
        <w:rPr>
          <w:rFonts w:ascii="Times New Roman" w:hAnsi="Times New Roman" w:cs="Times New Roman"/>
          <w:b/>
          <w:color w:val="000000" w:themeColor="text1"/>
          <w:kern w:val="0"/>
        </w:rPr>
      </w:pPr>
      <w:r w:rsidRPr="00836E2B">
        <w:rPr>
          <w:rFonts w:ascii="Times New Roman" w:hAnsi="Times New Roman" w:cs="Times New Roman"/>
          <w:b/>
          <w:bCs/>
          <w:color w:val="000000" w:themeColor="text1"/>
          <w:kern w:val="24"/>
        </w:rPr>
        <w:t>(</w:t>
      </w:r>
      <w:r>
        <w:rPr>
          <w:rFonts w:ascii="Times New Roman" w:hAnsi="Times New Roman" w:cs="Times New Roman"/>
          <w:b/>
          <w:bCs/>
          <w:color w:val="000000" w:themeColor="text1"/>
          <w:kern w:val="24"/>
        </w:rPr>
        <w:t>a</w:t>
      </w:r>
      <w:r w:rsidRPr="00836E2B">
        <w:rPr>
          <w:rFonts w:ascii="Times New Roman" w:hAnsi="Times New Roman" w:cs="Times New Roman"/>
          <w:b/>
          <w:bCs/>
          <w:color w:val="000000" w:themeColor="text1"/>
          <w:kern w:val="24"/>
        </w:rPr>
        <w:t>)</w:t>
      </w:r>
      <w:r w:rsidRPr="00836E2B">
        <w:rPr>
          <w:rFonts w:ascii="Times New Roman" w:hAnsi="Times New Roman" w:cs="Times New Roman"/>
          <w:color w:val="000000" w:themeColor="text1"/>
          <w:kern w:val="24"/>
        </w:rPr>
        <w:t xml:space="preserve"> Volcano plots showing differences in metabolite concentrations between the fatigue </w:t>
      </w:r>
      <w:r w:rsidR="005F6904" w:rsidRPr="00836E2B">
        <w:rPr>
          <w:rFonts w:ascii="Times New Roman" w:hAnsi="Times New Roman" w:cs="Times New Roman"/>
          <w:color w:val="000000" w:themeColor="text1"/>
          <w:kern w:val="24"/>
        </w:rPr>
        <w:t xml:space="preserve">without cachexia </w:t>
      </w:r>
      <w:r w:rsidRPr="00836E2B">
        <w:rPr>
          <w:rFonts w:ascii="Times New Roman" w:hAnsi="Times New Roman" w:cs="Times New Roman"/>
          <w:color w:val="000000" w:themeColor="text1"/>
          <w:kern w:val="24"/>
        </w:rPr>
        <w:t>and non-fatigued groups. The X</w:t>
      </w:r>
      <w:r w:rsidR="00B41B85" w:rsidRPr="00836E2B">
        <w:rPr>
          <w:rFonts w:ascii="Times New Roman" w:hAnsi="Times New Roman" w:cs="Times New Roman"/>
          <w:color w:val="000000" w:themeColor="text1"/>
          <w:kern w:val="24"/>
        </w:rPr>
        <w:t>-</w:t>
      </w:r>
      <w:r w:rsidRPr="00836E2B">
        <w:rPr>
          <w:rFonts w:ascii="Times New Roman" w:hAnsi="Times New Roman" w:cs="Times New Roman"/>
          <w:color w:val="000000" w:themeColor="text1"/>
          <w:kern w:val="24"/>
        </w:rPr>
        <w:t xml:space="preserve"> and Y</w:t>
      </w:r>
      <w:r w:rsidR="00B41B85" w:rsidRPr="00836E2B">
        <w:rPr>
          <w:rFonts w:ascii="Times New Roman" w:hAnsi="Times New Roman" w:cs="Times New Roman"/>
          <w:color w:val="000000" w:themeColor="text1"/>
          <w:kern w:val="24"/>
        </w:rPr>
        <w:t>-</w:t>
      </w:r>
      <w:r w:rsidRPr="00836E2B">
        <w:rPr>
          <w:rFonts w:ascii="Times New Roman" w:hAnsi="Times New Roman" w:cs="Times New Roman"/>
          <w:color w:val="000000" w:themeColor="text1"/>
          <w:kern w:val="24"/>
        </w:rPr>
        <w:t>axes indicate the log</w:t>
      </w:r>
      <w:r w:rsidRPr="00836E2B">
        <w:rPr>
          <w:rFonts w:ascii="Times New Roman" w:hAnsi="Times New Roman" w:cs="Times New Roman"/>
          <w:color w:val="000000" w:themeColor="text1"/>
          <w:kern w:val="24"/>
          <w:vertAlign w:val="subscript"/>
        </w:rPr>
        <w:t>2</w:t>
      </w:r>
      <w:r w:rsidRPr="00836E2B">
        <w:rPr>
          <w:rFonts w:ascii="Times New Roman" w:hAnsi="Times New Roman" w:cs="Times New Roman"/>
          <w:color w:val="000000" w:themeColor="text1"/>
          <w:kern w:val="24"/>
        </w:rPr>
        <w:t xml:space="preserve"> fold change (fatigued/non-fatigued) and –log</w:t>
      </w:r>
      <w:r w:rsidRPr="00836E2B">
        <w:rPr>
          <w:rFonts w:ascii="Times New Roman" w:hAnsi="Times New Roman" w:cs="Times New Roman"/>
          <w:color w:val="000000" w:themeColor="text1"/>
          <w:kern w:val="24"/>
          <w:vertAlign w:val="subscript"/>
        </w:rPr>
        <w:t>10</w:t>
      </w:r>
      <w:r w:rsidRPr="00836E2B">
        <w:rPr>
          <w:rFonts w:ascii="Times New Roman" w:hAnsi="Times New Roman" w:cs="Times New Roman"/>
          <w:color w:val="000000" w:themeColor="text1"/>
          <w:kern w:val="24"/>
        </w:rPr>
        <w:t xml:space="preserve"> </w:t>
      </w:r>
      <w:r w:rsidRPr="00836E2B">
        <w:rPr>
          <w:rFonts w:ascii="Times New Roman" w:hAnsi="Times New Roman" w:cs="Times New Roman"/>
          <w:i/>
          <w:iCs/>
          <w:color w:val="000000" w:themeColor="text1"/>
          <w:kern w:val="24"/>
        </w:rPr>
        <w:t>P</w:t>
      </w:r>
      <w:r w:rsidRPr="00836E2B">
        <w:rPr>
          <w:rFonts w:ascii="Times New Roman" w:hAnsi="Times New Roman" w:cs="Times New Roman"/>
          <w:color w:val="000000" w:themeColor="text1"/>
          <w:kern w:val="24"/>
        </w:rPr>
        <w:t xml:space="preserve">-values (Mann-Whitney </w:t>
      </w:r>
      <w:r w:rsidR="00E449AA" w:rsidRPr="00836E2B">
        <w:rPr>
          <w:rFonts w:ascii="Times New Roman" w:hAnsi="Times New Roman" w:cs="Times New Roman"/>
          <w:color w:val="000000" w:themeColor="text1"/>
          <w:kern w:val="24"/>
        </w:rPr>
        <w:t xml:space="preserve">U </w:t>
      </w:r>
      <w:r w:rsidRPr="00836E2B">
        <w:rPr>
          <w:rFonts w:ascii="Times New Roman" w:hAnsi="Times New Roman" w:cs="Times New Roman"/>
          <w:color w:val="000000" w:themeColor="text1"/>
          <w:kern w:val="24"/>
        </w:rPr>
        <w:t>test), respectively</w:t>
      </w:r>
      <w:r w:rsidR="00B41B85" w:rsidRPr="00836E2B">
        <w:rPr>
          <w:rFonts w:ascii="Times New Roman" w:hAnsi="Times New Roman" w:cs="Times New Roman"/>
          <w:color w:val="000000" w:themeColor="text1"/>
          <w:kern w:val="24"/>
        </w:rPr>
        <w:t>.</w:t>
      </w:r>
      <w:r w:rsidRPr="00836E2B">
        <w:rPr>
          <w:rFonts w:ascii="Times New Roman" w:hAnsi="Times New Roman" w:cs="Times New Roman"/>
          <w:color w:val="000000" w:themeColor="text1"/>
          <w:kern w:val="24"/>
        </w:rPr>
        <w:t xml:space="preserve"> (</w:t>
      </w:r>
      <w:r>
        <w:rPr>
          <w:rFonts w:ascii="Times New Roman" w:hAnsi="Times New Roman" w:cs="Times New Roman"/>
          <w:color w:val="000000" w:themeColor="text1"/>
          <w:kern w:val="24"/>
        </w:rPr>
        <w:t>b</w:t>
      </w:r>
      <w:r w:rsidRPr="00836E2B">
        <w:rPr>
          <w:rFonts w:ascii="Times New Roman" w:hAnsi="Times New Roman" w:cs="Times New Roman"/>
          <w:color w:val="000000" w:themeColor="text1"/>
          <w:kern w:val="24"/>
        </w:rPr>
        <w:t>) Score plots of partial least squares</w:t>
      </w:r>
      <w:r w:rsidR="00B41B85" w:rsidRPr="00836E2B">
        <w:rPr>
          <w:rFonts w:ascii="Times New Roman" w:hAnsi="Times New Roman" w:cs="Times New Roman"/>
          <w:color w:val="000000" w:themeColor="text1"/>
          <w:kern w:val="24"/>
        </w:rPr>
        <w:t>-</w:t>
      </w:r>
      <w:r w:rsidRPr="00836E2B">
        <w:rPr>
          <w:rFonts w:ascii="Times New Roman" w:hAnsi="Times New Roman" w:cs="Times New Roman"/>
          <w:color w:val="000000" w:themeColor="text1"/>
          <w:kern w:val="24"/>
        </w:rPr>
        <w:t>discriminant analysis (PLS-DA) (</w:t>
      </w:r>
      <w:r w:rsidR="00B41B85" w:rsidRPr="00836E2B">
        <w:rPr>
          <w:rFonts w:ascii="Times New Roman" w:hAnsi="Times New Roman" w:cs="Times New Roman"/>
          <w:color w:val="000000" w:themeColor="text1"/>
          <w:kern w:val="24"/>
        </w:rPr>
        <w:t>left-hand f</w:t>
      </w:r>
      <w:r w:rsidRPr="00836E2B">
        <w:rPr>
          <w:rFonts w:ascii="Times New Roman" w:hAnsi="Times New Roman" w:cs="Times New Roman"/>
          <w:color w:val="000000" w:themeColor="text1"/>
          <w:kern w:val="24"/>
        </w:rPr>
        <w:t>igure). The X</w:t>
      </w:r>
      <w:r w:rsidR="00B41B85" w:rsidRPr="00836E2B">
        <w:rPr>
          <w:rFonts w:ascii="Times New Roman" w:hAnsi="Times New Roman" w:cs="Times New Roman"/>
          <w:color w:val="000000" w:themeColor="text1"/>
          <w:kern w:val="24"/>
        </w:rPr>
        <w:t>-</w:t>
      </w:r>
      <w:r w:rsidRPr="00836E2B">
        <w:rPr>
          <w:rFonts w:ascii="Times New Roman" w:hAnsi="Times New Roman" w:cs="Times New Roman"/>
          <w:color w:val="000000" w:themeColor="text1"/>
          <w:kern w:val="24"/>
        </w:rPr>
        <w:t xml:space="preserve"> and Y</w:t>
      </w:r>
      <w:r w:rsidR="00B41B85" w:rsidRPr="00836E2B">
        <w:rPr>
          <w:rFonts w:ascii="Times New Roman" w:hAnsi="Times New Roman" w:cs="Times New Roman"/>
          <w:color w:val="000000" w:themeColor="text1"/>
          <w:kern w:val="24"/>
        </w:rPr>
        <w:t>-</w:t>
      </w:r>
      <w:r w:rsidRPr="00836E2B">
        <w:rPr>
          <w:rFonts w:ascii="Times New Roman" w:hAnsi="Times New Roman" w:cs="Times New Roman"/>
          <w:color w:val="000000" w:themeColor="text1"/>
          <w:kern w:val="24"/>
        </w:rPr>
        <w:t xml:space="preserve">axes indicate the first and second components. Quantile normalization was performed on each sample, followed by autoscaling of the metabolite concentrations to eliminate sample-dependent bias. Red represents the fatigue group and green the non-fatigue group. Variable importance in projection (VIP) scores showing </w:t>
      </w:r>
      <w:r w:rsidR="00B41B85" w:rsidRPr="00836E2B">
        <w:rPr>
          <w:rFonts w:ascii="Times New Roman" w:hAnsi="Times New Roman" w:cs="Times New Roman"/>
          <w:color w:val="000000" w:themeColor="text1"/>
          <w:kern w:val="24"/>
        </w:rPr>
        <w:t xml:space="preserve">the </w:t>
      </w:r>
      <w:r w:rsidRPr="00836E2B">
        <w:rPr>
          <w:rFonts w:ascii="Times New Roman" w:hAnsi="Times New Roman" w:cs="Times New Roman"/>
          <w:color w:val="000000" w:themeColor="text1"/>
          <w:kern w:val="24"/>
        </w:rPr>
        <w:t>top 15 metabolites (</w:t>
      </w:r>
      <w:r w:rsidR="00B41B85" w:rsidRPr="00836E2B">
        <w:rPr>
          <w:rFonts w:ascii="Times New Roman" w:hAnsi="Times New Roman" w:cs="Times New Roman"/>
          <w:color w:val="000000" w:themeColor="text1"/>
          <w:kern w:val="24"/>
        </w:rPr>
        <w:t>right-hand f</w:t>
      </w:r>
      <w:r w:rsidRPr="00836E2B">
        <w:rPr>
          <w:rFonts w:ascii="Times New Roman" w:hAnsi="Times New Roman" w:cs="Times New Roman"/>
          <w:color w:val="000000" w:themeColor="text1"/>
          <w:kern w:val="24"/>
        </w:rPr>
        <w:t xml:space="preserve">igure). Higher concentrations compared </w:t>
      </w:r>
      <w:r w:rsidR="00B41B85" w:rsidRPr="00836E2B">
        <w:rPr>
          <w:rFonts w:ascii="Times New Roman" w:hAnsi="Times New Roman" w:cs="Times New Roman"/>
          <w:color w:val="000000" w:themeColor="text1"/>
          <w:kern w:val="24"/>
        </w:rPr>
        <w:t xml:space="preserve">with that of </w:t>
      </w:r>
      <w:r w:rsidRPr="00836E2B">
        <w:rPr>
          <w:rFonts w:ascii="Times New Roman" w:hAnsi="Times New Roman" w:cs="Times New Roman"/>
          <w:color w:val="000000" w:themeColor="text1"/>
          <w:kern w:val="24"/>
        </w:rPr>
        <w:t xml:space="preserve">the average </w:t>
      </w:r>
      <w:r w:rsidR="00591096" w:rsidRPr="00836E2B">
        <w:rPr>
          <w:rFonts w:ascii="Times New Roman" w:hAnsi="Times New Roman" w:cs="Times New Roman"/>
          <w:color w:val="000000" w:themeColor="text1"/>
          <w:kern w:val="24"/>
        </w:rPr>
        <w:lastRenderedPageBreak/>
        <w:t xml:space="preserve">are </w:t>
      </w:r>
      <w:r w:rsidRPr="00836E2B">
        <w:rPr>
          <w:rFonts w:ascii="Times New Roman" w:hAnsi="Times New Roman" w:cs="Times New Roman"/>
          <w:color w:val="000000" w:themeColor="text1"/>
          <w:kern w:val="24"/>
        </w:rPr>
        <w:t xml:space="preserve">represented </w:t>
      </w:r>
      <w:r w:rsidR="00B41B85" w:rsidRPr="00836E2B">
        <w:rPr>
          <w:rFonts w:ascii="Times New Roman" w:hAnsi="Times New Roman" w:cs="Times New Roman"/>
          <w:color w:val="000000" w:themeColor="text1"/>
          <w:kern w:val="24"/>
        </w:rPr>
        <w:t xml:space="preserve">in </w:t>
      </w:r>
      <w:r w:rsidRPr="00836E2B">
        <w:rPr>
          <w:rFonts w:ascii="Times New Roman" w:hAnsi="Times New Roman" w:cs="Times New Roman"/>
          <w:color w:val="000000" w:themeColor="text1"/>
          <w:kern w:val="24"/>
        </w:rPr>
        <w:t>red</w:t>
      </w:r>
      <w:r w:rsidR="00B41B85" w:rsidRPr="00836E2B">
        <w:rPr>
          <w:rFonts w:ascii="Times New Roman" w:hAnsi="Times New Roman" w:cs="Times New Roman"/>
          <w:color w:val="000000" w:themeColor="text1"/>
          <w:kern w:val="24"/>
        </w:rPr>
        <w:t xml:space="preserve"> and</w:t>
      </w:r>
      <w:r w:rsidRPr="00836E2B">
        <w:rPr>
          <w:rFonts w:ascii="Times New Roman" w:hAnsi="Times New Roman" w:cs="Times New Roman"/>
          <w:color w:val="000000" w:themeColor="text1"/>
          <w:kern w:val="24"/>
        </w:rPr>
        <w:t xml:space="preserve"> lower concentrations </w:t>
      </w:r>
      <w:r w:rsidR="00B41B85" w:rsidRPr="00836E2B">
        <w:rPr>
          <w:rFonts w:ascii="Times New Roman" w:hAnsi="Times New Roman" w:cs="Times New Roman"/>
          <w:color w:val="000000" w:themeColor="text1"/>
          <w:kern w:val="24"/>
        </w:rPr>
        <w:t xml:space="preserve">in </w:t>
      </w:r>
      <w:r w:rsidRPr="00836E2B">
        <w:rPr>
          <w:rFonts w:ascii="Times New Roman" w:hAnsi="Times New Roman" w:cs="Times New Roman"/>
          <w:color w:val="000000" w:themeColor="text1"/>
          <w:kern w:val="24"/>
        </w:rPr>
        <w:t>blue.</w:t>
      </w:r>
      <w:r w:rsidR="005F6904" w:rsidRPr="00836E2B">
        <w:rPr>
          <w:rFonts w:ascii="Times New Roman" w:hAnsi="Times New Roman" w:cs="Times New Roman"/>
          <w:color w:val="000000" w:themeColor="text1"/>
          <w:kern w:val="24"/>
        </w:rPr>
        <w:t xml:space="preserve"> (</w:t>
      </w:r>
      <w:r>
        <w:rPr>
          <w:rFonts w:ascii="Times New Roman" w:hAnsi="Times New Roman" w:cs="Times New Roman"/>
          <w:color w:val="000000" w:themeColor="text1"/>
          <w:kern w:val="24"/>
        </w:rPr>
        <w:t>c</w:t>
      </w:r>
      <w:r w:rsidR="005F6904" w:rsidRPr="00836E2B">
        <w:rPr>
          <w:rFonts w:ascii="Times New Roman" w:hAnsi="Times New Roman" w:cs="Times New Roman"/>
          <w:color w:val="000000" w:themeColor="text1"/>
          <w:kern w:val="24"/>
        </w:rPr>
        <w:t xml:space="preserve">) </w:t>
      </w:r>
      <w:r w:rsidR="00B41B85" w:rsidRPr="00836E2B">
        <w:rPr>
          <w:rFonts w:ascii="Times New Roman" w:hAnsi="Times New Roman" w:cs="Times New Roman"/>
          <w:color w:val="000000" w:themeColor="text1"/>
          <w:kern w:val="24"/>
        </w:rPr>
        <w:t>M</w:t>
      </w:r>
      <w:r w:rsidR="005F6904" w:rsidRPr="00836E2B">
        <w:rPr>
          <w:rFonts w:ascii="Times New Roman" w:hAnsi="Times New Roman" w:cs="Times New Roman"/>
          <w:color w:val="000000" w:themeColor="text1"/>
          <w:kern w:val="24"/>
        </w:rPr>
        <w:t xml:space="preserve">etabolic pathway-based analysis showing </w:t>
      </w:r>
      <w:r w:rsidR="00B41B85" w:rsidRPr="00836E2B">
        <w:rPr>
          <w:rFonts w:ascii="Times New Roman" w:hAnsi="Times New Roman" w:cs="Times New Roman"/>
          <w:color w:val="000000" w:themeColor="text1"/>
          <w:kern w:val="24"/>
        </w:rPr>
        <w:t xml:space="preserve">the </w:t>
      </w:r>
      <w:r w:rsidR="005F6904" w:rsidRPr="00836E2B">
        <w:rPr>
          <w:rFonts w:ascii="Times New Roman" w:hAnsi="Times New Roman" w:cs="Times New Roman"/>
          <w:color w:val="000000" w:themeColor="text1"/>
          <w:kern w:val="24"/>
        </w:rPr>
        <w:t>top 25</w:t>
      </w:r>
      <w:r w:rsidR="00B41B85" w:rsidRPr="00836E2B">
        <w:rPr>
          <w:rFonts w:ascii="Times New Roman" w:hAnsi="Times New Roman" w:cs="Times New Roman"/>
          <w:color w:val="000000" w:themeColor="text1"/>
          <w:kern w:val="24"/>
        </w:rPr>
        <w:t xml:space="preserve"> enriched metabolite sets</w:t>
      </w:r>
      <w:r w:rsidR="005F6904" w:rsidRPr="00836E2B">
        <w:rPr>
          <w:rFonts w:ascii="Times New Roman" w:hAnsi="Times New Roman" w:cs="Times New Roman"/>
          <w:color w:val="000000" w:themeColor="text1"/>
          <w:kern w:val="24"/>
        </w:rPr>
        <w:t xml:space="preserve">. The color intensity represents </w:t>
      </w:r>
      <w:r w:rsidR="00B41B85" w:rsidRPr="008D3BA1">
        <w:rPr>
          <w:rFonts w:ascii="Times New Roman" w:hAnsi="Times New Roman" w:cs="Times New Roman"/>
          <w:i/>
          <w:iCs/>
          <w:color w:val="000000" w:themeColor="text1"/>
          <w:kern w:val="24"/>
        </w:rPr>
        <w:t>P</w:t>
      </w:r>
      <w:r w:rsidR="005F6904" w:rsidRPr="00836E2B">
        <w:rPr>
          <w:rFonts w:ascii="Times New Roman" w:hAnsi="Times New Roman" w:cs="Times New Roman"/>
          <w:color w:val="000000" w:themeColor="text1"/>
          <w:kern w:val="24"/>
        </w:rPr>
        <w:t xml:space="preserve">-values, </w:t>
      </w:r>
      <w:r w:rsidR="00B41B85" w:rsidRPr="00836E2B">
        <w:rPr>
          <w:rFonts w:ascii="Times New Roman" w:hAnsi="Times New Roman" w:cs="Times New Roman"/>
          <w:color w:val="000000" w:themeColor="text1"/>
          <w:kern w:val="24"/>
        </w:rPr>
        <w:t xml:space="preserve">whereas </w:t>
      </w:r>
      <w:r w:rsidR="005F6904" w:rsidRPr="00836E2B">
        <w:rPr>
          <w:rFonts w:ascii="Times New Roman" w:hAnsi="Times New Roman" w:cs="Times New Roman"/>
          <w:color w:val="000000" w:themeColor="text1"/>
          <w:kern w:val="24"/>
        </w:rPr>
        <w:t>the size of the circles represents the enrichment ratio. (</w:t>
      </w:r>
      <w:r>
        <w:rPr>
          <w:rFonts w:ascii="Times New Roman" w:hAnsi="Times New Roman" w:cs="Times New Roman"/>
          <w:color w:val="000000" w:themeColor="text1"/>
          <w:kern w:val="24"/>
        </w:rPr>
        <w:t>d</w:t>
      </w:r>
      <w:r w:rsidR="005F6904" w:rsidRPr="00836E2B">
        <w:rPr>
          <w:rFonts w:ascii="Times New Roman" w:hAnsi="Times New Roman" w:cs="Times New Roman"/>
          <w:color w:val="000000" w:themeColor="text1"/>
          <w:kern w:val="24"/>
        </w:rPr>
        <w:t xml:space="preserve">) Box plots of each metabolite concentration </w:t>
      </w:r>
      <w:r w:rsidR="005F6904" w:rsidRPr="00836E2B">
        <w:rPr>
          <w:rFonts w:ascii="Times New Roman" w:hAnsi="Times New Roman" w:cs="Times New Roman"/>
          <w:color w:val="000000" w:themeColor="text1"/>
        </w:rPr>
        <w:t>in</w:t>
      </w:r>
      <w:r w:rsidR="00B41B85" w:rsidRPr="00836E2B">
        <w:rPr>
          <w:rFonts w:ascii="Times New Roman" w:hAnsi="Times New Roman" w:cs="Times New Roman"/>
          <w:color w:val="000000" w:themeColor="text1"/>
        </w:rPr>
        <w:t xml:space="preserve"> the</w:t>
      </w:r>
      <w:r w:rsidR="005F6904" w:rsidRPr="00836E2B">
        <w:rPr>
          <w:rFonts w:ascii="Times New Roman" w:hAnsi="Times New Roman" w:cs="Times New Roman"/>
          <w:color w:val="000000" w:themeColor="text1"/>
        </w:rPr>
        <w:t xml:space="preserve"> tryptophan metabolic pathway</w:t>
      </w:r>
      <w:r w:rsidR="005F6904" w:rsidRPr="00836E2B">
        <w:rPr>
          <w:rFonts w:ascii="Times New Roman" w:hAnsi="Times New Roman" w:cs="Times New Roman"/>
          <w:color w:val="000000" w:themeColor="text1"/>
          <w:kern w:val="24"/>
        </w:rPr>
        <w:t xml:space="preserve">. </w:t>
      </w:r>
      <w:r w:rsidR="00B41B85" w:rsidRPr="00836E2B">
        <w:rPr>
          <w:rFonts w:ascii="Times New Roman" w:hAnsi="Times New Roman" w:cs="Times New Roman"/>
          <w:color w:val="000000" w:themeColor="text1"/>
          <w:kern w:val="24"/>
        </w:rPr>
        <w:t>H</w:t>
      </w:r>
      <w:r w:rsidR="005F6904" w:rsidRPr="00836E2B">
        <w:rPr>
          <w:rFonts w:ascii="Times New Roman" w:hAnsi="Times New Roman" w:cs="Times New Roman"/>
          <w:color w:val="000000" w:themeColor="text1"/>
          <w:kern w:val="24"/>
        </w:rPr>
        <w:t>orizontal lines of the box indicate 0, 25, 50, 75, and 100% of the data. The Y-axis indicates metabolite concentrations (</w:t>
      </w:r>
      <w:proofErr w:type="spellStart"/>
      <w:r w:rsidR="005F6904" w:rsidRPr="00836E2B">
        <w:rPr>
          <w:rFonts w:ascii="Times New Roman" w:hAnsi="Times New Roman" w:cs="Times New Roman"/>
          <w:color w:val="000000" w:themeColor="text1"/>
          <w:kern w:val="24"/>
        </w:rPr>
        <w:t>μM</w:t>
      </w:r>
      <w:proofErr w:type="spellEnd"/>
      <w:r w:rsidR="005F6904" w:rsidRPr="00836E2B">
        <w:rPr>
          <w:rFonts w:ascii="Times New Roman" w:hAnsi="Times New Roman" w:cs="Times New Roman"/>
          <w:color w:val="000000" w:themeColor="text1"/>
          <w:kern w:val="24"/>
        </w:rPr>
        <w:t xml:space="preserve">). </w:t>
      </w:r>
      <w:r w:rsidR="005F6904" w:rsidRPr="00836E2B">
        <w:rPr>
          <w:rFonts w:ascii="Times New Roman" w:hAnsi="Times New Roman" w:cs="Times New Roman"/>
          <w:color w:val="000000" w:themeColor="text1"/>
        </w:rPr>
        <w:t>F., fatigue without cachexia group</w:t>
      </w:r>
      <w:r w:rsidR="00B41B85" w:rsidRPr="00836E2B">
        <w:rPr>
          <w:rFonts w:ascii="Times New Roman" w:hAnsi="Times New Roman" w:cs="Times New Roman"/>
          <w:color w:val="000000" w:themeColor="text1"/>
        </w:rPr>
        <w:t>;</w:t>
      </w:r>
      <w:r w:rsidR="005F6904" w:rsidRPr="00836E2B">
        <w:rPr>
          <w:rFonts w:ascii="Times New Roman" w:hAnsi="Times New Roman" w:cs="Times New Roman"/>
          <w:color w:val="000000" w:themeColor="text1"/>
        </w:rPr>
        <w:t xml:space="preserve"> N.F., non-fatigued group</w:t>
      </w:r>
    </w:p>
    <w:p w14:paraId="7BC9C560" w14:textId="19366083" w:rsidR="004C42DE" w:rsidRPr="006626FF" w:rsidRDefault="004C42DE" w:rsidP="004C42DE">
      <w:pPr>
        <w:spacing w:line="360" w:lineRule="auto"/>
        <w:rPr>
          <w:rFonts w:ascii="Times New Roman" w:hAnsi="Times New Roman" w:cs="Times New Roman"/>
          <w:color w:val="000000" w:themeColor="text1"/>
        </w:rPr>
      </w:pPr>
    </w:p>
    <w:p w14:paraId="29E5F89B" w14:textId="6C96D56B" w:rsidR="005F6904" w:rsidRPr="00836E2B" w:rsidRDefault="00FB5B70" w:rsidP="005F6904">
      <w:pPr>
        <w:spacing w:line="360" w:lineRule="auto"/>
        <w:rPr>
          <w:rFonts w:ascii="Times New Roman" w:hAnsi="Times New Roman" w:cs="Times New Roman"/>
          <w:b/>
          <w:color w:val="000000" w:themeColor="text1"/>
          <w:kern w:val="0"/>
        </w:rPr>
      </w:pPr>
      <w:r w:rsidRPr="00836E2B">
        <w:rPr>
          <w:rFonts w:ascii="Times New Roman" w:hAnsi="Times New Roman" w:cs="Times New Roman"/>
          <w:b/>
          <w:bCs/>
          <w:color w:val="000000" w:themeColor="text1"/>
          <w:kern w:val="24"/>
        </w:rPr>
        <w:t xml:space="preserve">Supplementary Figure </w:t>
      </w:r>
      <w:r w:rsidR="00F15E27" w:rsidRPr="00836E2B">
        <w:rPr>
          <w:rFonts w:ascii="Times New Roman" w:hAnsi="Times New Roman" w:cs="Times New Roman"/>
          <w:b/>
          <w:bCs/>
          <w:color w:val="000000" w:themeColor="text1"/>
          <w:kern w:val="24"/>
        </w:rPr>
        <w:t>S</w:t>
      </w:r>
      <w:r w:rsidRPr="00836E2B">
        <w:rPr>
          <w:rFonts w:ascii="Times New Roman" w:hAnsi="Times New Roman" w:cs="Times New Roman"/>
          <w:b/>
          <w:bCs/>
          <w:color w:val="000000" w:themeColor="text1"/>
          <w:kern w:val="24"/>
        </w:rPr>
        <w:t xml:space="preserve">3. Plasma metabolites </w:t>
      </w:r>
      <w:r w:rsidR="009C61D3" w:rsidRPr="00836E2B">
        <w:rPr>
          <w:rFonts w:ascii="Times New Roman" w:hAnsi="Times New Roman" w:cs="Times New Roman"/>
          <w:b/>
          <w:bCs/>
          <w:color w:val="000000" w:themeColor="text1"/>
          <w:kern w:val="24"/>
        </w:rPr>
        <w:t>in</w:t>
      </w:r>
      <w:r w:rsidRPr="00836E2B">
        <w:rPr>
          <w:rFonts w:ascii="Times New Roman" w:hAnsi="Times New Roman" w:cs="Times New Roman"/>
          <w:b/>
          <w:bCs/>
          <w:color w:val="000000" w:themeColor="text1"/>
          <w:kern w:val="24"/>
        </w:rPr>
        <w:t xml:space="preserve"> the cachexia and non-cachexia groups</w:t>
      </w:r>
    </w:p>
    <w:p w14:paraId="533265E4" w14:textId="4F7BC94C" w:rsidR="008D3BA1" w:rsidRPr="00836E2B" w:rsidRDefault="00FB5B70" w:rsidP="005F6904">
      <w:pPr>
        <w:spacing w:line="360" w:lineRule="auto"/>
        <w:rPr>
          <w:rFonts w:ascii="Times New Roman" w:hAnsi="Times New Roman" w:cs="Times New Roman" w:hint="eastAsia"/>
          <w:color w:val="000000" w:themeColor="text1"/>
          <w:kern w:val="24"/>
        </w:rPr>
      </w:pPr>
      <w:r w:rsidRPr="008D3BA1">
        <w:rPr>
          <w:rFonts w:ascii="Times New Roman" w:hAnsi="Times New Roman" w:cs="Times New Roman"/>
          <w:color w:val="000000" w:themeColor="text1"/>
          <w:kern w:val="24"/>
        </w:rPr>
        <w:t>Volcano plots show</w:t>
      </w:r>
      <w:r w:rsidR="00B41B85" w:rsidRPr="008D3BA1">
        <w:rPr>
          <w:rFonts w:ascii="Times New Roman" w:hAnsi="Times New Roman" w:cs="Times New Roman"/>
          <w:color w:val="000000" w:themeColor="text1"/>
          <w:kern w:val="24"/>
        </w:rPr>
        <w:t>ing</w:t>
      </w:r>
      <w:r w:rsidRPr="008D3BA1">
        <w:rPr>
          <w:rFonts w:ascii="Times New Roman" w:hAnsi="Times New Roman" w:cs="Times New Roman"/>
          <w:color w:val="000000" w:themeColor="text1"/>
          <w:kern w:val="24"/>
        </w:rPr>
        <w:t xml:space="preserve"> differences in individual metabolite concentrations between the cachexia and non-</w:t>
      </w:r>
      <w:r w:rsidR="005A17D2" w:rsidRPr="008D3BA1">
        <w:rPr>
          <w:rFonts w:ascii="Times New Roman" w:hAnsi="Times New Roman" w:cs="Times New Roman"/>
          <w:color w:val="000000" w:themeColor="text1"/>
          <w:kern w:val="24"/>
        </w:rPr>
        <w:t>cachexia</w:t>
      </w:r>
      <w:r w:rsidRPr="008D3BA1">
        <w:rPr>
          <w:rFonts w:ascii="Times New Roman" w:hAnsi="Times New Roman" w:cs="Times New Roman"/>
          <w:color w:val="000000" w:themeColor="text1"/>
          <w:kern w:val="24"/>
        </w:rPr>
        <w:t xml:space="preserve"> groups. The X</w:t>
      </w:r>
      <w:r w:rsidRPr="008D3BA1">
        <w:rPr>
          <w:rFonts w:ascii="Times New Roman" w:eastAsia="ＭＳ 明朝" w:hAnsi="Times New Roman" w:cs="Times New Roman"/>
          <w:color w:val="000000"/>
          <w:kern w:val="24"/>
        </w:rPr>
        <w:t>- and Y</w:t>
      </w:r>
      <w:r w:rsidRPr="008D3BA1">
        <w:rPr>
          <w:rFonts w:ascii="Times New Roman" w:hAnsi="Times New Roman" w:cs="Times New Roman"/>
          <w:color w:val="000000" w:themeColor="text1"/>
          <w:kern w:val="24"/>
        </w:rPr>
        <w:t>-axes indicate the log</w:t>
      </w:r>
      <w:r w:rsidRPr="008D3BA1">
        <w:rPr>
          <w:rFonts w:ascii="Times New Roman" w:hAnsi="Times New Roman" w:cs="Times New Roman"/>
          <w:color w:val="000000" w:themeColor="text1"/>
          <w:kern w:val="24"/>
          <w:vertAlign w:val="subscript"/>
        </w:rPr>
        <w:t>2</w:t>
      </w:r>
      <w:r w:rsidRPr="008D3BA1">
        <w:rPr>
          <w:rFonts w:ascii="Times New Roman" w:hAnsi="Times New Roman" w:cs="Times New Roman"/>
          <w:color w:val="000000" w:themeColor="text1"/>
          <w:kern w:val="24"/>
        </w:rPr>
        <w:t xml:space="preserve"> fold change (cachexia/non-cachexia) and –log</w:t>
      </w:r>
      <w:r w:rsidRPr="008D3BA1">
        <w:rPr>
          <w:rFonts w:ascii="Times New Roman" w:hAnsi="Times New Roman" w:cs="Times New Roman"/>
          <w:color w:val="000000" w:themeColor="text1"/>
          <w:kern w:val="24"/>
          <w:vertAlign w:val="subscript"/>
        </w:rPr>
        <w:t>10</w:t>
      </w:r>
      <w:r w:rsidRPr="008D3BA1">
        <w:rPr>
          <w:rFonts w:ascii="Times New Roman" w:hAnsi="Times New Roman" w:cs="Times New Roman"/>
          <w:color w:val="000000" w:themeColor="text1"/>
          <w:kern w:val="24"/>
        </w:rPr>
        <w:t xml:space="preserve"> </w:t>
      </w:r>
      <w:r w:rsidRPr="008D3BA1">
        <w:rPr>
          <w:rFonts w:ascii="Times New Roman" w:hAnsi="Times New Roman" w:cs="Times New Roman"/>
          <w:i/>
          <w:iCs/>
          <w:color w:val="000000" w:themeColor="text1"/>
          <w:kern w:val="24"/>
        </w:rPr>
        <w:t>P</w:t>
      </w:r>
      <w:r w:rsidRPr="008D3BA1">
        <w:rPr>
          <w:rFonts w:ascii="Times New Roman" w:hAnsi="Times New Roman" w:cs="Times New Roman"/>
          <w:color w:val="000000" w:themeColor="text1"/>
          <w:kern w:val="24"/>
        </w:rPr>
        <w:t xml:space="preserve">-values (Mann-Whitney U test), respectively. The </w:t>
      </w:r>
      <w:r w:rsidRPr="008D3BA1">
        <w:rPr>
          <w:rFonts w:ascii="Times New Roman" w:hAnsi="Times New Roman" w:cs="Times New Roman"/>
          <w:i/>
          <w:iCs/>
          <w:color w:val="000000" w:themeColor="text1"/>
          <w:kern w:val="24"/>
        </w:rPr>
        <w:t>P</w:t>
      </w:r>
      <w:r w:rsidRPr="008D3BA1">
        <w:rPr>
          <w:rFonts w:ascii="Times New Roman" w:hAnsi="Times New Roman" w:cs="Times New Roman"/>
          <w:color w:val="000000" w:themeColor="text1"/>
          <w:kern w:val="24"/>
        </w:rPr>
        <w:t>-value</w:t>
      </w:r>
      <w:r w:rsidRPr="008D3BA1">
        <w:rPr>
          <w:rFonts w:ascii="Times New Roman" w:eastAsia="ＭＳ 明朝" w:hAnsi="Times New Roman" w:cs="Times New Roman"/>
          <w:color w:val="000000"/>
          <w:kern w:val="24"/>
        </w:rPr>
        <w:t xml:space="preserve">s </w:t>
      </w:r>
      <w:r w:rsidRPr="008D3BA1">
        <w:rPr>
          <w:rFonts w:ascii="Times New Roman" w:hAnsi="Times New Roman" w:cs="Times New Roman"/>
          <w:color w:val="000000" w:themeColor="text1"/>
          <w:kern w:val="24"/>
        </w:rPr>
        <w:t xml:space="preserve">were calculated using the Mann-Whitney U </w:t>
      </w:r>
      <w:r w:rsidRPr="008D3BA1">
        <w:rPr>
          <w:rFonts w:ascii="Times New Roman" w:eastAsia="ＭＳ 明朝" w:hAnsi="Times New Roman" w:cs="Times New Roman"/>
          <w:color w:val="000000"/>
          <w:kern w:val="24"/>
        </w:rPr>
        <w:t xml:space="preserve">test and adjusted for false discovery rate (FDR) correction. FDR-adjusted </w:t>
      </w:r>
      <w:r w:rsidR="00B41B85" w:rsidRPr="008D3BA1">
        <w:rPr>
          <w:rFonts w:ascii="Times New Roman" w:eastAsia="ＭＳ 明朝" w:hAnsi="Times New Roman" w:cs="Times New Roman"/>
          <w:i/>
          <w:iCs/>
          <w:color w:val="000000"/>
          <w:kern w:val="24"/>
        </w:rPr>
        <w:t>P</w:t>
      </w:r>
      <w:r w:rsidRPr="008D3BA1">
        <w:rPr>
          <w:rFonts w:ascii="Times New Roman" w:eastAsia="ＭＳ 明朝" w:hAnsi="Times New Roman" w:cs="Times New Roman"/>
          <w:color w:val="000000"/>
          <w:kern w:val="24"/>
        </w:rPr>
        <w:t xml:space="preserve">-value = 0.05. </w:t>
      </w:r>
      <w:r w:rsidRPr="008D3BA1">
        <w:rPr>
          <w:rFonts w:ascii="Times New Roman" w:hAnsi="Times New Roman" w:cs="Times New Roman"/>
          <w:color w:val="000000" w:themeColor="text1"/>
        </w:rPr>
        <w:t>C., cachexia group</w:t>
      </w:r>
      <w:r w:rsidR="00B41B85" w:rsidRPr="008D3BA1">
        <w:rPr>
          <w:rFonts w:ascii="Times New Roman" w:hAnsi="Times New Roman" w:cs="Times New Roman"/>
          <w:color w:val="000000" w:themeColor="text1"/>
        </w:rPr>
        <w:t>;</w:t>
      </w:r>
      <w:r w:rsidRPr="008D3BA1">
        <w:rPr>
          <w:rFonts w:ascii="Times New Roman" w:hAnsi="Times New Roman" w:cs="Times New Roman"/>
          <w:color w:val="000000" w:themeColor="text1"/>
        </w:rPr>
        <w:t xml:space="preserve"> N.C., non-cachexia group.</w:t>
      </w:r>
    </w:p>
    <w:p w14:paraId="69593640" w14:textId="77777777" w:rsidR="004C42DE" w:rsidRPr="008D3BA1" w:rsidRDefault="004C42DE" w:rsidP="008D3BA1">
      <w:pPr>
        <w:spacing w:line="360" w:lineRule="auto"/>
        <w:rPr>
          <w:rFonts w:ascii="Times New Roman" w:hAnsi="Times New Roman" w:cs="Times New Roman" w:hint="eastAsia"/>
          <w:color w:val="FF0000"/>
        </w:rPr>
      </w:pPr>
      <w:bookmarkStart w:id="1" w:name="_GoBack"/>
      <w:bookmarkEnd w:id="1"/>
    </w:p>
    <w:sectPr w:rsidR="004C42DE" w:rsidRPr="008D3BA1" w:rsidSect="001A05C2">
      <w:pgSz w:w="11900" w:h="16840"/>
      <w:pgMar w:top="1985" w:right="1701" w:bottom="1701" w:left="1701" w:header="851" w:footer="992" w:gutter="0"/>
      <w:cols w:space="425"/>
      <w:docGrid w:type="lines" w:linePitch="40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2E1A1E6F" w16cex:dateUtc="2023-11-19T17:14:00Z"/>
  <w16cex:commentExtensible w16cex:durableId="23919D01" w16cex:dateUtc="2023-11-19T17:11:00Z"/>
</w16cex:commentsExtensible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altName w:val="MS PGothic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8"/>
  <w:removeDateAndTime/>
  <w:bordersDoNotSurroundHeader/>
  <w:bordersDoNotSurroundFooter/>
  <w:proofState w:spelling="clean" w:grammar="clean"/>
  <w:trackRevisions/>
  <w:defaultTabStop w:val="960"/>
  <w:drawingGridVerticalSpacing w:val="20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42DE"/>
    <w:rsid w:val="000A2DD8"/>
    <w:rsid w:val="000B59F3"/>
    <w:rsid w:val="0019416E"/>
    <w:rsid w:val="001A05C2"/>
    <w:rsid w:val="001B44C1"/>
    <w:rsid w:val="002D1DEB"/>
    <w:rsid w:val="004C42DE"/>
    <w:rsid w:val="00591096"/>
    <w:rsid w:val="005A17D2"/>
    <w:rsid w:val="005F6904"/>
    <w:rsid w:val="00607A95"/>
    <w:rsid w:val="006626FF"/>
    <w:rsid w:val="006A74D2"/>
    <w:rsid w:val="00714EDD"/>
    <w:rsid w:val="007319EB"/>
    <w:rsid w:val="00795CD1"/>
    <w:rsid w:val="00836E2B"/>
    <w:rsid w:val="008D3BA1"/>
    <w:rsid w:val="008F57D0"/>
    <w:rsid w:val="00971BAC"/>
    <w:rsid w:val="009C61D3"/>
    <w:rsid w:val="00A3713C"/>
    <w:rsid w:val="00AE4A65"/>
    <w:rsid w:val="00B41B85"/>
    <w:rsid w:val="00C5441C"/>
    <w:rsid w:val="00E449AA"/>
    <w:rsid w:val="00EE41DA"/>
    <w:rsid w:val="00F15E27"/>
    <w:rsid w:val="00FB5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68A6426"/>
  <w14:defaultImageDpi w14:val="300"/>
  <w15:docId w15:val="{5DB52351-B6B7-FB44-BEFE-486088299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Revision"/>
    <w:hidden/>
    <w:uiPriority w:val="99"/>
    <w:semiHidden/>
    <w:rsid w:val="00A3713C"/>
  </w:style>
  <w:style w:type="character" w:styleId="a4">
    <w:name w:val="annotation reference"/>
    <w:basedOn w:val="a0"/>
    <w:uiPriority w:val="99"/>
    <w:semiHidden/>
    <w:unhideWhenUsed/>
    <w:rsid w:val="00795CD1"/>
    <w:rPr>
      <w:sz w:val="16"/>
      <w:szCs w:val="16"/>
    </w:rPr>
  </w:style>
  <w:style w:type="paragraph" w:styleId="a5">
    <w:name w:val="annotation text"/>
    <w:basedOn w:val="a"/>
    <w:link w:val="a6"/>
    <w:uiPriority w:val="99"/>
    <w:unhideWhenUsed/>
    <w:rsid w:val="00795CD1"/>
    <w:rPr>
      <w:sz w:val="20"/>
      <w:szCs w:val="20"/>
    </w:rPr>
  </w:style>
  <w:style w:type="character" w:customStyle="1" w:styleId="a6">
    <w:name w:val="コメント文字列 (文字)"/>
    <w:basedOn w:val="a0"/>
    <w:link w:val="a5"/>
    <w:uiPriority w:val="99"/>
    <w:rsid w:val="00795CD1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795CD1"/>
    <w:rPr>
      <w:b/>
      <w:bCs/>
    </w:rPr>
  </w:style>
  <w:style w:type="character" w:customStyle="1" w:styleId="a8">
    <w:name w:val="コメント内容 (文字)"/>
    <w:basedOn w:val="a6"/>
    <w:link w:val="a7"/>
    <w:uiPriority w:val="99"/>
    <w:semiHidden/>
    <w:rsid w:val="00795CD1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FB5B70"/>
    <w:rPr>
      <w:rFonts w:ascii="ＭＳ 明朝" w:eastAsia="ＭＳ 明朝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FB5B70"/>
    <w:rPr>
      <w:rFonts w:ascii="ＭＳ 明朝" w:eastAsia="ＭＳ 明朝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971BAC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296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10" Type="http://schemas.microsoft.com/office/2018/08/relationships/commentsExtensible" Target="commentsExtensible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367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片岡洋祐</dc:creator>
  <cp:lastModifiedBy>沖中 勇輝</cp:lastModifiedBy>
  <cp:revision>4</cp:revision>
  <dcterms:created xsi:type="dcterms:W3CDTF">2023-11-19T17:15:00Z</dcterms:created>
  <dcterms:modified xsi:type="dcterms:W3CDTF">2023-11-20T23:53:00Z</dcterms:modified>
</cp:coreProperties>
</file>